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20" w:right="1680" w:hanging="3527"/>
        <w:spacing w:after="0" w:line="501" w:lineRule="auto"/>
        <w:tabs>
          <w:tab w:leader="none" w:pos="5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jc w:val="center"/>
        <w:ind w:left="60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423"/>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30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12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540" w:type="dxa"/>
            <w:vAlign w:val="bottom"/>
            <w:gridSpan w:val="2"/>
          </w:tcPr>
          <w:p>
            <w:pPr>
              <w:ind w:left="700"/>
              <w:spacing w:after="0"/>
              <w:rPr>
                <w:sz w:val="20"/>
                <w:szCs w:val="20"/>
                <w:color w:val="auto"/>
              </w:rPr>
            </w:pPr>
            <w:r>
              <w:rPr>
                <w:rFonts w:ascii="Arial" w:cs="Arial" w:eastAsia="Arial" w:hAnsi="Arial"/>
                <w:sz w:val="18"/>
                <w:szCs w:val="18"/>
                <w:b w:val="1"/>
                <w:bCs w:val="1"/>
                <w:color w:val="auto"/>
              </w:rPr>
              <w:t>COMMISSION FILE NUMBER: 814-00802</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HORIZON TECHNOLOGY FINANCE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tcPr>
          <w:p>
            <w:pPr>
              <w:jc w:val="right"/>
              <w:ind w:right="770"/>
              <w:spacing w:after="0"/>
              <w:rPr>
                <w:sz w:val="20"/>
                <w:szCs w:val="20"/>
                <w:color w:val="auto"/>
              </w:rPr>
            </w:pPr>
            <w:r>
              <w:rPr>
                <w:rFonts w:ascii="Arial" w:cs="Arial" w:eastAsia="Arial" w:hAnsi="Arial"/>
                <w:sz w:val="18"/>
                <w:szCs w:val="18"/>
                <w:b w:val="1"/>
                <w:bCs w:val="1"/>
                <w:color w:val="auto"/>
              </w:rPr>
              <w:t>27-2114934</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312 Farmington Avenue</w:t>
            </w:r>
          </w:p>
        </w:tc>
        <w:tc>
          <w:tcPr>
            <w:tcW w:w="4900" w:type="dxa"/>
            <w:vAlign w:val="bottom"/>
          </w:tcPr>
          <w:p>
            <w:pPr>
              <w:spacing w:after="0"/>
              <w:rPr>
                <w:sz w:val="24"/>
                <w:szCs w:val="24"/>
                <w:color w:val="auto"/>
              </w:rPr>
            </w:pPr>
          </w:p>
        </w:tc>
      </w:t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4"/>
              </w:rPr>
              <w:t>Farmington, CT</w:t>
            </w:r>
          </w:p>
        </w:tc>
        <w:tc>
          <w:tcPr>
            <w:tcW w:w="4900" w:type="dxa"/>
            <w:vAlign w:val="bottom"/>
          </w:tcPr>
          <w:p>
            <w:pPr>
              <w:jc w:val="right"/>
              <w:ind w:right="970"/>
              <w:spacing w:after="0"/>
              <w:rPr>
                <w:sz w:val="20"/>
                <w:szCs w:val="20"/>
                <w:color w:val="auto"/>
              </w:rPr>
            </w:pPr>
            <w:r>
              <w:rPr>
                <w:rFonts w:ascii="Arial" w:cs="Arial" w:eastAsia="Arial" w:hAnsi="Arial"/>
                <w:sz w:val="18"/>
                <w:szCs w:val="18"/>
                <w:b w:val="1"/>
                <w:bCs w:val="1"/>
                <w:color w:val="auto"/>
              </w:rPr>
              <w:t>06032</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4460" w:type="dxa"/>
            <w:vAlign w:val="bottom"/>
          </w:tcPr>
          <w:p>
            <w:pPr>
              <w:spacing w:after="0"/>
              <w:rPr>
                <w:sz w:val="24"/>
                <w:szCs w:val="24"/>
                <w:color w:val="auto"/>
              </w:rPr>
            </w:pPr>
          </w:p>
        </w:tc>
        <w:tc>
          <w:tcPr>
            <w:tcW w:w="4900" w:type="dxa"/>
            <w:vAlign w:val="bottom"/>
          </w:tcPr>
          <w:p>
            <w:pPr>
              <w:jc w:val="right"/>
              <w:ind w:right="3610"/>
              <w:spacing w:after="0"/>
              <w:rPr>
                <w:sz w:val="20"/>
                <w:szCs w:val="20"/>
                <w:color w:val="auto"/>
              </w:rPr>
            </w:pPr>
            <w:r>
              <w:rPr>
                <w:rFonts w:ascii="Arial" w:cs="Arial" w:eastAsia="Arial" w:hAnsi="Arial"/>
                <w:sz w:val="18"/>
                <w:szCs w:val="18"/>
                <w:b w:val="1"/>
                <w:bCs w:val="1"/>
                <w:color w:val="auto"/>
                <w:w w:val="95"/>
              </w:rPr>
              <w:t>(860) 676-8654</w:t>
            </w:r>
          </w:p>
        </w:tc>
      </w:tr>
    </w:tbl>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both"/>
        <w:ind w:firstLine="60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1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56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rPr>
                <w:sz w:val="20"/>
                <w:szCs w:val="20"/>
                <w:color w:val="auto"/>
              </w:rPr>
            </w:pPr>
            <w:r>
              <w:rPr>
                <w:rFonts w:ascii="Arial" w:cs="Arial" w:eastAsia="Arial" w:hAnsi="Arial"/>
                <w:sz w:val="18"/>
                <w:szCs w:val="18"/>
                <w:color w:val="auto"/>
              </w:rPr>
              <w:t>x</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July 31, 2018 was 11,528,985.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60" w:type="dxa"/>
            <w:vAlign w:val="bottom"/>
            <w:gridSpan w:val="15"/>
          </w:tcPr>
          <w:p>
            <w:pPr>
              <w:jc w:val="center"/>
              <w:ind w:right="1780"/>
              <w:spacing w:after="0"/>
              <w:rPr>
                <w:sz w:val="20"/>
                <w:szCs w:val="20"/>
                <w:color w:val="auto"/>
              </w:rPr>
            </w:pPr>
            <w:r>
              <w:rPr>
                <w:rFonts w:ascii="Arial" w:cs="Arial" w:eastAsia="Arial" w:hAnsi="Arial"/>
                <w:sz w:val="18"/>
                <w:szCs w:val="18"/>
                <w:b w:val="1"/>
                <w:bCs w:val="1"/>
                <w:color w:val="auto"/>
              </w:rPr>
              <w:t>HORIZON TECHNOLOGY FINANCE CORPORATION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1"/>
          </w:tcPr>
          <w:p>
            <w:pPr>
              <w:jc w:val="center"/>
              <w:ind w:right="372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3"/>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0000EE"/>
            </w:tcBorders>
            <w:shd w:val="clear" w:color="auto" w:fill="CCEEFF"/>
          </w:tcPr>
          <w:p>
            <w:pPr>
              <w:jc w:val="center"/>
              <w:spacing w:after="0" w:line="170"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84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2018 and December 31, 2017 (unaudited)</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980" w:type="dxa"/>
            <w:vAlign w:val="bottom"/>
            <w:gridSpan w:val="19"/>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six months ended June 30, 2018 and 2017 (unaudited)</w:t>
              </w:r>
            </w:hyperlink>
          </w:p>
        </w:tc>
        <w:tc>
          <w:tcPr>
            <w:tcW w:w="1140" w:type="dxa"/>
            <w:vAlign w:val="bottom"/>
            <w:gridSpan w:val="2"/>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for the six months ended June 30, 2018 and 2017 (unaudited)</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30, 2018 and 2017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20" w:type="dxa"/>
            <w:vAlign w:val="bottom"/>
            <w:gridSpan w:val="17"/>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Schedules of Investments as of June 30, 2018 and December 31, 2017 (unaudited)</w:t>
              </w:r>
            </w:hyperlink>
          </w:p>
        </w:tc>
        <w:tc>
          <w:tcPr>
            <w:tcW w:w="1800" w:type="dxa"/>
            <w:vAlign w:val="bottom"/>
            <w:gridSpan w:val="4"/>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the Consolidated 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4760" w:type="dxa"/>
            <w:vAlign w:val="bottom"/>
            <w:tcBorders>
              <w:bottom w:val="single" w:sz="8" w:color="CCEEFF"/>
            </w:tcBorders>
            <w:gridSpan w:val="7"/>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60" w:type="dxa"/>
            <w:vAlign w:val="bottom"/>
            <w:gridSpan w:val="12"/>
          </w:tcPr>
          <w:p>
            <w:pPr>
              <w:jc w:val="center"/>
              <w:ind w:right="4800"/>
              <w:spacing w:after="0" w:line="17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w:t>
              </w:r>
            </w:hyperlink>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1.</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Legal Proceedings</w:t>
              </w:r>
            </w:hyperlink>
          </w:p>
        </w:tc>
        <w:tc>
          <w:tcPr>
            <w:tcW w:w="7780" w:type="dxa"/>
            <w:vAlign w:val="bottom"/>
            <w:tcBorders>
              <w:bottom w:val="single" w:sz="8" w:color="CCEEFF"/>
            </w:tcBorders>
            <w:gridSpan w:val="16"/>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1A.</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2.</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3.</w:t>
              </w:r>
            </w:hyperlink>
          </w:p>
        </w:tc>
        <w:tc>
          <w:tcPr>
            <w:tcW w:w="640" w:type="dxa"/>
            <w:vAlign w:val="bottom"/>
            <w:tcBorders>
              <w:top w:val="single" w:sz="8" w:color="CCEEFF"/>
            </w:tcBorders>
            <w:gridSpan w:val="2"/>
          </w:tcPr>
          <w:p>
            <w:pPr>
              <w:spacing w:after="0"/>
              <w:rPr>
                <w:sz w:val="15"/>
                <w:szCs w:val="15"/>
                <w:color w:val="auto"/>
              </w:rPr>
            </w:pPr>
          </w:p>
        </w:tc>
        <w:tc>
          <w:tcPr>
            <w:tcW w:w="43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Defaults Upon Senior Securities</w:t>
              </w:r>
            </w:hyperlink>
          </w:p>
        </w:tc>
        <w:tc>
          <w:tcPr>
            <w:tcW w:w="4780" w:type="dxa"/>
            <w:vAlign w:val="bottom"/>
            <w:tcBorders>
              <w:top w:val="single" w:sz="8" w:color="CCEEFF"/>
            </w:tcBorders>
            <w:gridSpan w:val="8"/>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5.</w:t>
              </w:r>
            </w:hyperlink>
          </w:p>
        </w:tc>
        <w:tc>
          <w:tcPr>
            <w:tcW w:w="640" w:type="dxa"/>
            <w:vAlign w:val="bottom"/>
            <w:tcBorders>
              <w:top w:val="single" w:sz="8" w:color="CCEEFF"/>
            </w:tcBorders>
            <w:gridSpan w:val="2"/>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7360" w:type="dxa"/>
            <w:vAlign w:val="bottom"/>
            <w:tcBorders>
              <w:top w:val="single" w:sz="8" w:color="CCEEFF"/>
            </w:tcBorders>
            <w:gridSpan w:val="15"/>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6.</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Exhibits</w:t>
              </w:r>
            </w:hyperlink>
          </w:p>
        </w:tc>
        <w:tc>
          <w:tcPr>
            <w:tcW w:w="8520" w:type="dxa"/>
            <w:vAlign w:val="bottom"/>
            <w:tcBorders>
              <w:bottom w:val="single" w:sz="8" w:color="CCEEFF"/>
            </w:tcBorders>
            <w:gridSpan w:val="20"/>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Signatures</w:t>
              </w:r>
            </w:hyperlink>
          </w:p>
        </w:tc>
        <w:tc>
          <w:tcPr>
            <w:tcW w:w="8360" w:type="dxa"/>
            <w:vAlign w:val="bottom"/>
            <w:gridSpan w:val="19"/>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Non-affiliate investments at fair value (cost of $216,364 and $219,303, respectively)</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215,102</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218,600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 investments at fair value (cost of $7,677 and $3,774, respectively) (Note 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Controlled affiliate investments at fair value (cost of $4,069 and $0, respectively) (Note 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 (cost of $228,110 and $223,077, respectively) (Note 4)</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10,840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Borrowings (Note 7)</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104,214</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94,075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Base management fee payable (Note 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(Note 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88"/>
              </w:rPr>
              <w:t>Preferred stock, par value $0.001 per share, 1,000,000 shares authorized, zero shares issued and outstanding as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of June 30, 2018 and December 31, 2017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11,695,229 and 11,687,871 shares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issued and 11,527,764 and 11,520,406 shares outstanding as of June 30, 2018 and December 31, 2017,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179,720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179,641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net assets</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243,326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9"/>
                <w:szCs w:val="19"/>
                <w:color w:val="auto"/>
              </w:rPr>
            </w:pPr>
          </w:p>
        </w:tc>
        <w:tc>
          <w:tcPr>
            <w:tcW w:w="24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Interest income on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income on non-controlled affiliate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Fee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Prepayment fee income on non-affiliate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Fee income on non-affiliate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Performance based incentive fee waived (Note 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non-affiliate investments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(loss) gain on investments</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non-affiliate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Net unrealized appreciation (depreciation) on non-controlled affiliate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unrealized (depreciation) appreciation on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2,930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5,533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investment income per common share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rPr>
                <w:sz w:val="20"/>
                <w:szCs w:val="20"/>
                <w:color w:val="auto"/>
              </w:rPr>
            </w:pPr>
            <w:r>
              <w:rPr>
                <w:rFonts w:ascii="Arial" w:cs="Arial" w:eastAsia="Arial" w:hAnsi="Arial"/>
                <w:sz w:val="18"/>
                <w:szCs w:val="18"/>
                <w:color w:val="auto"/>
              </w:rPr>
              <w:t>Net increase in net assets per common share</w:t>
            </w: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11,525,874</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11,517,271</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11,524,024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11,515,074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December 31, 2016</w:t>
      </w:r>
    </w:p>
    <w:p>
      <w:pPr>
        <w:spacing w:after="0" w:line="27" w:lineRule="exact"/>
        <w:rPr>
          <w:sz w:val="20"/>
          <w:szCs w:val="20"/>
          <w:color w:val="auto"/>
        </w:rPr>
      </w:pPr>
    </w:p>
    <w:p>
      <w:pPr>
        <w:ind w:left="80" w:right="180" w:hanging="76"/>
        <w:spacing w:after="0" w:line="250" w:lineRule="auto"/>
        <w:rPr>
          <w:sz w:val="20"/>
          <w:szCs w:val="20"/>
          <w:color w:val="auto"/>
        </w:rPr>
      </w:pPr>
      <w:r>
        <w:rPr>
          <w:rFonts w:ascii="Arial" w:cs="Arial" w:eastAsia="Arial" w:hAnsi="Arial"/>
          <w:sz w:val="18"/>
          <w:szCs w:val="18"/>
          <w:color w:val="auto"/>
        </w:rPr>
        <w:t>Net increase in net assets resulting from operations</w:t>
      </w:r>
    </w:p>
    <w:p>
      <w:pPr>
        <w:spacing w:after="0" w:line="1" w:lineRule="exact"/>
        <w:rPr>
          <w:sz w:val="20"/>
          <w:szCs w:val="20"/>
          <w:color w:val="auto"/>
        </w:rPr>
      </w:pPr>
    </w:p>
    <w:p>
      <w:pPr>
        <w:ind w:left="80" w:hanging="76"/>
        <w:spacing w:after="0" w:line="250" w:lineRule="auto"/>
        <w:rPr>
          <w:sz w:val="20"/>
          <w:szCs w:val="20"/>
          <w:color w:val="auto"/>
        </w:rPr>
      </w:pPr>
      <w:r>
        <w:rPr>
          <w:rFonts w:ascii="Arial" w:cs="Arial" w:eastAsia="Arial" w:hAnsi="Arial"/>
          <w:sz w:val="18"/>
          <w:szCs w:val="18"/>
          <w:color w:val="auto"/>
        </w:rPr>
        <w:t>Issuance of common stock under dividend reinvestment plan</w:t>
      </w:r>
    </w:p>
    <w:p>
      <w:pPr>
        <w:spacing w:after="0" w:line="1" w:lineRule="exact"/>
        <w:rPr>
          <w:sz w:val="20"/>
          <w:szCs w:val="20"/>
          <w:color w:val="auto"/>
        </w:rPr>
      </w:pPr>
    </w:p>
    <w:p>
      <w:pPr>
        <w:ind w:right="1160"/>
        <w:spacing w:after="0" w:line="341" w:lineRule="auto"/>
        <w:rPr>
          <w:sz w:val="20"/>
          <w:szCs w:val="20"/>
          <w:color w:val="auto"/>
        </w:rPr>
      </w:pPr>
      <w:r>
        <w:rPr>
          <w:rFonts w:ascii="Arial" w:cs="Arial" w:eastAsia="Arial" w:hAnsi="Arial"/>
          <w:sz w:val="16"/>
          <w:szCs w:val="16"/>
          <w:color w:val="auto"/>
        </w:rPr>
        <w:t xml:space="preserve">Distributions declared </w:t>
      </w:r>
      <w:r>
        <w:rPr>
          <w:rFonts w:ascii="Arial" w:cs="Arial" w:eastAsia="Arial" w:hAnsi="Arial"/>
          <w:sz w:val="16"/>
          <w:szCs w:val="16"/>
          <w:b w:val="1"/>
          <w:bCs w:val="1"/>
          <w:color w:val="auto"/>
        </w:rPr>
        <w:t>Balance at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December 31, 2017</w:t>
      </w:r>
    </w:p>
    <w:p>
      <w:pPr>
        <w:spacing w:after="0" w:line="27" w:lineRule="exact"/>
        <w:rPr>
          <w:sz w:val="20"/>
          <w:szCs w:val="20"/>
          <w:color w:val="auto"/>
        </w:rPr>
      </w:pPr>
    </w:p>
    <w:p>
      <w:pPr>
        <w:ind w:left="80" w:right="180" w:hanging="76"/>
        <w:spacing w:after="0" w:line="250" w:lineRule="auto"/>
        <w:rPr>
          <w:sz w:val="20"/>
          <w:szCs w:val="20"/>
          <w:color w:val="auto"/>
        </w:rPr>
      </w:pPr>
      <w:r>
        <w:rPr>
          <w:rFonts w:ascii="Arial" w:cs="Arial" w:eastAsia="Arial" w:hAnsi="Arial"/>
          <w:sz w:val="18"/>
          <w:szCs w:val="18"/>
          <w:color w:val="auto"/>
        </w:rPr>
        <w:t>Net increase in net assets resulting from operations</w:t>
      </w:r>
    </w:p>
    <w:p>
      <w:pPr>
        <w:spacing w:after="0" w:line="1" w:lineRule="exact"/>
        <w:rPr>
          <w:sz w:val="20"/>
          <w:szCs w:val="20"/>
          <w:color w:val="auto"/>
        </w:rPr>
      </w:pPr>
    </w:p>
    <w:p>
      <w:pPr>
        <w:ind w:left="80" w:hanging="76"/>
        <w:spacing w:after="0" w:line="250" w:lineRule="auto"/>
        <w:rPr>
          <w:sz w:val="20"/>
          <w:szCs w:val="20"/>
          <w:color w:val="auto"/>
        </w:rPr>
      </w:pPr>
      <w:r>
        <w:rPr>
          <w:rFonts w:ascii="Arial" w:cs="Arial" w:eastAsia="Arial" w:hAnsi="Arial"/>
          <w:sz w:val="18"/>
          <w:szCs w:val="18"/>
          <w:color w:val="auto"/>
        </w:rPr>
        <w:t>Issuance of common stock under dividend reinvestment plan</w:t>
      </w:r>
    </w:p>
    <w:p>
      <w:pPr>
        <w:spacing w:after="0" w:line="1" w:lineRule="exact"/>
        <w:rPr>
          <w:sz w:val="20"/>
          <w:szCs w:val="20"/>
          <w:color w:val="auto"/>
        </w:rPr>
      </w:pPr>
    </w:p>
    <w:p>
      <w:pPr>
        <w:ind w:right="1160"/>
        <w:spacing w:after="0" w:line="341" w:lineRule="auto"/>
        <w:rPr>
          <w:sz w:val="20"/>
          <w:szCs w:val="20"/>
          <w:color w:val="auto"/>
        </w:rPr>
      </w:pPr>
      <w:r>
        <w:rPr>
          <w:rFonts w:ascii="Arial" w:cs="Arial" w:eastAsia="Arial" w:hAnsi="Arial"/>
          <w:sz w:val="16"/>
          <w:szCs w:val="16"/>
          <w:color w:val="auto"/>
        </w:rPr>
        <w:t xml:space="preserve">Distributions declared </w:t>
      </w:r>
      <w:r>
        <w:rPr>
          <w:rFonts w:ascii="Arial" w:cs="Arial" w:eastAsia="Arial" w:hAnsi="Arial"/>
          <w:sz w:val="16"/>
          <w:szCs w:val="16"/>
          <w:b w:val="1"/>
          <w:bCs w:val="1"/>
          <w:color w:val="auto"/>
        </w:rPr>
        <w:t>Balance at June 30, 2018</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3120"/>
        <w:spacing w:after="0"/>
        <w:rPr>
          <w:sz w:val="20"/>
          <w:szCs w:val="20"/>
          <w:color w:val="auto"/>
        </w:rPr>
      </w:pPr>
      <w:r>
        <w:rPr>
          <w:rFonts w:ascii="Arial" w:cs="Arial" w:eastAsia="Arial" w:hAnsi="Arial"/>
          <w:sz w:val="16"/>
          <w:szCs w:val="16"/>
          <w:b w:val="1"/>
          <w:bCs w:val="1"/>
          <w:color w:val="auto"/>
        </w:rPr>
        <w:t>Consolidated Statements of Changes in Net Assets (Unaudited)</w:t>
      </w:r>
    </w:p>
    <w:p>
      <w:pPr>
        <w:spacing w:after="0" w:line="50"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Distributions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Paid-In</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in Excess of</w:t>
            </w:r>
          </w:p>
        </w:tc>
        <w:tc>
          <w:tcPr>
            <w:tcW w:w="8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Unrealized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Capital in</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Depreciation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0"/>
              </w:rPr>
              <w:t>Excess of</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Investment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on</w:t>
            </w:r>
          </w:p>
        </w:tc>
        <w:tc>
          <w:tcPr>
            <w:tcW w:w="1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Loss on</w:t>
            </w:r>
          </w:p>
        </w:tc>
        <w:tc>
          <w:tcPr>
            <w:tcW w:w="1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8"/>
              </w:rPr>
              <w:t>Total Net</w:t>
            </w:r>
          </w:p>
        </w:tc>
      </w:tr>
      <w:tr>
        <w:trPr>
          <w:trHeight w:val="223"/>
        </w:trPr>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Par</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Assets</w:t>
            </w:r>
          </w:p>
        </w:tc>
      </w:tr>
      <w:tr>
        <w:trPr>
          <w:trHeight w:val="224"/>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11,510,424</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179,551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8,934</w:t>
            </w:r>
          </w:p>
        </w:tc>
        <w:tc>
          <w:tcPr>
            <w:tcW w:w="1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4,385</w:t>
            </w:r>
          </w:p>
        </w:tc>
        <w:tc>
          <w:tcPr>
            <w:tcW w:w="40" w:type="dxa"/>
            <w:vAlign w:val="bottom"/>
          </w:tcPr>
          <w:p>
            <w:pPr>
              <w:spacing w:after="0"/>
              <w:rPr>
                <w:sz w:val="24"/>
                <w:szCs w:val="24"/>
                <w:color w:val="auto"/>
              </w:rPr>
            </w:pPr>
          </w:p>
        </w:tc>
      </w:tr>
      <w:tr>
        <w:trPr>
          <w:trHeight w:val="418"/>
        </w:trPr>
        <w:tc>
          <w:tcPr>
            <w:tcW w:w="920" w:type="dxa"/>
            <w:vAlign w:val="bottom"/>
          </w:tcPr>
          <w:p>
            <w:pPr>
              <w:jc w:val="right"/>
              <w:spacing w:after="0"/>
              <w:rPr>
                <w:sz w:val="20"/>
                <w:szCs w:val="20"/>
                <w:color w:val="auto"/>
              </w:rPr>
            </w:pPr>
            <w:r>
              <w:rPr>
                <w:rFonts w:ascii="Arial" w:cs="Arial" w:eastAsia="Arial" w:hAnsi="Arial"/>
                <w:sz w:val="18"/>
                <w:szCs w:val="18"/>
                <w:color w:val="auto"/>
              </w:rPr>
              <w:t>8,756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4"/>
                <w:szCs w:val="24"/>
                <w:color w:val="auto"/>
              </w:rPr>
            </w:pPr>
          </w:p>
        </w:tc>
      </w:tr>
      <w:tr>
        <w:trPr>
          <w:trHeight w:val="24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(6,911)</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11,519,180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179,647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136,762</w:t>
            </w:r>
          </w:p>
        </w:tc>
        <w:tc>
          <w:tcPr>
            <w:tcW w:w="4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11,520,406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179,641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(41,702)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135,075</w:t>
            </w:r>
          </w:p>
        </w:tc>
        <w:tc>
          <w:tcPr>
            <w:tcW w:w="40" w:type="dxa"/>
            <w:vAlign w:val="bottom"/>
          </w:tcPr>
          <w:p>
            <w:pPr>
              <w:spacing w:after="0"/>
              <w:rPr>
                <w:sz w:val="24"/>
                <w:szCs w:val="24"/>
                <w:color w:val="auto"/>
              </w:rPr>
            </w:pPr>
          </w:p>
        </w:tc>
      </w:tr>
      <w:tr>
        <w:trPr>
          <w:trHeight w:val="432"/>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5,533</w:t>
            </w:r>
          </w:p>
        </w:tc>
        <w:tc>
          <w:tcPr>
            <w:tcW w:w="40" w:type="dxa"/>
            <w:vAlign w:val="bottom"/>
          </w:tcPr>
          <w:p>
            <w:pPr>
              <w:spacing w:after="0"/>
              <w:rPr>
                <w:sz w:val="24"/>
                <w:szCs w:val="24"/>
                <w:color w:val="auto"/>
              </w:rPr>
            </w:pPr>
          </w:p>
        </w:tc>
      </w:tr>
      <w:tr>
        <w:trPr>
          <w:trHeight w:val="418"/>
        </w:trPr>
        <w:tc>
          <w:tcPr>
            <w:tcW w:w="920" w:type="dxa"/>
            <w:vAlign w:val="bottom"/>
          </w:tcPr>
          <w:p>
            <w:pPr>
              <w:jc w:val="right"/>
              <w:spacing w:after="0"/>
              <w:rPr>
                <w:sz w:val="20"/>
                <w:szCs w:val="20"/>
                <w:color w:val="auto"/>
              </w:rPr>
            </w:pPr>
            <w:r>
              <w:rPr>
                <w:rFonts w:ascii="Arial" w:cs="Arial" w:eastAsia="Arial" w:hAnsi="Arial"/>
                <w:sz w:val="18"/>
                <w:szCs w:val="18"/>
                <w:color w:val="auto"/>
              </w:rPr>
              <w:t>7,358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4"/>
                <w:szCs w:val="24"/>
                <w:color w:val="auto"/>
              </w:rPr>
            </w:pPr>
          </w:p>
        </w:tc>
      </w:tr>
      <w:tr>
        <w:trPr>
          <w:trHeight w:val="24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(6,916)</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11,527,764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133,771</w:t>
            </w:r>
          </w:p>
        </w:tc>
        <w:tc>
          <w:tcPr>
            <w:tcW w:w="4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-2169160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-1748790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-1328420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-1011555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-599440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-179705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100"/>
            <w:col w:w="8220"/>
          </w:cols>
          <w:pgMar w:left="240" w:top="904"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tcPr>
          <w:p>
            <w:pPr>
              <w:jc w:val="center"/>
              <w:ind w:left="32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Six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5,533</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 provided by operating</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(38,046)</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(47,990)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34,302</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60,260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(4,069)</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3,066</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Equity received in settlement of fee income</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interest receivable</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40"/>
              <w:spacing w:after="0"/>
              <w:rPr>
                <w:sz w:val="20"/>
                <w:szCs w:val="20"/>
                <w:color w:val="auto"/>
              </w:rPr>
            </w:pPr>
            <w:r>
              <w:rPr>
                <w:rFonts w:ascii="Arial" w:cs="Arial" w:eastAsia="Arial" w:hAnsi="Arial"/>
                <w:sz w:val="18"/>
                <w:szCs w:val="18"/>
                <w:color w:val="auto"/>
              </w:rPr>
              <w:t>(Increase) decrease in end-of-term payments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unearned income</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060" w:type="dxa"/>
            <w:vAlign w:val="bottom"/>
          </w:tcPr>
          <w:p>
            <w:pPr>
              <w:ind w:left="140"/>
              <w:spacing w:after="0"/>
              <w:rPr>
                <w:sz w:val="20"/>
                <w:szCs w:val="20"/>
                <w:color w:val="auto"/>
              </w:rPr>
            </w:pPr>
            <w:r>
              <w:rPr>
                <w:rFonts w:ascii="Arial" w:cs="Arial" w:eastAsia="Arial" w:hAnsi="Arial"/>
                <w:sz w:val="18"/>
                <w:szCs w:val="18"/>
                <w:color w:val="auto"/>
              </w:rPr>
              <w:t>(Increase) decrease in other assets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other accrued expenses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8060" w:type="dxa"/>
            <w:vAlign w:val="bottom"/>
          </w:tcPr>
          <w:p>
            <w:pPr>
              <w:ind w:left="140"/>
              <w:spacing w:after="0"/>
              <w:rPr>
                <w:sz w:val="20"/>
                <w:szCs w:val="20"/>
                <w:color w:val="auto"/>
              </w:rPr>
            </w:pPr>
            <w:r>
              <w:rPr>
                <w:rFonts w:ascii="Arial" w:cs="Arial" w:eastAsia="Arial" w:hAnsi="Arial"/>
                <w:sz w:val="18"/>
                <w:szCs w:val="18"/>
                <w:color w:val="auto"/>
              </w:rPr>
              <w:t>Increase (decrease) in base management fee payable</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incentive fee payable</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20,000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(10,000)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(55,000)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Distributions paid</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(6,835)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(46,812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cash</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(24,862)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6,594</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37,135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10,840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12,273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0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2,617</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non-cash investing and financing activities:</w:t>
            </w: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060" w:type="dxa"/>
            <w:vAlign w:val="bottom"/>
          </w:tcPr>
          <w:p>
            <w:pPr>
              <w:ind w:left="180"/>
              <w:spacing w:after="0"/>
              <w:rPr>
                <w:sz w:val="20"/>
                <w:szCs w:val="20"/>
                <w:color w:val="auto"/>
              </w:rPr>
            </w:pPr>
            <w:r>
              <w:rPr>
                <w:rFonts w:ascii="Arial" w:cs="Arial" w:eastAsia="Arial" w:hAnsi="Arial"/>
                <w:sz w:val="18"/>
                <w:szCs w:val="18"/>
                <w:color w:val="auto"/>
              </w:rPr>
              <w:t>Warrant investments received and recorded as unearned income</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0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Distributions payable</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180"/>
              <w:spacing w:after="0"/>
              <w:rPr>
                <w:sz w:val="20"/>
                <w:szCs w:val="20"/>
                <w:color w:val="auto"/>
              </w:rPr>
            </w:pPr>
            <w:r>
              <w:rPr>
                <w:rFonts w:ascii="Arial" w:cs="Arial" w:eastAsia="Arial" w:hAnsi="Arial"/>
                <w:sz w:val="18"/>
                <w:szCs w:val="18"/>
                <w:color w:val="auto"/>
              </w:rPr>
              <w:t>End-of-term payments receivable</w:t>
            </w:r>
          </w:p>
        </w:tc>
        <w:tc>
          <w:tcPr>
            <w:tcW w:w="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3,215</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r>
      <w:tr>
        <w:trPr>
          <w:trHeight w:val="171"/>
        </w:trPr>
        <w:tc>
          <w:tcPr>
            <w:tcW w:w="26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380" w:type="dxa"/>
            <w:vAlign w:val="bottom"/>
          </w:tcPr>
          <w:p>
            <w:pPr>
              <w:ind w:left="56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Investments (6)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Value (12)</w:t>
            </w:r>
          </w:p>
        </w:tc>
      </w:tr>
      <w:tr>
        <w:trPr>
          <w:trHeight w:val="142"/>
        </w:trPr>
        <w:tc>
          <w:tcPr>
            <w:tcW w:w="2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160.8% (8)</w:t>
            </w: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147.2%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44.8% (8)</w:t>
            </w: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Celsion Corporation (2)(5)</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(9.72% cash (Libor + 7.63%; Floor</w:t>
            </w:r>
          </w:p>
        </w:tc>
        <w:tc>
          <w:tcPr>
            <w:tcW w:w="180" w:type="dxa"/>
            <w:vAlign w:val="bottom"/>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2,442</w:t>
            </w:r>
          </w:p>
        </w:tc>
        <w:tc>
          <w:tcPr>
            <w:tcW w:w="2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2,442</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9.63%), 4.00% ETP, Due 7/1/22)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(9.72% cash (Libor + 7.63%;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2,442</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9.63%), 4.00% ETP, Due 7/1/22)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(9.72% cash (Libor + 7.63%;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2,442</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9.63%), 4.00% ETP, Due 7/1/22)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(9.72% cash (Libor + 7.63%;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2,442</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9.63%), 4.00% ETP, Due 7/1/22)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(10.50% cash (Libor + 8.50%;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990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990</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9.00%), 5.00% ETP, Due 1/1/19)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(10.50% cash (Libor + 8.50%;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1,000</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9.00%), 3.44% ETP, Due 1/1/19)</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(10.50% cash (Libor + 8.50%;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2,167</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2,148</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9.00%), 5.00% ETP, Due 8/1/19)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(10.50% cash (Libor + 8.50%;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2,167</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2,167</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9.00%), 3.27% ETP, Due 8/1/19)</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vTv Therapeutics Inc. (2)(5)</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(12.00% cash (Libor + 10.00%;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5,729</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5,687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5,674</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6.00% ETP, Due 5/1/20)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(12.00% cash (Libor + 10.00%;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3,750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3,701</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6.00% ETP, Due 10/1/20)</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Titan Pharmaceuticals, Inc. (2)(5)</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Drug Delivery</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(10.40% cash (Libor + 8.40%;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1,473</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9.50%), 5.00% ETP, Due 6/1/21)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Aerin Medical, Inc. (2)</w:t>
            </w:r>
          </w:p>
        </w:tc>
        <w:tc>
          <w:tcPr>
            <w:tcW w:w="13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(9.45% cash (Libor + 7.45%;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3,883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3,883</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8.75%), 4.00% ETP, Due 1/1/22)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(9.45% cash (Libor + 7.45%;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2,960</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8.75%), 4.00% ETP, Due 1/1/22)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(9.45% cash (Libor + 7.45%;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2,960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2,960</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8.75%), 4.00% ETP, Due 1/1/22)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Conventus Orthopaedics, Inc.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(10.00% cash (Libor + 8.00%;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3,939</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9.25%), 6.00% ETP, Due 6/1/21)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(10.00% cash (Libor + 8.00%;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3,939</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9.25%), 6.00% ETP, Due 6/1/21)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(10.00% cash (Libor + 8.00%;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3,939</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9.25%), 6.00% ETP, Due 6/1/21)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13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(10.43% cash (Libor + 8.43%;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3,481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3,481</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6.00% ETP, Due 9/1/21)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VERO Biotech LLC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(10.00% cash (Libor + 8.00%;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9.25%), 5.00% ETP, Due 1/1/22)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(10.00% cash (Libor + 8.00%;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81"/>
        </w:trPr>
        <w:tc>
          <w:tcPr>
            <w:tcW w:w="26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9.25%), 5.00% ETP, Due 1/1/22)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42"/>
        </w:trPr>
        <w:tc>
          <w:tcPr>
            <w:tcW w:w="40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59,927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59,906</w:t>
            </w:r>
          </w:p>
        </w:tc>
        <w:tc>
          <w:tcPr>
            <w:tcW w:w="100" w:type="dxa"/>
            <w:vAlign w:val="bottom"/>
            <w:tcBorders>
              <w:bottom w:val="single" w:sz="8" w:color="CCEEFF"/>
            </w:tcBorders>
          </w:tcPr>
          <w:p>
            <w:pPr>
              <w:spacing w:after="0"/>
              <w:rPr>
                <w:sz w:val="12"/>
                <w:szCs w:val="12"/>
                <w:color w:val="auto"/>
              </w:rPr>
            </w:pPr>
          </w:p>
        </w:tc>
      </w:tr>
      <w:tr>
        <w:trPr>
          <w:trHeight w:val="142"/>
        </w:trPr>
        <w:tc>
          <w:tcPr>
            <w:tcW w:w="4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89.7% (8)</w:t>
            </w: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Audacy Corporation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(9.90% cash (Libor + 7.90%;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9.50%), 5.00% ETP, Due 7/1/22)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 (2)</w:t>
            </w:r>
          </w:p>
        </w:tc>
        <w:tc>
          <w:tcPr>
            <w:tcW w:w="13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(11.95% cash (Libor + 9.95%;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3,897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3,897</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11.25%), 2.50% ETP, Due 7/1/21)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(11.95% cash (Libor + 9.95%;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3,937</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11.25%), 2.50% ETP, Due 7/1/21)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(11.95% cash (Libor + 9.95%;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3,937</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11.25%), 2.50% ETP, Due 7/1/21)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PebblePost, Inc.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(11.26% cash (Libor + 9.26%;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10.25%), 4.00% ETP, Due 7/1/21)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(11.26% cash (Libor + 9.26%;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10.25%), 4.00% ETP, Due 7/1/21)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SavingStar, Inc.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(12.40% cash (Libor + 10.40%;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1,916</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1,895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1,895</w:t>
            </w:r>
          </w:p>
        </w:tc>
      </w:tr>
      <w:tr>
        <w:trPr>
          <w:trHeight w:val="167"/>
        </w:trPr>
        <w:tc>
          <w:tcPr>
            <w:tcW w:w="264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Technologies</w:t>
            </w: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10.90%), 4.25% ETP, Due 6/1/20)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(12.40% cash (Libor + 10.40%;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1,778</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1,727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1,727</w:t>
            </w:r>
          </w:p>
        </w:tc>
      </w:tr>
      <w:tr>
        <w:trPr>
          <w:trHeight w:val="167"/>
        </w:trPr>
        <w:tc>
          <w:tcPr>
            <w:tcW w:w="2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10.90%), 3.80% ETP, Due 11/1/20)</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IgnitionOne, Inc. (2)</w:t>
            </w:r>
          </w:p>
        </w:tc>
        <w:tc>
          <w:tcPr>
            <w:tcW w:w="1380" w:type="dxa"/>
            <w:vAlign w:val="bottom"/>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(12.23% cash (Libor + 10.23%;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2,852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2,852</w:t>
            </w:r>
          </w:p>
        </w:tc>
      </w:tr>
      <w:tr>
        <w:trPr>
          <w:trHeight w:val="182"/>
        </w:trPr>
        <w:tc>
          <w:tcPr>
            <w:tcW w:w="2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10.23%), 2.00% ETP, Due 4/1/22)</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5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Investments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(12)</w:t>
            </w:r>
          </w:p>
        </w:tc>
      </w:tr>
      <w:tr>
        <w:trPr>
          <w:trHeight w:val="123"/>
        </w:trPr>
        <w:tc>
          <w:tcPr>
            <w:tcW w:w="2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(12.23% cash (Libor + 10.23%; Floor</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3,000</w:t>
            </w: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2,852</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2,852</w:t>
            </w: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(12.23% cash (Libor + 10.23%;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2,852</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(12.23% cash (Libor + 10.23%;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2,852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2,852</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Jump Ramp Games,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(11.73% cash (Libor + 9.73%),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3,951</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3.00% ETP, Due 4/1/21)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(11.60% cash (Libor + 9.60%;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2,825</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2,724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2,724</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10.75%), 2.00% ETP, Due 5/1/21)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(11.60% cash (Libor + 9.60%;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2,778</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10.75%), 2.00% ETP, Due 5/1/21)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Lawyer Incorporated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(11.40% cash (Libor + 9.40%;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3,942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3.00% ETP, Due 7/1/21)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(11.40% cash (Libor + 9.40%;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3,942</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10.50%), 3.00% ETP, Due 7/1/21)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(11.40% cash (Libor + 9.40%;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1,968</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1,968</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3.00% ETP, Due 11/1/21)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Verve Wireless,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(10.80% cash (Libor + 8.80%;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3,448</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10.80%), 3.33% ETP, Due 9/1/21)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Zinio Holdings, LLC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(13.25% cash (Libor + 11.25%;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3,983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3,983</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11.75%), 6.00% ETP, Due 2/1/20)</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The NanoSteel Company,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Materials</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(11.50% cash (Libor + 9.50%;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4,158</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7.20% ETP, Due 5/1/20)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(11.50% cash (Libor + 9.50%;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2,118</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2,090</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2,090</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6.45% ETP, Due 5/1/20)</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(11.50% cash (Libor + 9.50%;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2,293</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5.85% ETP, Due 7/1/20)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Powerhouse Dynamics, Inc.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 Management</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(12.70% cash (Libor + 10.70%;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875</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853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853</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11.20%), 3.32% ETP, Due 9/1/19)</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Luxtera, Inc.</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Semiconductors</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(11.75% cash (Prime + 6.75%),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1,923</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Due 3/28/20)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(11.75% cash (Prime + 6.75%),</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1,456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1,456</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Due 3/28/20)</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Bridge2 Solutions, LLC.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(11.25% cash (Libor + 9.25%;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4,806</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10.50%), 2.00% ETP, Due 11/1/21)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(11.25% cash (Libor + 9.25%;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4,781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4,781</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2.00% ETP, Due 11/1/21)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Education Elements,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(12.00% cash (Libor + 10.00%; Floor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10.50%), 4.00% ETP, Due 1/1/19)</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(12.00% cash (Libor + 10.00%;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641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641</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4.00% ETP, Due 8/1/19)</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Metricly, Inc.</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(14.25% cash (Libor + 12.25%; Floor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12.50%), 3.33% ETP, Due 9/1/18)</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Signature US, Inc. (2)(13)</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(10.59% cash (Libor + 8.50%;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2,750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2,693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2,693</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3.50% ETP, Due 7/1/22)</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ShopKeep.com,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(11.95% cash (Libor + 9.95%;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5,316</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10.45%), 4.08% ETP, Due 10/1/20)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(11.95% cash (Libor + 9.95%;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3,800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3,736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3,736</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10.45%), 3.55% ETP, Due 2/1/21)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SIGNiX, Inc.</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(13.00% cash (Libor + 11.00%;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1,652</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11.50%), 6.17% ETP, Due 2/1/20)</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Weblinc Corporation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(12.25% cash (Libor + 10.25%;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2,958</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2,958</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11.25%), 3.00% ETP, Due 3/1/21)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xAd, Inc. (2)</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(10.70% cash (Libor + 8.70%;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4,909</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(10.70% cash (Libor + 8.70%;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4,909</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4,909</w:t>
            </w: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(10.70% cash (Libor + 8.70%; Floor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2,945</w:t>
            </w: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(10.70% cash (Libor + 8.70%;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1,964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1,964</w:t>
            </w:r>
          </w:p>
        </w:tc>
      </w:tr>
      <w:tr>
        <w:trPr>
          <w:trHeight w:val="181"/>
        </w:trPr>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-5676265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-5299075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-4921885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-4544695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-4167505</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-3789680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-3412490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-1903095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Sector</w:t>
            </w:r>
          </w:p>
        </w:tc>
        <w:tc>
          <w:tcPr>
            <w:tcW w:w="3120" w:type="dxa"/>
            <w:vAlign w:val="bottom"/>
            <w:gridSpan w:val="2"/>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 (6)</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 (12)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9"/>
              </w:rPr>
              <w:t>Total Non-Affiliate Debt Investments —</w:t>
            </w:r>
          </w:p>
        </w:tc>
        <w:tc>
          <w:tcPr>
            <w:tcW w:w="1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120,272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119,915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12.7% (8)</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Catasys, Inc. (2)(5)</w:t>
            </w:r>
          </w:p>
        </w:tc>
        <w:tc>
          <w:tcPr>
            <w:tcW w:w="2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(9.80% cash (Libor + 7.75%;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2,475</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9.75%), 6.00% ETP, Due 3/1/22)</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(9.80% cash (Libor + 7.75%;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2,475</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9.75%), 6.00% ETP, Due 3/1/22)</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(2)</w:t>
            </w:r>
          </w:p>
        </w:tc>
        <w:tc>
          <w:tcPr>
            <w:tcW w:w="2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(10.25%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4,864</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7/1/22)</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(10.25% cash (Libor + 8.25%;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3,750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3,699</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9.25%), 3.00% ETP, Due 1/1/23)</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(10.25%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3,750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3,695</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4/1/23)</w:t>
            </w: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Total Non-Affiliate Debt Investments —</w:t>
            </w:r>
          </w:p>
        </w:tc>
        <w:tc>
          <w:tcPr>
            <w:tcW w:w="2060" w:type="dxa"/>
            <w:vAlign w:val="bottom"/>
            <w:tcBorders>
              <w:bottom w:val="single" w:sz="8" w:color="CCEEFF"/>
            </w:tcBorders>
            <w:gridSpan w:val="3"/>
          </w:tcPr>
          <w:p>
            <w:pPr>
              <w:jc w:val="center"/>
              <w:ind w:right="40"/>
              <w:spacing w:after="0" w:line="142" w:lineRule="exact"/>
              <w:rPr>
                <w:sz w:val="20"/>
                <w:szCs w:val="20"/>
                <w:color w:val="auto"/>
              </w:rPr>
            </w:pPr>
            <w:r>
              <w:rPr>
                <w:rFonts w:ascii="Arial" w:cs="Arial" w:eastAsia="Arial" w:hAnsi="Arial"/>
                <w:sz w:val="14"/>
                <w:szCs w:val="14"/>
                <w:color w:val="auto"/>
                <w:w w:val="90"/>
              </w:rPr>
              <w:t>Healthcare information and services</w:t>
            </w: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17,208</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Non- Affiliate Debt Investments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197,407</w:t>
            </w:r>
          </w:p>
        </w:tc>
        <w:tc>
          <w:tcPr>
            <w:tcW w:w="22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197,029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 Investments — 6.8%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1.4%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431,201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Alpine Immune Sciences, Inc.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4,634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Argos Therapeutics, Inc. (2)(5)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3,656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Celsion Corporation (2)(5)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190,522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Rocket Pharmaceuticals Corporation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1,763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Palatin Technologies, Inc. (2)(5)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608,058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34,113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Sample6,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661,956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Strongbridge U.S. Inc. (2)(5)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160,714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2,050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vTv Therapeutics Inc. (2)(5)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95,293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Titan Pharmaceuticals, Inc. (2)(5)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Drug Delivery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320,612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AccuVein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1,174,881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Aerin Medical,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1,818,182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Conventus Orthopaedics,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720,000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Lantos Technologies,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1,715,926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Mitralign,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64,190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NinePoint Medical,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29,102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ReShape Lifesciences Inc.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122,362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VERO Biotech LLC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ViOptix, Inc.</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rPr>
                <w:sz w:val="20"/>
                <w:szCs w:val="20"/>
                <w:color w:val="auto"/>
              </w:rPr>
            </w:pPr>
            <w:r>
              <w:rPr>
                <w:rFonts w:ascii="Arial" w:cs="Arial" w:eastAsia="Arial" w:hAnsi="Arial"/>
                <w:sz w:val="14"/>
                <w:szCs w:val="14"/>
                <w:color w:val="auto"/>
              </w:rPr>
              <w:t>375,763 Preferred Stock Warrants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30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Warrants — Technology — 4.8%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Audacy Corporation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176,134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Ekahau,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978,261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2,256,549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PebblePost,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598,850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Additech,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150,000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Gwynnie Bee,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268,591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 Tote,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202,974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852,273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SavingStar,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850,439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IgnitionOne,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262,910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Jump Ramp Games,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159,766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Kixeye,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791,251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261,721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Verve Wireless,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112,805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379,360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Powerhouse Dynamics,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Power Management</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348,838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202,602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eASIC Corporation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40,445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Kaminario,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4,800,000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Luxtera, Inc.(2)</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rPr>
                <w:sz w:val="20"/>
                <w:szCs w:val="20"/>
                <w:color w:val="auto"/>
              </w:rPr>
            </w:pPr>
            <w:r>
              <w:rPr>
                <w:rFonts w:ascii="Arial" w:cs="Arial" w:eastAsia="Arial" w:hAnsi="Arial"/>
                <w:sz w:val="14"/>
                <w:szCs w:val="14"/>
                <w:color w:val="auto"/>
              </w:rPr>
              <w:t>3,546,553 Preferred Stock Warrants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480" w:type="dxa"/>
            <w:vAlign w:val="bottom"/>
          </w:tcPr>
          <w:p>
            <w:pPr>
              <w:spacing w:after="0"/>
              <w:rPr>
                <w:sz w:val="14"/>
                <w:szCs w:val="14"/>
                <w:color w:val="auto"/>
              </w:rPr>
            </w:pPr>
          </w:p>
        </w:tc>
        <w:tc>
          <w:tcPr>
            <w:tcW w:w="2800" w:type="dxa"/>
            <w:vAlign w:val="bottom"/>
            <w:gridSpan w:val="3"/>
          </w:tcPr>
          <w:p>
            <w:pPr>
              <w:ind w:left="4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Investments (6)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Value (12)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Soraa, Inc. (2)</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Semiconductors</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0"/>
              </w:rPr>
              <w:t>203,616</w:t>
            </w:r>
          </w:p>
        </w:tc>
        <w:tc>
          <w:tcPr>
            <w:tcW w:w="25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Stock Warrants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Bolt Solutions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202,892</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125,458</w:t>
            </w:r>
          </w:p>
        </w:tc>
        <w:tc>
          <w:tcPr>
            <w:tcW w:w="2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BSI Platform Holdings, LLC (2)(13)</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137,500</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Clarabridge,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53,486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Education Elements,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238,121</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288,115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Metricly,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41,569 Common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321,428</w:t>
            </w:r>
          </w:p>
        </w:tc>
        <w:tc>
          <w:tcPr>
            <w:tcW w:w="2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ShopKeep.com,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193,962</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SIGNiX,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133,560</w:t>
            </w:r>
          </w:p>
        </w:tc>
        <w:tc>
          <w:tcPr>
            <w:tcW w:w="2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Skyword,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301,056</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SpringCM,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Sys-Tech Solutions,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375,000</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Weblinc Corporation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195,122</w:t>
            </w:r>
          </w:p>
        </w:tc>
        <w:tc>
          <w:tcPr>
            <w:tcW w:w="2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xAd, Inc. (2)</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Software</w:t>
            </w:r>
          </w:p>
        </w:tc>
        <w:tc>
          <w:tcPr>
            <w:tcW w:w="3280" w:type="dxa"/>
            <w:vAlign w:val="bottom"/>
            <w:gridSpan w:val="4"/>
          </w:tcPr>
          <w:p>
            <w:pPr>
              <w:spacing w:after="0"/>
              <w:rPr>
                <w:sz w:val="20"/>
                <w:szCs w:val="20"/>
                <w:color w:val="auto"/>
              </w:rPr>
            </w:pPr>
            <w:r>
              <w:rPr>
                <w:rFonts w:ascii="Arial" w:cs="Arial" w:eastAsia="Arial" w:hAnsi="Arial"/>
                <w:sz w:val="14"/>
                <w:szCs w:val="14"/>
                <w:color w:val="auto"/>
              </w:rPr>
              <w:t>4,343,350 Preferred Stock Warrants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Non-Affiliate Warrants —</w:t>
            </w:r>
          </w:p>
        </w:tc>
        <w:tc>
          <w:tcPr>
            <w:tcW w:w="10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5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Renmatix,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Alternative Energy</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53,022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Tigo Energy, Inc. (2)</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Energy Efficiency</w:t>
            </w:r>
          </w:p>
        </w:tc>
        <w:tc>
          <w:tcPr>
            <w:tcW w:w="480" w:type="dxa"/>
            <w:vAlign w:val="bottom"/>
          </w:tcPr>
          <w:p>
            <w:pPr>
              <w:spacing w:after="0"/>
              <w:rPr>
                <w:sz w:val="20"/>
                <w:szCs w:val="20"/>
                <w:color w:val="auto"/>
              </w:rPr>
            </w:pPr>
            <w:r>
              <w:rPr>
                <w:rFonts w:ascii="Arial" w:cs="Arial" w:eastAsia="Arial" w:hAnsi="Arial"/>
                <w:sz w:val="14"/>
                <w:szCs w:val="14"/>
                <w:color w:val="auto"/>
                <w:w w:val="90"/>
              </w:rPr>
              <w:t>804,604</w:t>
            </w:r>
          </w:p>
        </w:tc>
        <w:tc>
          <w:tcPr>
            <w:tcW w:w="2800" w:type="dxa"/>
            <w:vAlign w:val="bottom"/>
            <w:gridSpan w:val="3"/>
          </w:tcPr>
          <w:p>
            <w:pPr>
              <w:ind w:left="20"/>
              <w:spacing w:after="0"/>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Non-Affiliate Warrants —</w:t>
            </w:r>
          </w:p>
        </w:tc>
        <w:tc>
          <w:tcPr>
            <w:tcW w:w="10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5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Cleantech</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gridSpan w:val="4"/>
          </w:tcPr>
          <w:p>
            <w:pPr>
              <w:spacing w:after="0" w:line="106" w:lineRule="exact"/>
              <w:rPr>
                <w:sz w:val="20"/>
                <w:szCs w:val="20"/>
                <w:color w:val="auto"/>
              </w:rPr>
            </w:pPr>
            <w:r>
              <w:rPr>
                <w:rFonts w:ascii="Arial" w:cs="Arial" w:eastAsia="Arial" w:hAnsi="Arial"/>
                <w:sz w:val="12"/>
                <w:szCs w:val="12"/>
                <w:b w:val="1"/>
                <w:bCs w:val="1"/>
                <w:color w:val="auto"/>
              </w:rPr>
              <w:t>Non-Affiliate Warrants — Healthcare information and services —</w:t>
            </w:r>
          </w:p>
        </w:tc>
        <w:tc>
          <w:tcPr>
            <w:tcW w:w="4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0.5% (8)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Diagnostics</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49,000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ProterixBio,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Diagnostics</w:t>
            </w: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3,156 Common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294,231</w:t>
            </w:r>
          </w:p>
        </w:tc>
        <w:tc>
          <w:tcPr>
            <w:tcW w:w="2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Verity Solutions Group,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300,360</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27,373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HealthEdge Software,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158,063</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7,097,792 Preferred Stock Warrants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Recondo Technology, Inc. (2)</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Software</w:t>
            </w:r>
          </w:p>
        </w:tc>
        <w:tc>
          <w:tcPr>
            <w:tcW w:w="480" w:type="dxa"/>
            <w:vAlign w:val="bottom"/>
          </w:tcPr>
          <w:p>
            <w:pPr>
              <w:spacing w:after="0"/>
              <w:rPr>
                <w:sz w:val="20"/>
                <w:szCs w:val="20"/>
                <w:color w:val="auto"/>
              </w:rPr>
            </w:pPr>
            <w:r>
              <w:rPr>
                <w:rFonts w:ascii="Arial" w:cs="Arial" w:eastAsia="Arial" w:hAnsi="Arial"/>
                <w:sz w:val="14"/>
                <w:szCs w:val="14"/>
                <w:color w:val="auto"/>
                <w:w w:val="90"/>
              </w:rPr>
              <w:t>556,796</w:t>
            </w:r>
          </w:p>
        </w:tc>
        <w:tc>
          <w:tcPr>
            <w:tcW w:w="2800" w:type="dxa"/>
            <w:vAlign w:val="bottom"/>
            <w:gridSpan w:val="3"/>
          </w:tcPr>
          <w:p>
            <w:pPr>
              <w:ind w:left="20"/>
              <w:spacing w:after="0"/>
              <w:rPr>
                <w:sz w:val="20"/>
                <w:szCs w:val="20"/>
                <w:color w:val="auto"/>
              </w:rPr>
            </w:pPr>
            <w:r>
              <w:rPr>
                <w:rFonts w:ascii="Arial" w:cs="Arial" w:eastAsia="Arial" w:hAnsi="Arial"/>
                <w:sz w:val="14"/>
                <w:szCs w:val="14"/>
                <w:color w:val="auto"/>
              </w:rPr>
              <w:t>Preferred Stock Warrants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Non-Affiliate Warrants —</w:t>
            </w:r>
          </w:p>
        </w:tc>
        <w:tc>
          <w:tcPr>
            <w:tcW w:w="10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5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Healthcare information and services</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1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6,393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9,070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Non-Affiliate Other Investments — 5.8% (8)</w:t>
            </w:r>
          </w:p>
        </w:tc>
        <w:tc>
          <w:tcPr>
            <w:tcW w:w="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Espero Pharmaceuticals,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Royalty Agreement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ZetrOZ,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Royalty Agreement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Vette Technology, LLC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Data Storage</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Royalty Agreement Due 4/18/2019</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Triple Double Holdings, LLC</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Software</w:t>
            </w:r>
          </w:p>
        </w:tc>
        <w:tc>
          <w:tcPr>
            <w:tcW w:w="3280" w:type="dxa"/>
            <w:vAlign w:val="bottom"/>
            <w:gridSpan w:val="4"/>
          </w:tcPr>
          <w:p>
            <w:pPr>
              <w:spacing w:after="0"/>
              <w:rPr>
                <w:sz w:val="20"/>
                <w:szCs w:val="20"/>
                <w:color w:val="auto"/>
              </w:rPr>
            </w:pPr>
            <w:r>
              <w:rPr>
                <w:rFonts w:ascii="Arial" w:cs="Arial" w:eastAsia="Arial" w:hAnsi="Arial"/>
                <w:sz w:val="14"/>
                <w:szCs w:val="14"/>
                <w:color w:val="auto"/>
              </w:rPr>
              <w:t>License Agreement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Non-Affiliate Other Investments</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11,895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1.0% (8)</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Insmed Incorporated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33,208 Common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5,125 Common Stock</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13,082 Common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SnagAJob.com, Inc.</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82,974 Common Stock</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Verve Wireless,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480" w:type="dxa"/>
            <w:vAlign w:val="bottom"/>
          </w:tcPr>
          <w:p>
            <w:pPr>
              <w:spacing w:after="0" w:line="149" w:lineRule="exact"/>
              <w:rPr>
                <w:sz w:val="20"/>
                <w:szCs w:val="20"/>
                <w:color w:val="auto"/>
              </w:rPr>
            </w:pPr>
            <w:r>
              <w:rPr>
                <w:rFonts w:ascii="Arial" w:cs="Arial" w:eastAsia="Arial" w:hAnsi="Arial"/>
                <w:sz w:val="14"/>
                <w:szCs w:val="14"/>
                <w:color w:val="auto"/>
                <w:w w:val="90"/>
              </w:rPr>
              <w:t>100,598</w:t>
            </w:r>
          </w:p>
        </w:tc>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TruSignal, Inc.</w:t>
            </w:r>
          </w:p>
        </w:tc>
        <w:tc>
          <w:tcPr>
            <w:tcW w:w="2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32,637 Common Stock</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480" w:type="dxa"/>
            <w:vAlign w:val="bottom"/>
            <w:tcBorders>
              <w:bottom w:val="single" w:sz="8" w:color="CCEEFF"/>
            </w:tcBorders>
            <w:shd w:val="clear" w:color="auto" w:fill="CCEEFF"/>
          </w:tcPr>
          <w:p>
            <w:pPr>
              <w:spacing w:after="0"/>
              <w:rPr>
                <w:sz w:val="13"/>
                <w:szCs w:val="13"/>
                <w:color w:val="auto"/>
              </w:rPr>
            </w:pPr>
          </w:p>
        </w:tc>
        <w:tc>
          <w:tcPr>
            <w:tcW w:w="2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216,364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215,102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 Investments — 5.5% (8)</w:t>
            </w:r>
          </w:p>
        </w:tc>
        <w:tc>
          <w:tcPr>
            <w:tcW w:w="4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Non-controlled Affiliate Debt Investments — Technology — 4.8% (8)</w:t>
            </w:r>
          </w:p>
        </w:tc>
        <w:tc>
          <w:tcPr>
            <w:tcW w:w="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w:t>
            </w:r>
          </w:p>
        </w:tc>
        <w:tc>
          <w:tcPr>
            <w:tcW w:w="2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2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w w:val="98"/>
              </w:rPr>
              <w:t>Term Loan (14.308% cash (Libor + 12.308%; Floor  $</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1,523</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1,522</w:t>
            </w:r>
          </w:p>
        </w:tc>
        <w:tc>
          <w:tcPr>
            <w:tcW w:w="26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12.50%), 8.00% ETP, Due 12/1/20)</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Term Loan (14.308% cash (Libor + 12.308%; Floor</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12.50%), 8.00% ETP, Due 12/1/20)</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Term Loan (12.02% cash, Due 12/31/19)</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Term Loan (12.03% cash, Due 12/31/19)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Term Loan (12.24% cash, Due 12/31/19)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4"/>
          </w:tcPr>
          <w:p>
            <w:pPr>
              <w:spacing w:after="0"/>
              <w:rPr>
                <w:sz w:val="20"/>
                <w:szCs w:val="20"/>
                <w:color w:val="auto"/>
              </w:rPr>
            </w:pPr>
            <w:r>
              <w:rPr>
                <w:rFonts w:ascii="Arial" w:cs="Arial" w:eastAsia="Arial" w:hAnsi="Arial"/>
                <w:sz w:val="14"/>
                <w:szCs w:val="14"/>
                <w:color w:val="auto"/>
              </w:rPr>
              <w:t>Term Loan (13.08% cash, Due 12/31/19)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2466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Investments (6)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Value (12)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Borders>
              <w:top w:val="single" w:sz="8" w:color="auto"/>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StereoVision Imaging, Inc.</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200" w:type="dxa"/>
            <w:vAlign w:val="bottom"/>
            <w:tcBorders>
              <w:top w:val="single" w:sz="8" w:color="auto"/>
              <w:bottom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Term Loan (9.03% PIK (Libor + 7.03%; Floor</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CCEEFF"/>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3,200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2,798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2,774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8.50%), 8.50% ETP, Due 9/1/21) (11)</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gridSpan w:val="4"/>
          </w:tcPr>
          <w:p>
            <w:pPr>
              <w:spacing w:after="0"/>
              <w:rPr>
                <w:sz w:val="20"/>
                <w:szCs w:val="20"/>
                <w:color w:val="auto"/>
              </w:rPr>
            </w:pPr>
            <w:r>
              <w:rPr>
                <w:rFonts w:ascii="Arial" w:cs="Arial" w:eastAsia="Arial" w:hAnsi="Arial"/>
                <w:sz w:val="14"/>
                <w:szCs w:val="14"/>
                <w:color w:val="auto"/>
              </w:rPr>
              <w:t>Total Non-controlled Affiliate Debt Investments — Technology</w:t>
            </w: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6,655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6,430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Decisyon, Inc.</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82,967 Common Stock Warrants</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tcPr>
          <w:p>
            <w:pPr>
              <w:spacing w:after="0" w:line="110" w:lineRule="exact"/>
              <w:rPr>
                <w:sz w:val="20"/>
                <w:szCs w:val="20"/>
                <w:color w:val="auto"/>
              </w:rPr>
            </w:pPr>
            <w:r>
              <w:rPr>
                <w:rFonts w:ascii="Arial" w:cs="Arial" w:eastAsia="Arial" w:hAnsi="Arial"/>
                <w:sz w:val="12"/>
                <w:szCs w:val="12"/>
                <w:color w:val="auto"/>
              </w:rPr>
              <w:t>Total Non-controlled Affiliate Warrants —</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520" w:type="dxa"/>
            <w:vAlign w:val="bottom"/>
            <w:gridSpan w:val="2"/>
          </w:tcPr>
          <w:p>
            <w:pPr>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Non-controlled Affiliate Equity — Technology — 0.7%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45,365,936 Common Stock</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StereoVision Imaging, Inc.</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1,943,572 Common Stock</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791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7,677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7,296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Controlled Affiliate Investments — 3.0%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3.0% (8)</w:t>
            </w: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Horizon Secured Loan Fund I LLC (14)</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Investment funds</w:t>
            </w: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4,069</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4,069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4,069</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gridSpan w:val="4"/>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4"/>
          </w:tcPr>
          <w:p>
            <w:pPr>
              <w:spacing w:after="0"/>
              <w:rPr>
                <w:sz w:val="20"/>
                <w:szCs w:val="20"/>
                <w:color w:val="auto"/>
              </w:rPr>
            </w:pPr>
            <w:r>
              <w:rPr>
                <w:rFonts w:ascii="Arial" w:cs="Arial" w:eastAsia="Arial" w:hAnsi="Arial"/>
                <w:sz w:val="14"/>
                <w:szCs w:val="14"/>
                <w:b w:val="1"/>
                <w:bCs w:val="1"/>
                <w:color w:val="auto"/>
              </w:rPr>
              <w:t>Total Portfolio Investment Assets — 169.3%(8)</w:t>
            </w:r>
          </w:p>
        </w:tc>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228,110</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226,467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54" w:lineRule="exact"/>
        <w:rPr>
          <w:rFonts w:ascii="Arial" w:cs="Arial" w:eastAsia="Arial" w:hAnsi="Arial"/>
          <w:sz w:val="16"/>
          <w:szCs w:val="16"/>
          <w:color w:val="auto"/>
        </w:rPr>
      </w:pPr>
    </w:p>
    <w:p>
      <w:pPr>
        <w:jc w:val="both"/>
        <w:ind w:left="46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June 30, 2018 is provided.</w:t>
      </w:r>
    </w:p>
    <w:p>
      <w:pPr>
        <w:spacing w:after="0" w:line="18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ind w:left="460" w:right="500" w:hanging="452"/>
        <w:spacing w:after="0" w:line="28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June 30, 2018, 1.8% of the Company’s total investments on a cost and fair value basis, respectively,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65"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for common stock in publicly traded companies, the fair value of the investment was valued using significant unobservable inputs.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rFonts w:ascii="Arial" w:cs="Arial" w:eastAsia="Arial" w:hAnsi="Arial"/>
          <w:sz w:val="18"/>
          <w:szCs w:val="18"/>
          <w:color w:val="auto"/>
        </w:rPr>
      </w:pPr>
    </w:p>
    <w:p>
      <w:pPr>
        <w:jc w:val="both"/>
        <w:ind w:left="460" w:hanging="452"/>
        <w:spacing w:after="0" w:line="27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Although the Company owns more than 25% of the voting securities of HSLFI, the Company does not believe it controls HSLFI for purposes of the 1940 Act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931" w:right="239" w:bottom="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860" w:type="dxa"/>
            <w:vAlign w:val="bottom"/>
          </w:tcPr>
          <w:p>
            <w:pPr>
              <w:ind w:left="7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000" w:type="dxa"/>
            <w:vAlign w:val="bottom"/>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Investments (6)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Non-Affiliate Investments — 161.8% (8)</w:t>
            </w:r>
          </w:p>
        </w:tc>
        <w:tc>
          <w:tcPr>
            <w:tcW w:w="1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148.4% (8)</w:t>
            </w: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43.0% (8)</w:t>
            </w: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Biotechnology</w:t>
            </w:r>
          </w:p>
        </w:tc>
        <w:tc>
          <w:tcPr>
            <w:tcW w:w="1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Term Loan (9.87% cash (Libor + 8.50%; Floor</w:t>
            </w:r>
          </w:p>
        </w:tc>
        <w:tc>
          <w:tcPr>
            <w:tcW w:w="2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2,000</w:t>
            </w:r>
          </w:p>
        </w:tc>
        <w:tc>
          <w:tcPr>
            <w:tcW w:w="2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1,980</w:t>
            </w:r>
          </w:p>
        </w:tc>
        <w:tc>
          <w:tcPr>
            <w:tcW w:w="2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9.00%), 5.00% ETP, Due 1/1/19)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(9.87% cash (Libor + 8.50%; Floor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3,139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9.00%), 5.00% ETP, Due 8/1/19)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vTv Therapeutics Inc. (2)(5)</w:t>
            </w:r>
          </w:p>
        </w:tc>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Biotechnology</w:t>
            </w:r>
          </w:p>
        </w:tc>
        <w:tc>
          <w:tcPr>
            <w:tcW w:w="1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w w:val="99"/>
              </w:rPr>
              <w:t>Term Loan (11.37% cash (Libor + 10.00%; Floor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6,250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6,196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6,196</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10.50%), 6.00% ETP, Due 5/1/20)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Term Loan (11.37% cash (Libor + 10.00%; Floor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10.50%), 6.00% ETP, Due 10/1/20)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Titan Pharmaceuticals, Inc. (2)(5)</w:t>
            </w:r>
          </w:p>
        </w:tc>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Drug Delivery</w:t>
            </w:r>
          </w:p>
        </w:tc>
        <w:tc>
          <w:tcPr>
            <w:tcW w:w="1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Term Loan (9.77% cash (Libor + 8.40%; Floor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3,400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9.50%), 5.00% ETP, Due 6/1/21)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(9.77% cash (Libor + 8.40%; Floor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3,430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9.50%), 5.00% ETP, Due 6/1/21)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Aerin Medical, Inc. (2)</w:t>
            </w:r>
          </w:p>
        </w:tc>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3,876</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Conventus Orthopaedics, Inc. (2)</w:t>
            </w:r>
          </w:p>
        </w:tc>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9.25%), 6.00% ETP, Due 6/1/21)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9.25%), 6.00% ETP, Due 6/1/21)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9.25%), 6.00% ETP, Due 6/1/21)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Lantos Technologies, Inc. (2)</w:t>
            </w:r>
          </w:p>
        </w:tc>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(11.87% PIK (Libor + 10.50%;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11.50%), 8.91% ETP, Due 5/1/19) (13)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Mederi Therapeutics, Inc. (2)</w:t>
            </w:r>
          </w:p>
        </w:tc>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Term Loan (13.01% cash (Libor + 11.82%;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12.00%), 6.00% ETP, Due 12/1/17)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w w:val="99"/>
              </w:rPr>
              <w:t>Term Loan (13.01% cash (Libor + 11.82%;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12.00%), 6.00% ETP, Due 12/1/17)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w:t>
            </w:r>
          </w:p>
        </w:tc>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(10.12% cash (Libor + 8.75%;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(10.12% cash (Libor + 8.75%;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VERO Biotech LLC (2)</w:t>
            </w:r>
          </w:p>
        </w:tc>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Medical Device</w:t>
            </w: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(9.33% cash (Libor + 8.00%;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9.25%), 5.00% ETP, Due 1/1/22)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(9.33% cash (Libor + 8.00%;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3,934</w:t>
            </w:r>
          </w:p>
        </w:tc>
        <w:tc>
          <w:tcPr>
            <w:tcW w:w="0" w:type="dxa"/>
            <w:vAlign w:val="bottom"/>
          </w:tcPr>
          <w:p>
            <w:pPr>
              <w:spacing w:after="0"/>
              <w:rPr>
                <w:sz w:val="1"/>
                <w:szCs w:val="1"/>
                <w:color w:val="auto"/>
              </w:rPr>
            </w:pPr>
          </w:p>
        </w:tc>
      </w:tr>
      <w:tr>
        <w:trPr>
          <w:trHeight w:val="162"/>
        </w:trPr>
        <w:tc>
          <w:tcPr>
            <w:tcW w:w="438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Total Non-Affiliate Debt Investments — Life Science</w:t>
            </w:r>
          </w:p>
        </w:tc>
        <w:tc>
          <w:tcPr>
            <w:tcW w:w="12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9.25%), 5.00% ETP, Due 1/1/22)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99.1% (8)</w:t>
            </w: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w:t>
            </w:r>
          </w:p>
        </w:tc>
        <w:tc>
          <w:tcPr>
            <w:tcW w:w="1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Communications</w:t>
            </w: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(11.39% cash (Libor + 9.95%; Floor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3,888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(11.39% cash (Libor + 9.95%;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(11.39% cash (Libor + 9.95%;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PebblePost, Inc. (2)</w:t>
            </w:r>
          </w:p>
        </w:tc>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Communications</w:t>
            </w: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(10.63% cash (Libor + 9.26%;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3,874</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10.25%), 4.00% ETP, Due 7/1/21)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(10.63% cash (Libor + 9.26%;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10.25%), 4.00% ETP, Due 7/1/21)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Le Tote, Inc. (2)</w:t>
            </w:r>
          </w:p>
        </w:tc>
        <w:tc>
          <w:tcPr>
            <w:tcW w:w="1860" w:type="dxa"/>
            <w:vAlign w:val="bottom"/>
          </w:tcPr>
          <w:p>
            <w:pPr>
              <w:ind w:left="20"/>
              <w:spacing w:after="0" w:line="149" w:lineRule="exact"/>
              <w:rPr>
                <w:sz w:val="20"/>
                <w:szCs w:val="20"/>
                <w:color w:val="auto"/>
              </w:rPr>
            </w:pPr>
            <w:r>
              <w:rPr>
                <w:rFonts w:ascii="Arial" w:cs="Arial" w:eastAsia="Arial" w:hAnsi="Arial"/>
                <w:sz w:val="14"/>
                <w:szCs w:val="14"/>
                <w:color w:val="auto"/>
                <w:w w:val="91"/>
              </w:rPr>
              <w:t>Consumer-related Technologies</w:t>
            </w: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Term Loan (11.02% cash (Libor + 9.65%;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(11.02% cash (Libor + 9.65%;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2,969</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SavingStar, Inc. (2)</w:t>
            </w:r>
          </w:p>
        </w:tc>
        <w:tc>
          <w:tcPr>
            <w:tcW w:w="1860" w:type="dxa"/>
            <w:vAlign w:val="bottom"/>
          </w:tcPr>
          <w:p>
            <w:pPr>
              <w:ind w:left="20"/>
              <w:spacing w:after="0" w:line="149" w:lineRule="exact"/>
              <w:rPr>
                <w:sz w:val="20"/>
                <w:szCs w:val="20"/>
                <w:color w:val="auto"/>
              </w:rPr>
            </w:pPr>
            <w:r>
              <w:rPr>
                <w:rFonts w:ascii="Arial" w:cs="Arial" w:eastAsia="Arial" w:hAnsi="Arial"/>
                <w:sz w:val="14"/>
                <w:szCs w:val="14"/>
                <w:color w:val="auto"/>
                <w:w w:val="91"/>
              </w:rPr>
              <w:t>Consumer-related Technologies</w:t>
            </w:r>
          </w:p>
        </w:tc>
        <w:tc>
          <w:tcPr>
            <w:tcW w:w="1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w w:val="99"/>
              </w:rPr>
              <w:t>Term Loan (11.77% cash (Libor + 10.40%; Floor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30"/>
        </w:trPr>
        <w:tc>
          <w:tcPr>
            <w:tcW w:w="2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10.90%), 4.25% ETP, Due 6/1/20)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Term Loan (11.77% cash (Libor + 10.40%; Floor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10.90%), 3.80% ETP, Due 11/1/20)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IgnitionOne, Inc. (2)</w:t>
            </w:r>
          </w:p>
        </w:tc>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Internet and Media</w:t>
            </w:r>
          </w:p>
        </w:tc>
        <w:tc>
          <w:tcPr>
            <w:tcW w:w="1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w w:val="99"/>
              </w:rPr>
              <w:t>Term Loan (11.60% cash (Libor + 10.23%; Floor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10.23%), 2.00% ETP, Due 4/1/22)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-4562475</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-4185285</wp:posOffset>
            </wp:positionV>
            <wp:extent cx="72466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-3808095</wp:posOffset>
            </wp:positionV>
            <wp:extent cx="724662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-3430905</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-3053080</wp:posOffset>
            </wp:positionV>
            <wp:extent cx="724662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-2675890</wp:posOffset>
            </wp:positionV>
            <wp:extent cx="72466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-2298700</wp:posOffset>
            </wp:positionV>
            <wp:extent cx="724662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-1706880</wp:posOffset>
            </wp:positionV>
            <wp:extent cx="724662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-1329690</wp:posOffset>
            </wp:positionV>
            <wp:extent cx="7246620"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-952500</wp:posOffset>
            </wp:positionV>
            <wp:extent cx="724662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5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Investments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(14)</w:t>
            </w:r>
          </w:p>
        </w:tc>
      </w:tr>
      <w:tr>
        <w:trPr>
          <w:trHeight w:val="123"/>
        </w:trPr>
        <w:tc>
          <w:tcPr>
            <w:tcW w:w="2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(11.60% cash (Libor + 10.23%; Floor</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3,000</w:t>
            </w: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2,832</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2,832</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(11.60% cash (Libor + 10.23%;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2,832</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(11.60% cash (Libor + 10.23%;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2,832</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2,832</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Jump Ramp Games, Inc. (2)</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(11.10% cash (Libor + 9.73%),</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3,942</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3.00% ETP, Due 4/1/21)</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Kixeye, Inc. (2)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(10.97% cash (Libor + 9.60%;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10.75%), 2.00% ETP, Due 9/1/21)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(10.97% cash (Libor + 9.60%;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2,945</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10.75%), 2.00% ETP, Due 9/1/21)</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MediaBrix, Inc. (2)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(12.37% cash (Libor + 11.00%;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3,977</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3,977</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11.50%), 3.00% ETP, Due 1/1/20)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3,933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3,933</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10.50%), 3.00% ETP, Due 7/1/21)</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3,933</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3,933</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3.00% ETP, Due 7/1/21)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1,963</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10.50%), 3.00% ETP, Due 11/1/21)</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Zinio Holdings, LLC (2)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(12.62% cash (Libor + 11.25%;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3,978</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3,978</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11.75%), 6.00% ETP, Due 2/1/20)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The NanoSteel Company, Inc. (2)</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Materials</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4,653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4,578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4,578</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10.00%), 7.20% ETP, Due 1/1/20)</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2,327</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2,289</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6.45% ETP, Due 1/1/20)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2,457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2,457</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10.00%), 5.85% ETP, Due 3/1/20)</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Powerhouse Dynamics, Inc. (2)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 Management</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(12.07% cash (Libor + 10.70%;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1,234</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1,234</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11.20%), 3.00% ETP, Due 3/1/19)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Luxtera, Inc.</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Semiconductors</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(11.25% cash (Prime + 6.75%),</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1,902</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Due 3/28/20)</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(11.25% cash (Prime + 6.75%),</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1,443</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1,443</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3/28/20)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Bridge2 Solutions, LLC. (2)</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(10.62% cash (Libor + 9.25%;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4,777</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10.50%), 2.00% ETP, Due 11/1/21)</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(10.62% cash (Libor + 9.25%;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4,777</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4,777</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2.00%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Digital Signal Corporation (11)(12)</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1,210</w:t>
            </w: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10.43%), 5.00% ETP, Due 7/1/19)</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1,256</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1,210</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10.43%), 5.00% ETP, Due 7/1/19)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(10.00% cash, Due 12/31/17)</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(11.37% cash (Libor + 10.00%;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789</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789</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4.00% ETP, Due 1/1/19)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(11.37% cash (Libor + 10.00%; Floor</w:t>
            </w:r>
          </w:p>
        </w:tc>
        <w:tc>
          <w:tcPr>
            <w:tcW w:w="1160" w:type="dxa"/>
            <w:vAlign w:val="bottom"/>
          </w:tcPr>
          <w:p>
            <w:pPr>
              <w:jc w:val="right"/>
              <w:spacing w:after="0" w:line="130" w:lineRule="exact"/>
              <w:rPr>
                <w:sz w:val="20"/>
                <w:szCs w:val="20"/>
                <w:color w:val="auto"/>
              </w:rPr>
            </w:pPr>
            <w:r>
              <w:rPr>
                <w:rFonts w:ascii="Arial" w:cs="Arial" w:eastAsia="Arial" w:hAnsi="Arial"/>
                <w:sz w:val="14"/>
                <w:szCs w:val="14"/>
                <w:color w:val="auto"/>
              </w:rPr>
              <w:t>950</w:t>
            </w:r>
          </w:p>
        </w:tc>
        <w:tc>
          <w:tcPr>
            <w:tcW w:w="200" w:type="dxa"/>
            <w:vAlign w:val="bottom"/>
          </w:tcPr>
          <w:p>
            <w:pPr>
              <w:spacing w:after="0"/>
              <w:rPr>
                <w:sz w:val="11"/>
                <w:szCs w:val="11"/>
                <w:color w:val="auto"/>
              </w:rPr>
            </w:pP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937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937</w:t>
            </w: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4.00% ETP, Due 8/1/19)</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Metricly, Inc.</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(13.62% cash (Libor + 12.25%;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184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184</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12.50%), 3.33% ETP, Due 9/1/18)</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ShopKeep.com, Inc. (2)</w:t>
            </w:r>
          </w:p>
        </w:tc>
        <w:tc>
          <w:tcPr>
            <w:tcW w:w="1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(11.32% cash (Libor + 9.95%;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5,897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5,897</w:t>
            </w: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10.45%), 4.08% ETP, Due 10/1/20)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(11.32% cash (Libor + 9.95%;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3,924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3,924</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10.45%), 3.55% ETP, Due 2/1/21)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(12.37% cash (Libor + 11.00%;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2,180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2,073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1,930</w:t>
            </w: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11.50%), 5.33% ETP, Due 2/1/20)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(11.72% cash (Libor + 10.35%;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6,904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6,904</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10.85%; Ceiling 12.85%), 5.00% ETP, Due 6/1/20)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Weblinc Corporation (2)</w:t>
            </w:r>
          </w:p>
        </w:tc>
        <w:tc>
          <w:tcPr>
            <w:tcW w:w="1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2,913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2,913</w:t>
            </w: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11.25%), 3.00% ETP, Due 3/1/21)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xAd, Inc. (2)</w:t>
            </w: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(10.07% cash (Libor + 8.70%;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4,895</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4,895</w:t>
            </w: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-5565140</wp:posOffset>
            </wp:positionV>
            <wp:extent cx="7246620"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-5187950</wp:posOffset>
            </wp:positionV>
            <wp:extent cx="72466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-4810125</wp:posOffset>
            </wp:positionV>
            <wp:extent cx="72466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-4432935</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-3678555</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-3301365</wp:posOffset>
            </wp:positionV>
            <wp:extent cx="72466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-2923540</wp:posOffset>
            </wp:positionV>
            <wp:extent cx="72466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246620"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283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r>
      <w:tr>
        <w:trPr>
          <w:trHeight w:val="171"/>
        </w:trPr>
        <w:tc>
          <w:tcPr>
            <w:tcW w:w="24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2"/>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 (6)</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 (14)</w:t>
            </w:r>
          </w:p>
        </w:tc>
      </w:tr>
      <w:tr>
        <w:trPr>
          <w:trHeight w:val="123"/>
        </w:trPr>
        <w:tc>
          <w:tcPr>
            <w:tcW w:w="2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(10.07% cash (Libor + 8.70%; Floor</w:t>
            </w:r>
          </w:p>
        </w:tc>
        <w:tc>
          <w:tcPr>
            <w:tcW w:w="1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4,895</w:t>
            </w:r>
          </w:p>
        </w:tc>
        <w:tc>
          <w:tcPr>
            <w:tcW w:w="2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4,895</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4.75% ETP, Due 11/1/21)</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(10.07% cash (Libor + 8.70%; Floor</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2,937</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2,937</w:t>
            </w:r>
          </w:p>
        </w:tc>
      </w:tr>
      <w:tr>
        <w:trPr>
          <w:trHeight w:val="167"/>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10.00%), 4.75% ETP, Due 11/1/21)</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(10.07% cash (Libor + 8.70%; Floor</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1,958</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1,958</w:t>
            </w:r>
          </w:p>
        </w:tc>
      </w:tr>
      <w:tr>
        <w:trPr>
          <w:trHeight w:val="181"/>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4.75% ETP, Due 11/1/21)</w:t>
            </w: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42"/>
        </w:trPr>
        <w:tc>
          <w:tcPr>
            <w:tcW w:w="2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Total Non-Affiliate Debt Investments —</w:t>
            </w:r>
          </w:p>
        </w:tc>
        <w:tc>
          <w:tcPr>
            <w:tcW w:w="20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Technology</w:t>
            </w: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134,142</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133,889</w:t>
            </w:r>
          </w:p>
        </w:tc>
        <w:tc>
          <w:tcPr>
            <w:tcW w:w="100" w:type="dxa"/>
            <w:vAlign w:val="bottom"/>
            <w:tcBorders>
              <w:bottom w:val="single" w:sz="8" w:color="CCEEFF"/>
            </w:tcBorders>
          </w:tcPr>
          <w:p>
            <w:pPr>
              <w:spacing w:after="0"/>
              <w:rPr>
                <w:sz w:val="12"/>
                <w:szCs w:val="12"/>
                <w:color w:val="auto"/>
              </w:rPr>
            </w:pPr>
          </w:p>
        </w:tc>
      </w:tr>
      <w:tr>
        <w:trPr>
          <w:trHeight w:val="142"/>
        </w:trPr>
        <w:tc>
          <w:tcPr>
            <w:tcW w:w="76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6.3% (8)</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HealthEdge Software, Inc. (2)</w:t>
            </w:r>
          </w:p>
        </w:tc>
        <w:tc>
          <w:tcPr>
            <w:tcW w:w="20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(9.62% cash (Libor + 8.25%;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4,819</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4,819</w:t>
            </w:r>
          </w:p>
        </w:tc>
      </w:tr>
      <w:tr>
        <w:trPr>
          <w:trHeight w:val="167"/>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9.25%), 3.00% ETP, Due 7/1/22)</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(9.68%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3,750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3,693</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3,693</w:t>
            </w:r>
          </w:p>
        </w:tc>
      </w:tr>
      <w:tr>
        <w:trPr>
          <w:trHeight w:val="181"/>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1/1/23)</w:t>
            </w: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42"/>
        </w:trPr>
        <w:tc>
          <w:tcPr>
            <w:tcW w:w="2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Total Non-Affiliate Debt Investments —</w:t>
            </w:r>
          </w:p>
        </w:tc>
        <w:tc>
          <w:tcPr>
            <w:tcW w:w="20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w w:val="91"/>
              </w:rPr>
              <w:t>Healthcare information and services</w:t>
            </w: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8,512</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8,512</w:t>
            </w:r>
          </w:p>
        </w:tc>
        <w:tc>
          <w:tcPr>
            <w:tcW w:w="100" w:type="dxa"/>
            <w:vAlign w:val="bottom"/>
            <w:tcBorders>
              <w:bottom w:val="single" w:sz="8" w:color="CCEEFF"/>
            </w:tcBorders>
          </w:tcPr>
          <w:p>
            <w:pPr>
              <w:spacing w:after="0"/>
              <w:rPr>
                <w:sz w:val="12"/>
                <w:szCs w:val="12"/>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Total Non- Affiliate Debt Investments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200,692</w:t>
            </w:r>
          </w:p>
        </w:tc>
        <w:tc>
          <w:tcPr>
            <w:tcW w:w="22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200,419</w:t>
            </w:r>
          </w:p>
        </w:tc>
        <w:tc>
          <w:tcPr>
            <w:tcW w:w="100" w:type="dxa"/>
            <w:vAlign w:val="bottom"/>
            <w:shd w:val="clear" w:color="auto" w:fill="CCEEFF"/>
          </w:tcPr>
          <w:p>
            <w:pPr>
              <w:spacing w:after="0"/>
              <w:rPr>
                <w:sz w:val="12"/>
                <w:szCs w:val="12"/>
                <w:color w:val="auto"/>
              </w:rPr>
            </w:pPr>
          </w:p>
        </w:tc>
      </w:tr>
      <w:tr>
        <w:trPr>
          <w:trHeight w:val="142"/>
        </w:trPr>
        <w:tc>
          <w:tcPr>
            <w:tcW w:w="45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 Investments — 6.7%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1.6%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ACT Biotech Corporation</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604,038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4,634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Argos Therapeutics, Inc. (2)(5)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73,112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w w:val="97"/>
              </w:rPr>
              <w:t>Rocket Pharmaceuticals Corporation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7,051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608,058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Revance Therapeutics, Inc.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34,113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729</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Sample6,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661,956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Strongbridge U.S. Inc. (5)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160,714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794</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2,050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vTv Therapeutics Inc. (2)(5)</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95,293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Drug Delivery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280,612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AccuVein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75,769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Aerin Medical,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1,818,182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Conventus Orthopaedics,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720,000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IntegenX,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170,646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Lantos Technologies,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471,979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Mederi Therapeutics,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248,736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Mitralign,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64,190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29,102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OraMetrix,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812,348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ReShape Lifesciences Inc. (5)</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122,362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VERO Biotech LLC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800,000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r>
      <w:tr>
        <w:trPr>
          <w:trHeight w:val="162"/>
        </w:trPr>
        <w:tc>
          <w:tcPr>
            <w:tcW w:w="2440" w:type="dxa"/>
            <w:vAlign w:val="bottom"/>
          </w:tcPr>
          <w:p>
            <w:pPr>
              <w:spacing w:after="0"/>
              <w:rPr>
                <w:sz w:val="20"/>
                <w:szCs w:val="20"/>
                <w:color w:val="auto"/>
              </w:rPr>
            </w:pPr>
            <w:r>
              <w:rPr>
                <w:rFonts w:ascii="Arial" w:cs="Arial" w:eastAsia="Arial" w:hAnsi="Arial"/>
                <w:sz w:val="14"/>
                <w:szCs w:val="14"/>
                <w:color w:val="auto"/>
              </w:rPr>
              <w:t>ViOptix, Inc.</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rPr>
                <w:sz w:val="20"/>
                <w:szCs w:val="20"/>
                <w:color w:val="auto"/>
              </w:rPr>
            </w:pPr>
            <w:r>
              <w:rPr>
                <w:rFonts w:ascii="Arial" w:cs="Arial" w:eastAsia="Arial" w:hAnsi="Arial"/>
                <w:sz w:val="14"/>
                <w:szCs w:val="14"/>
                <w:color w:val="auto"/>
              </w:rPr>
              <w:t>375,763 Preferred Stock Warrants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450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30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1,504</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45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Warrants — Technology — 4.6%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Ekahau,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978,261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Intelepeer Holdings,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2,256,549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PebblePost,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598,850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Additech,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150,000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Gwynnie Bee,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268,591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Le Tote,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202,974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363</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852,273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SavingStar,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850,439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IgnitionOne,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262,910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Jump Ramp Games,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159,766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Kixeye,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791,251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261,721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379,360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Networking</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1,440,489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Powerhouse Dynamics, Inc.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Power Management</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290,698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Avalanche Technology, Inc. (2)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202,602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eASIC Corporation (2)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40,445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Kaminario, Inc.</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1,087,203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3,546,553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361</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240" w:type="dxa"/>
            <w:vAlign w:val="bottom"/>
            <w:gridSpan w:val="2"/>
          </w:tcPr>
          <w:p>
            <w:pPr>
              <w:ind w:left="600"/>
              <w:spacing w:after="0"/>
              <w:rPr>
                <w:sz w:val="20"/>
                <w:szCs w:val="20"/>
                <w:color w:val="auto"/>
              </w:rPr>
            </w:pPr>
            <w:r>
              <w:rPr>
                <w:rFonts w:ascii="Arial" w:cs="Arial" w:eastAsia="Arial" w:hAnsi="Arial"/>
                <w:sz w:val="14"/>
                <w:szCs w:val="14"/>
                <w:b w:val="1"/>
                <w:bCs w:val="1"/>
                <w:color w:val="auto"/>
              </w:rPr>
              <w:t>Type of Investment (4)(7)(9)(10)</w:t>
            </w:r>
          </w:p>
        </w:tc>
        <w:tc>
          <w:tcPr>
            <w:tcW w:w="1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Investments (6)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Soraa, Inc. (2)</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Semiconductors</w:t>
            </w:r>
          </w:p>
        </w:tc>
        <w:tc>
          <w:tcPr>
            <w:tcW w:w="10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203,616 Preferred Stock Warrants</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Bolt Solutions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202,892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125,458 Common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53,486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125,116 Common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Education Elements,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238,121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288,115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Metricly,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41,569 Common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321,428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193,962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133,560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Skyword,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301,056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SpringCM,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Sys-Tech Solutions,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375,000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Visage Mobile,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1,692,047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195,122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xAd, Inc. (2)</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4,343,350 Preferred Stock Warrants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3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Renmatix,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Alternative Energy</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53,022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Tigo Energy, Inc. (2)</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Efficiency</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804,604 Preferred Stock Warrants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w w:val="95"/>
              </w:rPr>
              <w:t>Total Non-Affiliate Warrants — Cleantech</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0.4% (8)</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LifePrint Group,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Diagnostics</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49,000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ProterixBio,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3,156 Common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Singulex,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Healthcare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294,231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Verity Solutions Group,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300,360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Watermark Medical,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Healthcare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27,373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110,644 Preferred Stock Warrants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7,097,792 Preferred Stock Warrants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Recondo Technology, Inc. (2)</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556,796 Preferred Stock Warrants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3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Other Investments — 5.7% (8)</w:t>
            </w: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Espero Pharmaceuticals,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Royalty Agreement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ZetrOZ,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Royalty Agreement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Vette Technology, LLC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Data Storage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Royalty Agreement Due 4/18/2019</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Triple Double Holdings, LLC</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License Agreement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w w:val="98"/>
              </w:rPr>
              <w:t>Total Non-Affiliate Other Investments</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12,031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7,700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Equity — 1.0% (8)</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33,208 Common Stock</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Inc.(5)</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5,125 Common Stock</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13,082 Common Stock</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SnagAJob.com,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w w:val="96"/>
              </w:rPr>
              <w:t>Consumer-related Technologies</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82,974 Common Stock</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TruSignal, Inc.</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32,637 Common Stock</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Borders>
              <w:bottom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3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219,303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218,600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2.6% (8)</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Affiliate Debt Investments — Technology — 2.5% (8)</w:t>
            </w: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w:t>
            </w:r>
          </w:p>
        </w:tc>
        <w:tc>
          <w:tcPr>
            <w:tcW w:w="10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(13.678% cash (Libor + 12.308%; Floor</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1,523</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1,522</w:t>
            </w:r>
          </w:p>
        </w:tc>
        <w:tc>
          <w:tcPr>
            <w:tcW w:w="26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8.00% ETP, Due 1/1/20)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Term Loan (13.678% cash (Libor + 12.308%; Floor</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833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771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12.50%), 8.00% ETP, Due 1/1/20)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(12.02% PIK, Due 4/15/19) (13)</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(12.03% PIK, Due 4/15/19) (13)</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Term Loan (12.24% PIK, Due 4/15/19) (13)</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Affiliate Debt Investments — Technology</w:t>
            </w:r>
          </w:p>
        </w:tc>
        <w:tc>
          <w:tcPr>
            <w:tcW w:w="3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Investments (6)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Affiliate Warrants — Technology — 0.0% (8)</w:t>
            </w: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Decisyon, Inc.</w:t>
            </w:r>
          </w:p>
        </w:tc>
        <w:tc>
          <w:tcPr>
            <w:tcW w:w="1320" w:type="dxa"/>
            <w:vAlign w:val="bottom"/>
          </w:tcPr>
          <w:p>
            <w:pPr>
              <w:ind w:left="60"/>
              <w:spacing w:after="0"/>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82,967 Common Stock Warrants</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Affiliate Warrants — Technology</w:t>
            </w:r>
          </w:p>
        </w:tc>
        <w:tc>
          <w:tcPr>
            <w:tcW w:w="1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Affiliate Equity — Technology — 0.1% (8)</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Decisyon, Inc.</w:t>
            </w:r>
          </w:p>
        </w:tc>
        <w:tc>
          <w:tcPr>
            <w:tcW w:w="1320" w:type="dxa"/>
            <w:vAlign w:val="bottom"/>
          </w:tcPr>
          <w:p>
            <w:pPr>
              <w:ind w:left="60"/>
              <w:spacing w:after="0"/>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45,365,936 Common Stock</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Affiliate Equity</w:t>
            </w:r>
          </w:p>
        </w:tc>
        <w:tc>
          <w:tcPr>
            <w:tcW w:w="1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5"/>
              </w:rPr>
              <w:t>Total Affiliate Portfolio Investment Assets</w:t>
            </w: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3,774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Total Portfolio Investment Assets — 164.4%(8)</w:t>
            </w:r>
          </w:p>
        </w:tc>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223,077</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222,099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460" w:right="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60" w:right="720" w:hanging="452"/>
        <w:spacing w:after="0" w:line="34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non-affiliate investments are investments in which the Company owns less than 5% ownership of the voting securities of the portfolio company. All affiliate investments are investments in which the Company owns 5% or more of the voting securities of the portfolio company.</w:t>
      </w:r>
    </w:p>
    <w:p>
      <w:pPr>
        <w:spacing w:after="0" w:line="123" w:lineRule="exact"/>
        <w:rPr>
          <w:rFonts w:ascii="Arial" w:cs="Arial" w:eastAsia="Arial" w:hAnsi="Arial"/>
          <w:sz w:val="16"/>
          <w:szCs w:val="16"/>
          <w:color w:val="auto"/>
        </w:rPr>
      </w:pPr>
    </w:p>
    <w:p>
      <w:pPr>
        <w:jc w:val="both"/>
        <w:ind w:left="460" w:hanging="452"/>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2017 is provided.</w:t>
      </w:r>
    </w:p>
    <w:p>
      <w:pPr>
        <w:spacing w:after="0" w:line="18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1940 Act as of December 31, 2017.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2017.</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has a PIK feature.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for common stock in publicly traded companies, the fair value of the investment was valued using significant unobservable inputs.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2017.</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The Company does not consolidate its non-controlling interest in HSLFI.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Investments are recorded at fair value. The Company’s board of directors (the “Board”) determines the fair value of the Company’s portfolio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intent to hold its debt investments for the foreseeable future or until maturity or payoff.</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June 30, 2018, there were no debt investments on non-accrual status. As of December 31, 2017, there was one investment on non-accrual status with a cost of $3.0 million and a fair value of $2.9 million. For the three and six months ended June 30, 2018 and 2017, the Company did not recognize any interest income from debt investments on non-accrual status.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June 30, 2018 and 2017 was 6.6% and 7.5%, respectively. The proportion of the Company’s total investment income that resulted from the portion of ETPs not received in cash for the six months ended June 30, 2018 and 2017 was 7.1% and 7.5%, respectively.</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period June 1, 2018 (the commencement of HSLFI’s operations) through June 30, 2018, there were no distributions from HSLFI.</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Debt issuance costs are fees and other direct incremental costs incurred by the Company in obtaining debt financing from its lenders and issuing debt securities. The unamortized balance of debt issuance costs as of June 30, 2018 and December 31, 2017 was $2.4 million and $2.1 million, respectively. These amounts are amortized and included in interest expense in the consolidated statements of operations over the life of the borrowings. The accumulated amortization balances as of June 30, 2018 and December 31, 2017 were $2.1 million and $1.8 million, respectively. The amortization expense for the three months ended June 30, 2018 and 2017 was $0.1 million. The amortization expense for the six months ended June 30, 2018 and 2017 was $0.3 million.</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2017, the Company reclassified $0.03 million to paid-in capital from distributions in excess of net investment income, which related to excise taxes payable.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and six months ended June 30, 2018 and 2017, there was no U.S. federal excise tax recorded.</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June 30, 2018 and December 31, 2017. The Company’s income tax returns for the 2016, 2015 and 2014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April 27, 2018,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2019 or the repurchase of $5.0 million of the Company’s common stock. During the three and six months ended June 30, 2018 and 2017, the Company did not make any repurchases of its common stock. From the inception of the stock repurchase program through June 30, 2018, the Company repurchased 167,465 shares of its common stock at an average price of $11.22 on the open market at a total cost of $1.9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Investment Management Agreement was reapproved by the Board on July 27, 2018.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U.S. Securities and Exchange Commission. The Advisor receives fees for providing services to the Company under the Investment Management Agreement, consisting of two components, a base management fee and an incentive fee.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base management fee under the Investment Management Agreement is calculated at an annual rate of 2.00% of (i) the Company’s gross assets, less</w:t>
      </w:r>
    </w:p>
    <w:p>
      <w:pPr>
        <w:spacing w:after="0" w:line="46" w:lineRule="exact"/>
        <w:rPr>
          <w:sz w:val="20"/>
          <w:szCs w:val="20"/>
          <w:color w:val="auto"/>
        </w:rPr>
      </w:pPr>
    </w:p>
    <w:p>
      <w:pPr>
        <w:ind w:firstLine="8"/>
        <w:spacing w:after="0" w:line="261" w:lineRule="auto"/>
        <w:tabs>
          <w:tab w:leader="none" w:pos="276"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consisting of cash and cash equivalents, and is payable monthly in arrears. For purposes of calculating the base management fee, the term “gross assets” includes any assets acquired with the proceeds of leverage.</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base management fee payable at June 30, 2018 and December 31, 2017 was $0.4 million. The base management fee expense was $1.1 million and $0.9 million for the three months ended June 30, 2018 and 2017, respectively. The base management fee expense was $2.2 million and $1.9 million for the six months ended June 30, 2018 and 2017,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three and six months ended June 30, 2018, the Advisor waived performance based incentive fees of $0.2 million which the Advisor would have otherwise earned.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performance based incentive fee expense was $0.8 million and $0.4 million for the three months ended June 30, 2018 and 2017, respectively. The incentive fee on Pre-Incentive Fee Net Investment Income was subject to the Incentive Fee Cap and Deferral Mechanism for the three months ended June 30, 2017, which resulted in $0.2 million of reduced expense and additional net investment income. The performance based incentive fee expense was $1.4 million and $0.8 million for the six months ended June 30, 2018 and 2017, respectively. The incentive fee on Pre-Incentive Fee Net Investment Income was subject to the Incentive Fee Cap and Deferral Mechanism for the six months ended June 30, 2018 and 2017, which resulted in $0.2 million and $0.6 million of reduced expense and additional net investment income, respectively. The performance based incentive fee payable as of June 30, 2018 and December 31, 2017 was $0.8 million and $0.5 million, respectively. The entire incentive fee payable as of June 30, 2018 and December 31, 2017 represented part one of the incentive fee.</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June 30, 2018 and 2017. The administrative fee expense was $0.4 million for the six months ended June 30,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investments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June 30, 2018</w:t>
            </w:r>
          </w:p>
        </w:tc>
        <w:tc>
          <w:tcPr>
            <w:tcW w:w="460" w:type="dxa"/>
            <w:vAlign w:val="bottom"/>
          </w:tcPr>
          <w:p>
            <w:pPr>
              <w:spacing w:after="0"/>
              <w:rPr>
                <w:sz w:val="20"/>
                <w:szCs w:val="20"/>
                <w:color w:val="auto"/>
              </w:rPr>
            </w:pPr>
          </w:p>
        </w:tc>
        <w:tc>
          <w:tcPr>
            <w:tcW w:w="248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Debt</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204,062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203,459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204,235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203,793</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9,070</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2,169</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Equity interest in HSLFI</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4,069</w:t>
            </w:r>
          </w:p>
        </w:tc>
        <w:tc>
          <w:tcPr>
            <w:tcW w:w="4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12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w w:val="94"/>
              </w:rPr>
              <w:t>Horizon Technology Finance Corporation and Subsidiaries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512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Notes to Consolidated Financial Statements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520" w:type="dxa"/>
            <w:vAlign w:val="bottom"/>
            <w:gridSpan w:val="12"/>
          </w:tcPr>
          <w:p>
            <w:pPr>
              <w:spacing w:after="0"/>
              <w:rPr>
                <w:sz w:val="20"/>
                <w:szCs w:val="20"/>
                <w:color w:val="auto"/>
              </w:rPr>
            </w:pPr>
            <w:r>
              <w:rPr>
                <w:rFonts w:ascii="Arial" w:cs="Arial" w:eastAsia="Arial" w:hAnsi="Arial"/>
                <w:sz w:val="18"/>
                <w:szCs w:val="18"/>
                <w:color w:val="auto"/>
              </w:rPr>
              <w:t>The following table shows the Company’s investments by industry sector as of June 30, 2018 and December 31, 2017: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2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June 30, 2018</w:t>
            </w:r>
          </w:p>
        </w:tc>
        <w:tc>
          <w:tcPr>
            <w:tcW w:w="460" w:type="dxa"/>
            <w:vAlign w:val="bottom"/>
          </w:tcPr>
          <w:p>
            <w:pPr>
              <w:spacing w:after="0"/>
              <w:rPr>
                <w:sz w:val="24"/>
                <w:szCs w:val="24"/>
                <w:color w:val="auto"/>
              </w:rPr>
            </w:pPr>
          </w:p>
        </w:tc>
        <w:tc>
          <w:tcPr>
            <w:tcW w:w="2480" w:type="dxa"/>
            <w:vAlign w:val="bottom"/>
            <w:gridSpan w:val="7"/>
          </w:tcPr>
          <w:p>
            <w:pPr>
              <w:ind w:left="24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2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2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31,798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32,448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21,249</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22,694</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34,237</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37,374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37,306</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23,852</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19,823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19,773</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12,314</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39,341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39,763</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9,064</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4,256</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53,727</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58,516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58,744</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Alternative Energy</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8"/>
              </w:rPr>
              <w:t>Healthcare Information and Services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Diagnostics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8,973</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Investment funds</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HSLFI</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Total investments</w:t>
            </w:r>
          </w:p>
        </w:tc>
        <w:tc>
          <w:tcPr>
            <w:tcW w:w="20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226,467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cleantech industries. HSLFI was formed as a Delaware limited liability company and is not consolidated by either the Company or Arena for financial reporting purposes. Investments held by HSLFI are measured at fair value using the same valuation methodology as described in Note 6. As of June 30, 2018, HSLFI had total assets of $9.6 million. As of June 30, 2018, HSLFI had no investments on non-accrual status. As of June 30, 2018, HSLFI’s portfolio consisted of debt investments in one portfolio company. HSLFI invests in portfolio companies in the same industries in which the Company may directly invest.</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capital (in the form of cash or securities in portfolio companies) to HSLFI in exchange for limited liability company equity interests in HSLFI. As of June 30, 2018, the Company and Arena each owned 50.0% of the equity interests of HSLFI. The Company’s investment in HSLFI consisted of an equity contribution of $4.0 million as of June 30, 2018. As of June 30, 2018, the Company had commitments to fund equity interests in HSLFI of $25.0 million, of which $21.0 million was unfunded.</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The interest rate is based on the three year USD mid-market swap rate plus a margin of between 2.75% and 3.25% depending on the rating of the notes at the time the amount is borrowed. There were no advances made by the Noteholders as of June 30, 2018.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HSLFI’s individual investments as of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Cost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28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20" w:type="dxa"/>
            <w:vAlign w:val="bottom"/>
          </w:tcPr>
          <w:p>
            <w:pPr>
              <w:spacing w:after="0"/>
              <w:rPr>
                <w:sz w:val="23"/>
                <w:szCs w:val="23"/>
                <w:color w:val="auto"/>
              </w:rPr>
            </w:pP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Sector</w:t>
            </w:r>
          </w:p>
        </w:tc>
        <w:tc>
          <w:tcPr>
            <w:tcW w:w="100" w:type="dxa"/>
            <w:vAlign w:val="bottom"/>
          </w:tcPr>
          <w:p>
            <w:pPr>
              <w:spacing w:after="0"/>
              <w:rPr>
                <w:sz w:val="23"/>
                <w:szCs w:val="23"/>
                <w:color w:val="auto"/>
              </w:rPr>
            </w:pPr>
          </w:p>
        </w:tc>
        <w:tc>
          <w:tcPr>
            <w:tcW w:w="3700" w:type="dxa"/>
            <w:vAlign w:val="bottom"/>
            <w:gridSpan w:val="3"/>
          </w:tcPr>
          <w:p>
            <w:pPr>
              <w:ind w:left="72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Amount</w:t>
            </w:r>
          </w:p>
        </w:tc>
        <w:tc>
          <w:tcPr>
            <w:tcW w:w="1260" w:type="dxa"/>
            <w:vAlign w:val="bottom"/>
            <w:gridSpan w:val="3"/>
          </w:tcPr>
          <w:p>
            <w:pPr>
              <w:ind w:left="20"/>
              <w:spacing w:after="0" w:line="271" w:lineRule="exact"/>
              <w:rPr>
                <w:sz w:val="20"/>
                <w:szCs w:val="20"/>
                <w:color w:val="auto"/>
              </w:rPr>
            </w:pPr>
            <w:r>
              <w:rPr>
                <w:rFonts w:ascii="Arial" w:cs="Arial" w:eastAsia="Arial" w:hAnsi="Arial"/>
                <w:sz w:val="18"/>
                <w:szCs w:val="18"/>
                <w:b w:val="1"/>
                <w:bCs w:val="1"/>
                <w:color w:val="auto"/>
                <w:w w:val="94"/>
              </w:rPr>
              <w:t>Investments</w:t>
            </w:r>
            <w:r>
              <w:rPr>
                <w:rFonts w:ascii="Arial" w:cs="Arial" w:eastAsia="Arial" w:hAnsi="Arial"/>
                <w:sz w:val="30"/>
                <w:szCs w:val="30"/>
                <w:b w:val="1"/>
                <w:bCs w:val="1"/>
                <w:color w:val="auto"/>
                <w:w w:val="94"/>
                <w:vertAlign w:val="superscript"/>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5"/>
              </w:rPr>
              <w:t xml:space="preserve">Value </w:t>
            </w:r>
            <w:r>
              <w:rPr>
                <w:rFonts w:ascii="Arial" w:cs="Arial" w:eastAsia="Arial" w:hAnsi="Arial"/>
                <w:sz w:val="30"/>
                <w:szCs w:val="30"/>
                <w:b w:val="1"/>
                <w:bCs w:val="1"/>
                <w:color w:val="auto"/>
                <w:w w:val="85"/>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Debt Investments — Technology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New Signature US, Inc. (7)</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Software</w:t>
            </w:r>
          </w:p>
        </w:tc>
        <w:tc>
          <w:tcPr>
            <w:tcW w:w="3800" w:type="dxa"/>
            <w:vAlign w:val="bottom"/>
            <w:gridSpan w:val="4"/>
          </w:tcPr>
          <w:p>
            <w:pPr>
              <w:ind w:left="100"/>
              <w:spacing w:after="0"/>
              <w:rPr>
                <w:sz w:val="20"/>
                <w:szCs w:val="20"/>
                <w:color w:val="auto"/>
              </w:rPr>
            </w:pPr>
            <w:r>
              <w:rPr>
                <w:rFonts w:ascii="Arial" w:cs="Arial" w:eastAsia="Arial" w:hAnsi="Arial"/>
                <w:sz w:val="18"/>
                <w:szCs w:val="18"/>
                <w:color w:val="auto"/>
                <w:w w:val="92"/>
              </w:rPr>
              <w:t>Term Loan (10.59% cash (Libor + 8.50%; Floor  $</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8,250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8,080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4"/>
          </w:tcPr>
          <w:p>
            <w:pPr>
              <w:ind w:left="100"/>
              <w:spacing w:after="0"/>
              <w:rPr>
                <w:sz w:val="20"/>
                <w:szCs w:val="20"/>
                <w:color w:val="auto"/>
              </w:rPr>
            </w:pPr>
            <w:r>
              <w:rPr>
                <w:rFonts w:ascii="Arial" w:cs="Arial" w:eastAsia="Arial" w:hAnsi="Arial"/>
                <w:sz w:val="18"/>
                <w:szCs w:val="18"/>
                <w:color w:val="auto"/>
              </w:rPr>
              <w:t>10.50%), 3.50% ETP, Due 7/1/21)</w:t>
            </w:r>
          </w:p>
        </w:tc>
        <w:tc>
          <w:tcPr>
            <w:tcW w:w="1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Debt Investments — Technology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Warrant Investments — Technology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BSI Platform Holdings, LLC (7)</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Software</w:t>
            </w:r>
          </w:p>
        </w:tc>
        <w:tc>
          <w:tcPr>
            <w:tcW w:w="3800" w:type="dxa"/>
            <w:vAlign w:val="bottom"/>
            <w:gridSpan w:val="4"/>
          </w:tcPr>
          <w:p>
            <w:pPr>
              <w:ind w:left="100"/>
              <w:spacing w:after="0"/>
              <w:rPr>
                <w:sz w:val="20"/>
                <w:szCs w:val="20"/>
                <w:color w:val="auto"/>
              </w:rPr>
            </w:pPr>
            <w:r>
              <w:rPr>
                <w:rFonts w:ascii="Arial" w:cs="Arial" w:eastAsia="Arial" w:hAnsi="Arial"/>
                <w:sz w:val="18"/>
                <w:szCs w:val="18"/>
                <w:color w:val="auto"/>
              </w:rPr>
              <w:t>412,500 Preferred Stock Warrants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Warrant Investments — Technology</w:t>
            </w:r>
          </w:p>
        </w:tc>
        <w:tc>
          <w:tcPr>
            <w:tcW w:w="1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Total Portfolio Investment Assets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58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June 30, 2018 is provided.</w:t>
      </w:r>
    </w:p>
    <w:p>
      <w:pPr>
        <w:spacing w:after="0" w:line="188"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tbl>
      <w:tblPr>
        <w:tblLayout w:type="fixed"/>
        <w:tblInd w:w="3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w w:val="98"/>
              </w:rPr>
              <w:t>Horizon Technology Finance Corporation and Subsidiaries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00" w:type="dxa"/>
            <w:vAlign w:val="bottom"/>
            <w:gridSpan w:val="2"/>
          </w:tcPr>
          <w:p>
            <w:pPr>
              <w:jc w:val="right"/>
              <w:ind w:right="665"/>
              <w:spacing w:after="0"/>
              <w:rPr>
                <w:sz w:val="20"/>
                <w:szCs w:val="20"/>
                <w:color w:val="auto"/>
              </w:rPr>
            </w:pPr>
            <w:r>
              <w:rPr>
                <w:rFonts w:ascii="Arial" w:cs="Arial" w:eastAsia="Arial" w:hAnsi="Arial"/>
                <w:sz w:val="18"/>
                <w:szCs w:val="18"/>
                <w:b w:val="1"/>
                <w:bCs w:val="1"/>
                <w:color w:val="auto"/>
              </w:rPr>
              <w:t>Notes to Consolidated Financial Statements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780" w:type="dxa"/>
            <w:vAlign w:val="bottom"/>
            <w:gridSpan w:val="4"/>
          </w:tcPr>
          <w:p>
            <w:pPr>
              <w:jc w:val="right"/>
              <w:ind w:right="125"/>
              <w:spacing w:after="0"/>
              <w:rPr>
                <w:sz w:val="20"/>
                <w:szCs w:val="20"/>
                <w:color w:val="auto"/>
              </w:rPr>
            </w:pPr>
            <w:r>
              <w:rPr>
                <w:rFonts w:ascii="Arial" w:cs="Arial" w:eastAsia="Arial" w:hAnsi="Arial"/>
                <w:sz w:val="18"/>
                <w:szCs w:val="18"/>
                <w:color w:val="auto"/>
                <w:w w:val="91"/>
              </w:rPr>
              <w:t>The following table provides HSLFI’s unfunded commitments by portfolio company as of June 30, 2018:</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5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4"/>
              </w:rPr>
              <w:t>Fair Value of</w:t>
            </w:r>
          </w:p>
        </w:tc>
        <w:tc>
          <w:tcPr>
            <w:tcW w:w="8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ind w:left="33"/>
              <w:spacing w:after="0"/>
              <w:rPr>
                <w:sz w:val="20"/>
                <w:szCs w:val="20"/>
                <w:color w:val="auto"/>
              </w:rPr>
            </w:pPr>
            <w:r>
              <w:rPr>
                <w:rFonts w:ascii="Arial" w:cs="Arial" w:eastAsia="Arial" w:hAnsi="Arial"/>
                <w:sz w:val="18"/>
                <w:szCs w:val="18"/>
                <w:b w:val="1"/>
                <w:bCs w:val="1"/>
                <w:color w:val="auto"/>
                <w:w w:val="92"/>
              </w:rPr>
              <w:t>Unfunded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4"/>
          </w:tcPr>
          <w:p>
            <w:pPr>
              <w:jc w:val="right"/>
              <w:ind w:right="433"/>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New Signature US, Inc.</w:t>
            </w:r>
          </w:p>
        </w:tc>
        <w:tc>
          <w:tcPr>
            <w:tcW w:w="51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80" w:type="dxa"/>
            <w:vAlign w:val="bottom"/>
            <w:shd w:val="clear" w:color="auto" w:fill="CCEEFF"/>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30</w:t>
            </w:r>
          </w:p>
        </w:tc>
        <w:tc>
          <w:tcPr>
            <w:tcW w:w="8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June 30, 2018 and for the period June 1, 2018 through June 30, 2018:</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investments at fair value (cost of $8,137)</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June 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Operations Information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 non-controlled affiliated company is generally a portfolio company in which the Company owns 5% or more of such portfolio company’s voting securities. Transactions related to investments in non-controlled affiliated companies for the six months ended June 30, 2018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Fair value at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1"/>
          </w:tcPr>
          <w:p>
            <w:pPr>
              <w:ind w:left="520"/>
              <w:spacing w:after="0"/>
              <w:rPr>
                <w:sz w:val="20"/>
                <w:szCs w:val="20"/>
                <w:color w:val="auto"/>
              </w:rPr>
            </w:pPr>
            <w:r>
              <w:rPr>
                <w:rFonts w:ascii="Arial" w:cs="Arial" w:eastAsia="Arial" w:hAnsi="Arial"/>
                <w:sz w:val="18"/>
                <w:szCs w:val="18"/>
                <w:b w:val="1"/>
                <w:bCs w:val="1"/>
                <w:color w:val="auto"/>
                <w:w w:val="89"/>
              </w:rPr>
              <w:t>Six months ended June 30, 2018</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Transfers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600"/>
              <w:spacing w:after="0"/>
              <w:rPr>
                <w:sz w:val="20"/>
                <w:szCs w:val="20"/>
                <w:color w:val="auto"/>
              </w:rPr>
            </w:pPr>
            <w:r>
              <w:rPr>
                <w:rFonts w:ascii="Arial" w:cs="Arial" w:eastAsia="Arial" w:hAnsi="Arial"/>
                <w:sz w:val="18"/>
                <w:szCs w:val="18"/>
                <w:b w:val="1"/>
                <w:bCs w:val="1"/>
                <w:color w:val="auto"/>
              </w:rPr>
              <w:t>Portfolio</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in/(out) at</w:t>
            </w:r>
          </w:p>
        </w:tc>
        <w:tc>
          <w:tcPr>
            <w:tcW w:w="10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Discount</w:t>
            </w:r>
          </w:p>
        </w:tc>
        <w:tc>
          <w:tcPr>
            <w:tcW w:w="1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Fair value at</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Interest</w:t>
            </w:r>
          </w:p>
        </w:tc>
        <w:tc>
          <w:tcPr>
            <w:tcW w:w="0" w:type="dxa"/>
            <w:vAlign w:val="bottom"/>
          </w:tcPr>
          <w:p>
            <w:pPr>
              <w:spacing w:after="0"/>
              <w:rPr>
                <w:sz w:val="1"/>
                <w:szCs w:val="1"/>
                <w:color w:val="auto"/>
              </w:rPr>
            </w:pPr>
          </w:p>
        </w:tc>
      </w:tr>
      <w:tr>
        <w:trPr>
          <w:trHeight w:val="234"/>
        </w:trPr>
        <w:tc>
          <w:tcPr>
            <w:tcW w:w="1960" w:type="dxa"/>
            <w:vAlign w:val="bottom"/>
            <w:gridSpan w:val="2"/>
          </w:tcPr>
          <w:p>
            <w:pPr>
              <w:ind w:left="560"/>
              <w:spacing w:after="0"/>
              <w:rPr>
                <w:sz w:val="20"/>
                <w:szCs w:val="20"/>
                <w:color w:val="auto"/>
              </w:rPr>
            </w:pPr>
            <w:r>
              <w:rPr>
                <w:rFonts w:ascii="Arial" w:cs="Arial" w:eastAsia="Arial" w:hAnsi="Arial"/>
                <w:sz w:val="18"/>
                <w:szCs w:val="18"/>
                <w:b w:val="1"/>
                <w:bCs w:val="1"/>
                <w:color w:val="auto"/>
              </w:rPr>
              <w:t>Company</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Purchases</w:t>
            </w:r>
          </w:p>
        </w:tc>
        <w:tc>
          <w:tcPr>
            <w:tcW w:w="12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Sales</w:t>
            </w: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accretion</w:t>
            </w:r>
          </w:p>
        </w:tc>
        <w:tc>
          <w:tcPr>
            <w:tcW w:w="1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gain/(loss)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income</w:t>
            </w:r>
          </w:p>
        </w:tc>
        <w:tc>
          <w:tcPr>
            <w:tcW w:w="0" w:type="dxa"/>
            <w:vAlign w:val="bottom"/>
          </w:tcPr>
          <w:p>
            <w:pPr>
              <w:spacing w:after="0"/>
              <w:rPr>
                <w:sz w:val="1"/>
                <w:szCs w:val="1"/>
                <w:color w:val="auto"/>
              </w:rPr>
            </w:pPr>
          </w:p>
        </w:tc>
      </w:tr>
      <w:tr>
        <w:trPr>
          <w:trHeight w:val="210"/>
        </w:trPr>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(In thousands)</w:t>
            </w: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Decisyon, Inc.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StereoVision, Inc.</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Non-controlled</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13"/>
          </w:tcPr>
          <w:p>
            <w:pPr>
              <w:jc w:val="center"/>
              <w:ind w:right="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26"/>
          </w:tcPr>
          <w:p>
            <w:pPr>
              <w:ind w:left="340"/>
              <w:spacing w:after="0"/>
              <w:rPr>
                <w:sz w:val="20"/>
                <w:szCs w:val="20"/>
                <w:color w:val="auto"/>
              </w:rPr>
            </w:pPr>
            <w:r>
              <w:rPr>
                <w:rFonts w:ascii="Arial" w:cs="Arial" w:eastAsia="Arial" w:hAnsi="Arial"/>
                <w:sz w:val="18"/>
                <w:szCs w:val="18"/>
                <w:color w:val="auto"/>
                <w:w w:val="98"/>
              </w:rPr>
              <w:t>Transactions related to investments in affiliated companies for the year ended December 31, 2017 were as follows: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Fair value at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ind w:left="540"/>
              <w:spacing w:after="0"/>
              <w:rPr>
                <w:sz w:val="20"/>
                <w:szCs w:val="20"/>
                <w:color w:val="auto"/>
              </w:rPr>
            </w:pPr>
            <w:r>
              <w:rPr>
                <w:rFonts w:ascii="Arial" w:cs="Arial" w:eastAsia="Arial" w:hAnsi="Arial"/>
                <w:sz w:val="18"/>
                <w:szCs w:val="18"/>
                <w:b w:val="1"/>
                <w:bCs w:val="1"/>
                <w:color w:val="auto"/>
              </w:rPr>
              <w:t>Year ended December 31, 2017</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Transfers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280"/>
              <w:spacing w:after="0" w:line="191" w:lineRule="exact"/>
              <w:rPr>
                <w:sz w:val="20"/>
                <w:szCs w:val="20"/>
                <w:color w:val="auto"/>
              </w:rPr>
            </w:pPr>
            <w:r>
              <w:rPr>
                <w:rFonts w:ascii="Arial" w:cs="Arial" w:eastAsia="Arial" w:hAnsi="Arial"/>
                <w:sz w:val="18"/>
                <w:szCs w:val="18"/>
                <w:b w:val="1"/>
                <w:bCs w:val="1"/>
                <w:color w:val="auto"/>
                <w:w w:val="96"/>
              </w:rPr>
              <w:t>Net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Portfolio</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in at fair</w:t>
            </w:r>
          </w:p>
        </w:tc>
        <w:tc>
          <w:tcPr>
            <w:tcW w:w="10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Discount</w:t>
            </w:r>
          </w:p>
        </w:tc>
        <w:tc>
          <w:tcPr>
            <w:tcW w:w="1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Interest</w:t>
            </w:r>
          </w:p>
        </w:tc>
        <w:tc>
          <w:tcPr>
            <w:tcW w:w="0" w:type="dxa"/>
            <w:vAlign w:val="bottom"/>
          </w:tcPr>
          <w:p>
            <w:pPr>
              <w:spacing w:after="0"/>
              <w:rPr>
                <w:sz w:val="1"/>
                <w:szCs w:val="1"/>
                <w:color w:val="auto"/>
              </w:rPr>
            </w:pPr>
          </w:p>
        </w:tc>
      </w:tr>
      <w:tr>
        <w:trPr>
          <w:trHeight w:val="234"/>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w w:val="87"/>
              </w:rPr>
              <w:t>Purchases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accretion</w:t>
            </w:r>
          </w:p>
        </w:tc>
        <w:tc>
          <w:tcPr>
            <w:tcW w:w="120" w:type="dxa"/>
            <w:vAlign w:val="bottom"/>
          </w:tcPr>
          <w:p>
            <w:pPr>
              <w:spacing w:after="0"/>
              <w:rPr>
                <w:sz w:val="20"/>
                <w:szCs w:val="20"/>
                <w:color w:val="auto"/>
              </w:rPr>
            </w:pPr>
          </w:p>
        </w:tc>
        <w:tc>
          <w:tcPr>
            <w:tcW w:w="580" w:type="dxa"/>
            <w:vAlign w:val="bottom"/>
          </w:tcPr>
          <w:p>
            <w:pPr>
              <w:ind w:left="280"/>
              <w:spacing w:after="0"/>
              <w:rPr>
                <w:sz w:val="20"/>
                <w:szCs w:val="20"/>
                <w:color w:val="auto"/>
              </w:rPr>
            </w:pPr>
            <w:r>
              <w:rPr>
                <w:rFonts w:ascii="Arial" w:cs="Arial" w:eastAsia="Arial" w:hAnsi="Arial"/>
                <w:sz w:val="18"/>
                <w:szCs w:val="18"/>
                <w:b w:val="1"/>
                <w:bCs w:val="1"/>
                <w:color w:val="auto"/>
                <w:w w:val="77"/>
              </w:rPr>
              <w:t>loss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 (loss)</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income</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Decisyon, Inc. </w:t>
            </w:r>
            <w:r>
              <w:rPr>
                <w:rFonts w:ascii="Arial" w:cs="Arial" w:eastAsia="Arial" w:hAnsi="Arial"/>
                <w:sz w:val="30"/>
                <w:szCs w:val="30"/>
                <w:color w:val="auto"/>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9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 Non-controlled</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year ended December 31, 2017, the Company's ownership in the portfolio company increased to five percent of the portfolio company's voting securities.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polices of such portfolio company (including through a management agreement). Transactions related to investments in controlled affiliated companies for the six months ended June 30, 2018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Fair value at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ind w:left="520"/>
              <w:spacing w:after="0"/>
              <w:rPr>
                <w:sz w:val="20"/>
                <w:szCs w:val="20"/>
                <w:color w:val="auto"/>
              </w:rPr>
            </w:pPr>
            <w:r>
              <w:rPr>
                <w:rFonts w:ascii="Arial" w:cs="Arial" w:eastAsia="Arial" w:hAnsi="Arial"/>
                <w:sz w:val="18"/>
                <w:szCs w:val="18"/>
                <w:b w:val="1"/>
                <w:bCs w:val="1"/>
                <w:color w:val="auto"/>
                <w:w w:val="89"/>
              </w:rPr>
              <w:t>Six months ended June 30, 2018</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5"/>
              </w:rPr>
              <w:t>Transfers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Portfolio</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in/(out) at</w:t>
            </w:r>
          </w:p>
        </w:tc>
        <w:tc>
          <w:tcPr>
            <w:tcW w:w="22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Discount</w:t>
            </w:r>
          </w:p>
        </w:tc>
        <w:tc>
          <w:tcPr>
            <w:tcW w:w="1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Fair value at</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realized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Interest</w:t>
            </w:r>
          </w:p>
        </w:tc>
        <w:tc>
          <w:tcPr>
            <w:tcW w:w="0" w:type="dxa"/>
            <w:vAlign w:val="bottom"/>
          </w:tcPr>
          <w:p>
            <w:pPr>
              <w:spacing w:after="0"/>
              <w:rPr>
                <w:sz w:val="1"/>
                <w:szCs w:val="1"/>
                <w:color w:val="auto"/>
              </w:rPr>
            </w:pPr>
          </w:p>
        </w:tc>
      </w:tr>
      <w:tr>
        <w:trPr>
          <w:trHeight w:val="234"/>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Purchases</w:t>
            </w:r>
          </w:p>
        </w:tc>
        <w:tc>
          <w:tcPr>
            <w:tcW w:w="12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fair value</w:t>
            </w:r>
          </w:p>
        </w:tc>
        <w:tc>
          <w:tcPr>
            <w:tcW w:w="22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accretion</w:t>
            </w:r>
          </w:p>
        </w:tc>
        <w:tc>
          <w:tcPr>
            <w:tcW w:w="1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gain/(loss)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income</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w w:val="99"/>
              </w:rPr>
              <w:t>(In thousands)</w:t>
            </w: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HSLFI</w:t>
            </w:r>
            <w:r>
              <w:rPr>
                <w:rFonts w:ascii="Arial" w:cs="Arial" w:eastAsia="Arial" w:hAnsi="Arial"/>
                <w:sz w:val="30"/>
                <w:szCs w:val="30"/>
                <w:color w:val="auto"/>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9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 Controlled</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jc w:val="both"/>
        <w:ind w:left="460" w:hanging="452"/>
        <w:spacing w:after="0" w:line="27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make investments in HSLFI in the form of LLC equity interests as HSLFI makes investments, and all portfolio and other material decisions regarding HSLFI must be submitted to HSLFI’s board of managers which is comprised of an equal number of managers appointed by each of the Company and Arena. Because management of HSLFI is shared equally between the Company and Arena, the Company does not believe it controls HSLFI for purposes of the 1940 Act or otherwise.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transactions related to investments in controlled affiliated companies for the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300" w:hanging="971"/>
        <w:spacing w:after="0" w:line="264" w:lineRule="auto"/>
        <w:tabs>
          <w:tab w:leader="none" w:pos="12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300" w:hanging="971"/>
        <w:spacing w:after="0" w:line="259" w:lineRule="auto"/>
        <w:tabs>
          <w:tab w:leader="none" w:pos="12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period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June 30, 2018 and December 31, 2017, the hypothetical market yields used ranged from 10%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560" w:hanging="187"/>
        <w:spacing w:after="0" w:line="342"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ind w:left="560" w:hanging="187"/>
        <w:spacing w:after="0" w:line="264"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560" w:hanging="187"/>
        <w:spacing w:after="0" w:line="25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provide a summary of quantitative information about the Company’s Level 3 fair value measurements of its investments as of June 30, 2018 and December 31, 2017. In addition to the techniques and inputs noted in the table below, according to the Company’s valuation policy, the Company may also use other valuation techniques and methodologies when determining its fair value measurements.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June 30,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left="288"/>
              <w:spacing w:after="0" w:line="133" w:lineRule="exact"/>
              <w:rPr>
                <w:sz w:val="20"/>
                <w:szCs w:val="20"/>
                <w:color w:val="auto"/>
              </w:rPr>
            </w:pPr>
            <w:r>
              <w:rPr>
                <w:rFonts w:ascii="Arial" w:cs="Arial" w:eastAsia="Arial" w:hAnsi="Arial"/>
                <w:sz w:val="14"/>
                <w:szCs w:val="14"/>
                <w:b w:val="1"/>
                <w:bCs w:val="1"/>
                <w:color w:val="auto"/>
              </w:rPr>
              <w:t>Fair</w:t>
            </w: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ind w:left="800"/>
              <w:spacing w:after="0" w:line="133" w:lineRule="exact"/>
              <w:rPr>
                <w:sz w:val="20"/>
                <w:szCs w:val="20"/>
                <w:color w:val="auto"/>
              </w:rPr>
            </w:pPr>
            <w:r>
              <w:rPr>
                <w:rFonts w:ascii="Arial" w:cs="Arial" w:eastAsia="Arial" w:hAnsi="Arial"/>
                <w:sz w:val="14"/>
                <w:szCs w:val="14"/>
                <w:b w:val="1"/>
                <w:bCs w:val="1"/>
                <w:color w:val="auto"/>
              </w:rPr>
              <w:t>Valuation Techniques/</w:t>
            </w:r>
          </w:p>
        </w:tc>
        <w:tc>
          <w:tcPr>
            <w:tcW w:w="2040" w:type="dxa"/>
            <w:vAlign w:val="bottom"/>
            <w:tcBorders>
              <w:top w:val="single" w:sz="8" w:color="auto"/>
            </w:tcBorders>
          </w:tcPr>
          <w:p>
            <w:pPr>
              <w:ind w:left="700"/>
              <w:spacing w:after="0" w:line="133" w:lineRule="exact"/>
              <w:rPr>
                <w:sz w:val="20"/>
                <w:szCs w:val="20"/>
                <w:color w:val="auto"/>
              </w:rPr>
            </w:pPr>
            <w:r>
              <w:rPr>
                <w:rFonts w:ascii="Arial" w:cs="Arial" w:eastAsia="Arial" w:hAnsi="Arial"/>
                <w:sz w:val="14"/>
                <w:szCs w:val="14"/>
                <w:b w:val="1"/>
                <w:bCs w:val="1"/>
                <w:color w:val="auto"/>
              </w:rPr>
              <w:t>Unobservable</w:t>
            </w:r>
          </w:p>
        </w:tc>
        <w:tc>
          <w:tcPr>
            <w:tcW w:w="16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ind w:left="1040"/>
              <w:spacing w:after="0"/>
              <w:rPr>
                <w:sz w:val="20"/>
                <w:szCs w:val="20"/>
                <w:color w:val="auto"/>
              </w:rPr>
            </w:pPr>
            <w:r>
              <w:rPr>
                <w:rFonts w:ascii="Arial" w:cs="Arial" w:eastAsia="Arial" w:hAnsi="Arial"/>
                <w:sz w:val="14"/>
                <w:szCs w:val="14"/>
                <w:b w:val="1"/>
                <w:bCs w:val="1"/>
                <w:color w:val="auto"/>
              </w:rPr>
              <w:t>Methodologies</w:t>
            </w:r>
          </w:p>
        </w:tc>
        <w:tc>
          <w:tcPr>
            <w:tcW w:w="2040" w:type="dxa"/>
            <w:vAlign w:val="bottom"/>
          </w:tcPr>
          <w:p>
            <w:pPr>
              <w:ind w:left="960"/>
              <w:spacing w:after="0"/>
              <w:rPr>
                <w:sz w:val="20"/>
                <w:szCs w:val="20"/>
                <w:color w:val="auto"/>
              </w:rPr>
            </w:pPr>
            <w:r>
              <w:rPr>
                <w:rFonts w:ascii="Arial" w:cs="Arial" w:eastAsia="Arial" w:hAnsi="Arial"/>
                <w:sz w:val="14"/>
                <w:szCs w:val="14"/>
                <w:b w:val="1"/>
                <w:bCs w:val="1"/>
                <w:color w:val="auto"/>
              </w:rPr>
              <w:t>Input</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Range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6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203,459</w:t>
            </w:r>
          </w:p>
        </w:tc>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Discounted Expected Future Cash Flows</w:t>
            </w: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10% – 25%</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7,729</w:t>
            </w:r>
          </w:p>
        </w:tc>
        <w:tc>
          <w:tcPr>
            <w:tcW w:w="27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Black-Scholes Valuation Model</w:t>
            </w:r>
          </w:p>
        </w:tc>
        <w:tc>
          <w:tcPr>
            <w:tcW w:w="20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$0.00 – $500.00</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Time to Exit</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0"/>
              </w:rPr>
              <w:t>1 to 5 years</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 years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7,700</w:t>
            </w:r>
          </w:p>
        </w:tc>
        <w:tc>
          <w:tcPr>
            <w:tcW w:w="27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Multiple Probability Weighted Cash Flow</w:t>
            </w:r>
          </w:p>
        </w:tc>
        <w:tc>
          <w:tcPr>
            <w:tcW w:w="20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18% – 25%</w:t>
            </w:r>
          </w:p>
        </w:tc>
        <w:tc>
          <w:tcPr>
            <w:tcW w:w="1200" w:type="dxa"/>
            <w:vAlign w:val="bottom"/>
            <w:shd w:val="clear" w:color="auto" w:fill="CCEEFF"/>
          </w:tcPr>
          <w:p>
            <w:pPr>
              <w:jc w:val="center"/>
              <w:ind w:right="8"/>
              <w:spacing w:after="0" w:line="130" w:lineRule="exact"/>
              <w:rPr>
                <w:sz w:val="20"/>
                <w:szCs w:val="20"/>
                <w:color w:val="auto"/>
              </w:rPr>
            </w:pPr>
            <w:r>
              <w:rPr>
                <w:rFonts w:ascii="Arial" w:cs="Arial" w:eastAsia="Arial" w:hAnsi="Arial"/>
                <w:sz w:val="14"/>
                <w:szCs w:val="14"/>
                <w:color w:val="auto"/>
                <w:w w:val="99"/>
              </w:rPr>
              <w:t>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Model</w:t>
            </w: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 – 100%</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1,215</w:t>
            </w: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Equity Financing</w:t>
            </w: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$0.00 – $2.24</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220,103</w:t>
            </w:r>
          </w:p>
        </w:tc>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Fair</w:t>
            </w:r>
          </w:p>
        </w:tc>
        <w:tc>
          <w:tcPr>
            <w:tcW w:w="2640" w:type="dxa"/>
            <w:vAlign w:val="bottom"/>
            <w:tcBorders>
              <w:top w:val="single" w:sz="8" w:color="auto"/>
            </w:tcBorders>
          </w:tcPr>
          <w:p>
            <w:pPr>
              <w:ind w:left="700"/>
              <w:spacing w:after="0" w:line="133" w:lineRule="exact"/>
              <w:rPr>
                <w:sz w:val="20"/>
                <w:szCs w:val="20"/>
                <w:color w:val="auto"/>
              </w:rPr>
            </w:pPr>
            <w:r>
              <w:rPr>
                <w:rFonts w:ascii="Arial" w:cs="Arial" w:eastAsia="Arial" w:hAnsi="Arial"/>
                <w:sz w:val="14"/>
                <w:szCs w:val="14"/>
                <w:b w:val="1"/>
                <w:bCs w:val="1"/>
                <w:color w:val="auto"/>
              </w:rPr>
              <w:t>Valuation Techniques/</w:t>
            </w:r>
          </w:p>
        </w:tc>
        <w:tc>
          <w:tcPr>
            <w:tcW w:w="2060" w:type="dxa"/>
            <w:vAlign w:val="bottom"/>
            <w:tcBorders>
              <w:top w:val="single" w:sz="8" w:color="auto"/>
            </w:tcBorders>
          </w:tcPr>
          <w:p>
            <w:pPr>
              <w:ind w:left="700"/>
              <w:spacing w:after="0" w:line="133" w:lineRule="exact"/>
              <w:rPr>
                <w:sz w:val="20"/>
                <w:szCs w:val="20"/>
                <w:color w:val="auto"/>
              </w:rPr>
            </w:pPr>
            <w:r>
              <w:rPr>
                <w:rFonts w:ascii="Arial" w:cs="Arial" w:eastAsia="Arial" w:hAnsi="Arial"/>
                <w:sz w:val="14"/>
                <w:szCs w:val="14"/>
                <w:b w:val="1"/>
                <w:bCs w:val="1"/>
                <w:color w:val="auto"/>
              </w:rPr>
              <w:t>Unobservable</w:t>
            </w:r>
          </w:p>
        </w:tc>
        <w:tc>
          <w:tcPr>
            <w:tcW w:w="15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2640" w:type="dxa"/>
            <w:vAlign w:val="bottom"/>
          </w:tcPr>
          <w:p>
            <w:pPr>
              <w:ind w:left="940"/>
              <w:spacing w:after="0"/>
              <w:rPr>
                <w:sz w:val="20"/>
                <w:szCs w:val="20"/>
                <w:color w:val="auto"/>
              </w:rPr>
            </w:pPr>
            <w:r>
              <w:rPr>
                <w:rFonts w:ascii="Arial" w:cs="Arial" w:eastAsia="Arial" w:hAnsi="Arial"/>
                <w:sz w:val="14"/>
                <w:szCs w:val="14"/>
                <w:b w:val="1"/>
                <w:bCs w:val="1"/>
                <w:color w:val="auto"/>
              </w:rPr>
              <w:t>Methodologies</w:t>
            </w:r>
          </w:p>
        </w:tc>
        <w:tc>
          <w:tcPr>
            <w:tcW w:w="2060" w:type="dxa"/>
            <w:vAlign w:val="bottom"/>
          </w:tcPr>
          <w:p>
            <w:pPr>
              <w:ind w:left="960"/>
              <w:spacing w:after="0"/>
              <w:rPr>
                <w:sz w:val="20"/>
                <w:szCs w:val="20"/>
                <w:color w:val="auto"/>
              </w:rPr>
            </w:pPr>
            <w:r>
              <w:rPr>
                <w:rFonts w:ascii="Arial" w:cs="Arial" w:eastAsia="Arial" w:hAnsi="Arial"/>
                <w:sz w:val="14"/>
                <w:szCs w:val="14"/>
                <w:b w:val="1"/>
                <w:bCs w:val="1"/>
                <w:color w:val="auto"/>
              </w:rPr>
              <w:t>Input</w:t>
            </w:r>
          </w:p>
        </w:tc>
        <w:tc>
          <w:tcPr>
            <w:tcW w:w="156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Range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700" w:type="dxa"/>
            <w:vAlign w:val="bottom"/>
            <w:tcBorders>
              <w:top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5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200,893</w:t>
            </w:r>
          </w:p>
        </w:tc>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Discounted Expected Future Cash Flows</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56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10% – 25%</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2,900</w:t>
            </w: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Liquidation Scenario</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Discount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20%</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Uncertainty Discount</w:t>
            </w:r>
          </w:p>
        </w:tc>
        <w:tc>
          <w:tcPr>
            <w:tcW w:w="15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20%</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7,371</w:t>
            </w:r>
          </w:p>
        </w:tc>
        <w:tc>
          <w:tcPr>
            <w:tcW w:w="2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Black-Scholes Valuation Model</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$0.00 – $22.38</w:t>
            </w:r>
          </w:p>
        </w:tc>
        <w:tc>
          <w:tcPr>
            <w:tcW w:w="12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56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20%</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56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20%</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Estimated Time to Exit</w:t>
            </w:r>
          </w:p>
        </w:tc>
        <w:tc>
          <w:tcPr>
            <w:tcW w:w="156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0"/>
              </w:rPr>
              <w:t>1 to 5 years</w:t>
            </w: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Expected Proceeds</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5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8"/>
              </w:rPr>
              <w:t>$0.001</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7,700</w:t>
            </w:r>
          </w:p>
        </w:tc>
        <w:tc>
          <w:tcPr>
            <w:tcW w:w="2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Multiple Probability Weighted Cash Flow</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18% – 25%</w:t>
            </w:r>
          </w:p>
        </w:tc>
        <w:tc>
          <w:tcPr>
            <w:tcW w:w="12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Model</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5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0% – 100%</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Last Equity Financing</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5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1"/>
              </w:rPr>
              <w:t>$0.00 – $1.26</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219,115</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 with KeyBank National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June 30, 2018, the closing price of the 2022 Notes on the New York Stock Exchange was $25.45 per note, or $38.0 million. Therefore, the Company has categorized this borrowing as Level 1 within the fair value hierarchy described above.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June 30, 2018 and December 31, 2017 and indicate the fair value hierarchy of the valuation techniques utilized by the Company to determine the fair value: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June 30, 2018</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82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Warrant investments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954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28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9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investments</w:t>
            </w:r>
          </w:p>
        </w:tc>
        <w:tc>
          <w:tcPr>
            <w:tcW w:w="9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954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226,467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16554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63" w:lineRule="exact"/>
        <w:rPr>
          <w:sz w:val="20"/>
          <w:szCs w:val="20"/>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Warrant investments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investments</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219,115</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8"/>
                <w:szCs w:val="18"/>
                <w:b w:val="1"/>
                <w:bCs w:val="1"/>
                <w:color w:val="auto"/>
              </w:rPr>
              <w:t>Three Months Ended June 30, 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Investments</w:t>
            </w:r>
          </w:p>
        </w:tc>
        <w:tc>
          <w:tcPr>
            <w:tcW w:w="10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Investments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(In thousands)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209,118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29,484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(18,762)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included in earnings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June 30 2018, there were no transfers between levels.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2017:</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8"/>
                <w:szCs w:val="18"/>
                <w:b w:val="1"/>
                <w:bCs w:val="1"/>
                <w:color w:val="auto"/>
              </w:rPr>
              <w:t>Three Months Ended June 30, 2017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Investments</w:t>
            </w:r>
          </w:p>
        </w:tc>
        <w:tc>
          <w:tcPr>
            <w:tcW w:w="10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Investments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(In thousands)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178,484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22,074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(20,749)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(depreciation) appreciation included in earnings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June 30, 2017, there were no transfers between levels.</w:t>
      </w:r>
    </w:p>
    <w:p>
      <w:pPr>
        <w:spacing w:after="0" w:line="17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8"/>
                <w:szCs w:val="18"/>
                <w:b w:val="1"/>
                <w:bCs w:val="1"/>
                <w:color w:val="auto"/>
              </w:rPr>
              <w:t>Six Months Ended June 30, 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Investments</w:t>
            </w:r>
          </w:p>
        </w:tc>
        <w:tc>
          <w:tcPr>
            <w:tcW w:w="10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Investments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(In thousands)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203,793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219,115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38,046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(34,302)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(depreciation) appreciation included in earnings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six months ended June 30 2018,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June 30, 2018 includes $0.2 million in unrealized depreciation on debt and other investments, $0.02 million in unrealized depreciation on warrant investments and $0.05 million in unrealized depreciation on equity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2017:</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8"/>
                <w:szCs w:val="18"/>
                <w:b w:val="1"/>
                <w:bCs w:val="1"/>
                <w:color w:val="auto"/>
              </w:rPr>
              <w:t>Six Months Ended June 30, 2017</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6"/>
                <w:szCs w:val="16"/>
                <w:color w:val="auto"/>
              </w:rPr>
            </w:pPr>
          </w:p>
        </w:tc>
        <w:tc>
          <w:tcPr>
            <w:tcW w:w="11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Investments</w:t>
            </w:r>
          </w:p>
        </w:tc>
        <w:tc>
          <w:tcPr>
            <w:tcW w:w="10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Investments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(In thousands)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192,911</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47,990</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(60,260)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(10,102)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appreciation (depreciation) included in earnings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7,866</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Transfer from debt investments to other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six months ended June 30, 2017,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June 30, 2017 includes $2.6 million in unrealized depreciation on debt and other investments, $0.4 million in unrealized depreciation on warrant investments and $0.01 million in unrealized appreciation on equity investments.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and December 31, 2017, the recorded balances equaled fair values of all the Company’s financial instruments, except for the Company’s 2022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borrowings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2018</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Balance</w:t>
            </w:r>
          </w:p>
        </w:tc>
        <w:tc>
          <w:tcPr>
            <w:tcW w:w="180" w:type="dxa"/>
            <w:vAlign w:val="bottom"/>
          </w:tcPr>
          <w:p>
            <w:pPr>
              <w:spacing w:after="0"/>
              <w:rPr>
                <w:sz w:val="16"/>
                <w:szCs w:val="16"/>
                <w:color w:val="auto"/>
              </w:rPr>
            </w:pPr>
          </w:p>
        </w:tc>
        <w:tc>
          <w:tcPr>
            <w:tcW w:w="9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6"/>
              </w:rPr>
              <w:t>Unused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Balance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9"/>
              </w:rPr>
              <w:t>Unused</w:t>
            </w: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Commitment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Commitment</w:t>
            </w:r>
          </w:p>
        </w:tc>
        <w:tc>
          <w:tcPr>
            <w:tcW w:w="120" w:type="dxa"/>
            <w:vAlign w:val="bottom"/>
          </w:tcPr>
          <w:p>
            <w:pPr>
              <w:spacing w:after="0"/>
              <w:rPr>
                <w:sz w:val="20"/>
                <w:szCs w:val="20"/>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Commitment</w:t>
            </w:r>
          </w:p>
        </w:tc>
        <w:tc>
          <w:tcPr>
            <w:tcW w:w="180" w:type="dxa"/>
            <w:vAlign w:val="bottom"/>
          </w:tcPr>
          <w:p>
            <w:pPr>
              <w:spacing w:after="0"/>
              <w:rPr>
                <w:sz w:val="20"/>
                <w:szCs w:val="20"/>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4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Commitment</w:t>
            </w:r>
          </w:p>
        </w:tc>
      </w:tr>
      <w:tr>
        <w:trPr>
          <w:trHeight w:val="210"/>
        </w:trPr>
        <w:tc>
          <w:tcPr>
            <w:tcW w:w="3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c>
          <w:tcPr>
            <w:tcW w:w="3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2022 Notes</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37,375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Unamortized debt issuance costs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340" w:type="dxa"/>
            <w:vAlign w:val="bottom"/>
          </w:tcPr>
          <w:p>
            <w:pPr>
              <w:spacing w:after="0"/>
              <w:rPr>
                <w:sz w:val="20"/>
                <w:szCs w:val="20"/>
                <w:color w:val="auto"/>
              </w:rPr>
            </w:pPr>
            <w:r>
              <w:rPr>
                <w:rFonts w:ascii="Arial" w:cs="Arial" w:eastAsia="Arial" w:hAnsi="Arial"/>
                <w:sz w:val="18"/>
                <w:szCs w:val="18"/>
                <w:color w:val="auto"/>
              </w:rPr>
              <w:t>attributable to term borrowings</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Currently, with certain limited exceptions, as a BDC, the Company is only allowed to borrow amounts such that the Company’s asset coverage, as defined in the 1940 Act, is at least 200% after such borrowings. As of June 30, 2018, the Company’s asset coverage for borrowed amounts was 227%.</w:t>
      </w:r>
    </w:p>
    <w:p>
      <w:pPr>
        <w:spacing w:after="0" w:line="1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As a result, subject to certain disclosure requirements, the asset coverage requirements applicable to senior securities are expected to decrease from 200% to 150% effective June 7, 2019, unless earlier approved by a majority of votes cast at the special meeting. In that case, the modified asset coverage requirements would be effective with respect to the Company on the day immediately following such stockholder approval.</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entered into the Key Facility with Key effective November 4, 2013. The Key Facility has an accordion feature which allows for an increase in the total loan commitment to $150 million from the $100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2.09% and 1.56% on June 30, 2018 and December 31, 2017, respectively. The average interest rate for the three months ended June 30, 2018 and 2017 was 5.18% and 4.26%, respectively. The average interest rate for the six months ended June 30, 2018 and 2017 was 5.01% and 4.14%, respectively. The Key Facility requires the payment of an unused line fee in an amount equal to 0.50% of any unborrowed amount available under the facility annually. As of June 30, 2018 and December 31, 2017, the Company had borrowing capacity under the Key Facility of $32.0 million and $37.0 million, respectively. At June 30, 2018 and December 31, 2017, $20.6 million and $23.6 million, respectively, was available, subject to existing terms and advance rates.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23, 2012, the Company issued and sold an aggregate principal amount of $30.0 million of 7.375% senior unsecured notes due in 2019 and on April 18, 2012, pursuant to the underwriters’ 30 day option to purchase additional notes, the Company sold an additional $3.0 million of such notes (collectively, the “2019 Notes”). The 2019 Notes had a stated maturity of March 15, 2019 and were redeemable in whole or in part at the Company’s option at any time or from time to time at a redemption price of $25 per security plus accrued and unpaid interest. The 2019 Notes bore interest at a rate of 7.375% per year payable quarterly on March 15, June 15, September 15 and December 15 of each year. The 2019 Notes were the Company’s direct unsecured obligations and (i) ranked equally in right of payment with the Company’s future unsecured indebtedness; (ii) were senior in right of payment to any of the Company’s future indebtedness that expressly provided it was subordinated to the 2019 Notes; (iii) were effectively subordinated to all of the Company’s existing and future secured indebtedness (including indebtedness that was initially unsecured to which the Company subsequently granted security), to the extent of the value of the assets securing such indebtedness, and (iv) were structurally subordinated to all existing and future indebtedness and other obligations of any of the Company’s subsidiaries. On October 30, 2017 (the “Redemption Date”), the Company redeemed all of the issued and outstanding 2019 Notes in an aggregate principal amount of $33.0 million and paid accrued interest of $0.3 million. The Company accelerated $0.2 million of unamortized debt issuance costs related to the 2019 Notes. The 2019 Notes were delisted effective on the Redemption Date.</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June 30, 2018, the Company was in material compliance with the terms of the 2022 Notes. The 2022 Notes are listed on the New York Stock Exchange under the symbol “HTFA”.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balance of unfunded commitments to extend credit was $20.2 million and $33.3 million as of June 30, 2018 and December 31, 2017,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Company’s unfunded commitments by portfolio company as of June 30, 2018:</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6"/>
          </w:tcPr>
          <w:p>
            <w:pPr>
              <w:ind w:left="580"/>
              <w:spacing w:after="0"/>
              <w:rPr>
                <w:sz w:val="20"/>
                <w:szCs w:val="20"/>
                <w:color w:val="auto"/>
              </w:rPr>
            </w:pPr>
            <w:r>
              <w:rPr>
                <w:rFonts w:ascii="Arial" w:cs="Arial" w:eastAsia="Arial" w:hAnsi="Arial"/>
                <w:sz w:val="18"/>
                <w:szCs w:val="18"/>
                <w:b w:val="1"/>
                <w:bCs w:val="1"/>
                <w:color w:val="auto"/>
              </w:rPr>
              <w:t>June 30, 2018</w:t>
            </w: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Unfunded</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Principal</w:t>
            </w:r>
          </w:p>
        </w:tc>
        <w:tc>
          <w:tcPr>
            <w:tcW w:w="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Aerin Medical, Inc.</w:t>
            </w:r>
          </w:p>
        </w:tc>
        <w:tc>
          <w:tcPr>
            <w:tcW w:w="2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Catasys, Inc.</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HealthEdge Software, Inc.</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Intelepeer Holdings, Inc.</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New Signature US, Inc.</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StereoVision Imaging, Inc.</w:t>
            </w: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June 30, 2018, which totaled $0.2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9. Concentrations of credit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largest debt investments may vary from period to period as new debt investments are recorded and existing debt investments are repaid. The Company’s five largest debt investments, at cost, represented 30% and 29% of total debt investments outstanding as of June 30, 2018 and December 31, 2017, respectively. No single debt investment represented more than 10% of the total debt investments as of June 30, 2018 and December 31, 2017. Investment income, consisting of interest and fees, can fluctuate significantly upon repayment of large debt investments. Interest income from the five largest debt investments accounted for 32% and 28% of total interest and fee income on investments for the three months ended June 30, 2018 and 2017, respectively. Interest income from the five largest debt investments accounted for 31% and 21% of total interest and fee income on investments for the six months ended June 30, 2018 and 2017,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six months ended June 30, 2018 and for the years ended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b w:val="1"/>
                <w:bCs w:val="1"/>
                <w:color w:val="auto"/>
              </w:rPr>
              <w:t>DRIP</w:t>
            </w:r>
          </w:p>
        </w:tc>
      </w:tr>
      <w:tr>
        <w:trPr>
          <w:trHeight w:val="216"/>
        </w:trPr>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Cash</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b w:val="1"/>
                <w:bCs w:val="1"/>
                <w:color w:val="auto"/>
              </w:rPr>
              <w:t>Share</w:t>
            </w:r>
          </w:p>
        </w:tc>
      </w:tr>
      <w:tr>
        <w:trPr>
          <w:trHeight w:val="234"/>
        </w:trPr>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Declared</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Record Date</w:t>
            </w: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Payment Date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Distribution</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b w:val="1"/>
                <w:bCs w:val="1"/>
                <w:color w:val="auto"/>
              </w:rPr>
              <w:t>Value</w:t>
            </w:r>
          </w:p>
        </w:tc>
      </w:tr>
      <w:tr>
        <w:trPr>
          <w:trHeight w:val="210"/>
        </w:trPr>
        <w:tc>
          <w:tcPr>
            <w:tcW w:w="13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9"/>
          </w:tcPr>
          <w:p>
            <w:pPr>
              <w:jc w:val="right"/>
              <w:ind w:right="25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2018</w:t>
            </w:r>
          </w:p>
        </w:tc>
        <w:tc>
          <w:tcPr>
            <w:tcW w:w="1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4/27/18</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8/17/18</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9/14/18</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4/27/18</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7/19/18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4/27/18</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6/19/18</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7/17/18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5/17/18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3/1/18</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4/19/18</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30"/>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3/19/18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r>
      <w:tr>
        <w:trPr>
          <w:trHeight w:val="263"/>
        </w:trPr>
        <w:tc>
          <w:tcPr>
            <w:tcW w:w="13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22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3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2017</w:t>
            </w: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10/27/17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2/21/18</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3/15/18</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10/27/17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12/20/17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1/17/18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7/28/17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11/20/17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7/28/17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10/19/17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7/28/17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8/18/17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7/20/17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6/20/17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7/14/17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5/19/17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4/21/17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5/16/17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30"/>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3/20/17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4/18/17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r>
      <w:tr>
        <w:trPr>
          <w:trHeight w:val="263"/>
        </w:trPr>
        <w:tc>
          <w:tcPr>
            <w:tcW w:w="13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13,658</w:t>
            </w:r>
          </w:p>
        </w:tc>
        <w:tc>
          <w:tcPr>
            <w:tcW w:w="22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3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2016</w:t>
            </w: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2/22/17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3/15/17</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1,665</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1/19/17</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12/20/16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1/13/17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11/18/16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10/20/16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11/15/16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9/20/16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8/19/16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9/15/16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7/20/16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6/20/16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7/15/16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5/19/16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4/20/16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5/16/16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30"/>
        </w:trPr>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3/18/16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4/15/16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27, 2018, the Board declared monthly distributions per share, payable as set forth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100" w:type="dxa"/>
            <w:vAlign w:val="bottom"/>
          </w:tcPr>
          <w:p>
            <w:pPr>
              <w:spacing w:after="0"/>
              <w:rPr>
                <w:sz w:val="20"/>
                <w:szCs w:val="20"/>
                <w:color w:val="auto"/>
              </w:rPr>
            </w:pPr>
          </w:p>
        </w:tc>
        <w:tc>
          <w:tcPr>
            <w:tcW w:w="2380" w:type="dxa"/>
            <w:vAlign w:val="bottom"/>
            <w:gridSpan w:val="2"/>
          </w:tcPr>
          <w:p>
            <w:pPr>
              <w:ind w:left="660"/>
              <w:spacing w:after="0"/>
              <w:rPr>
                <w:sz w:val="20"/>
                <w:szCs w:val="20"/>
                <w:color w:val="auto"/>
              </w:rPr>
            </w:pPr>
            <w:r>
              <w:rPr>
                <w:rFonts w:ascii="Arial" w:cs="Arial" w:eastAsia="Arial" w:hAnsi="Arial"/>
                <w:sz w:val="18"/>
                <w:szCs w:val="18"/>
                <w:b w:val="1"/>
                <w:bCs w:val="1"/>
                <w:color w:val="auto"/>
              </w:rPr>
              <w:t>Record Date</w:t>
            </w:r>
          </w:p>
        </w:tc>
        <w:tc>
          <w:tcPr>
            <w:tcW w:w="2280" w:type="dxa"/>
            <w:vAlign w:val="bottom"/>
          </w:tcPr>
          <w:p>
            <w:pPr>
              <w:ind w:left="600"/>
              <w:spacing w:after="0"/>
              <w:rPr>
                <w:sz w:val="20"/>
                <w:szCs w:val="20"/>
                <w:color w:val="auto"/>
              </w:rPr>
            </w:pPr>
            <w:r>
              <w:rPr>
                <w:rFonts w:ascii="Arial" w:cs="Arial" w:eastAsia="Arial" w:hAnsi="Arial"/>
                <w:sz w:val="18"/>
                <w:szCs w:val="18"/>
                <w:b w:val="1"/>
                <w:bCs w:val="1"/>
                <w:color w:val="auto"/>
              </w:rPr>
              <w:t>Payment Date</w:t>
            </w:r>
          </w:p>
        </w:tc>
        <w:tc>
          <w:tcPr>
            <w:tcW w:w="194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Distributions Declared</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16, 2018</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14, 2018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October 17, 2018</w:t>
            </w: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October 18, 2018</w:t>
            </w:r>
          </w:p>
        </w:tc>
        <w:tc>
          <w:tcPr>
            <w:tcW w:w="2280" w:type="dxa"/>
            <w:vAlign w:val="bottom"/>
          </w:tcPr>
          <w:p>
            <w:pPr>
              <w:spacing w:after="0"/>
              <w:rPr>
                <w:sz w:val="20"/>
                <w:szCs w:val="20"/>
                <w:color w:val="auto"/>
              </w:rPr>
            </w:pPr>
            <w:r>
              <w:rPr>
                <w:rFonts w:ascii="Arial" w:cs="Arial" w:eastAsia="Arial" w:hAnsi="Arial"/>
                <w:sz w:val="18"/>
                <w:szCs w:val="18"/>
                <w:color w:val="auto"/>
              </w:rPr>
              <w:t>November 15, 2018</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September 17, 2018</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18, 2018</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October 16, 2018</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648"/>
        </w:trPr>
        <w:tc>
          <w:tcPr>
            <w:tcW w:w="4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paying distributions of $0.30 per share and earning $0.29 per share for the quarter, the Company’s undistributed spillover income as of June 30, 2018 was $0.05 per share. Spillover income includes any ordinary income and net capital gains from the preceding tax years that were not distributed during such tax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highlights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ind w:left="340"/>
              <w:spacing w:after="0"/>
              <w:rPr>
                <w:sz w:val="20"/>
                <w:szCs w:val="20"/>
                <w:color w:val="auto"/>
              </w:rPr>
            </w:pPr>
            <w:r>
              <w:rPr>
                <w:rFonts w:ascii="Arial" w:cs="Arial" w:eastAsia="Arial" w:hAnsi="Arial"/>
                <w:sz w:val="18"/>
                <w:szCs w:val="18"/>
                <w:color w:val="auto"/>
              </w:rPr>
              <w:t>The following table shows financial highlights for the Company:</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11.72</w:t>
            </w:r>
          </w:p>
        </w:tc>
        <w:tc>
          <w:tcPr>
            <w:tcW w:w="320" w:type="dxa"/>
            <w:vAlign w:val="bottom"/>
          </w:tcPr>
          <w:p>
            <w:pPr>
              <w:spacing w:after="0"/>
              <w:rPr>
                <w:sz w:val="18"/>
                <w:szCs w:val="18"/>
                <w:color w:val="auto"/>
              </w:rPr>
            </w:pP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appreciation on investments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tcPr>
          <w:p>
            <w:pPr>
              <w:ind w:left="480"/>
              <w:spacing w:after="0"/>
              <w:rPr>
                <w:sz w:val="20"/>
                <w:szCs w:val="20"/>
                <w:color w:val="auto"/>
              </w:rPr>
            </w:pPr>
            <w:r>
              <w:rPr>
                <w:rFonts w:ascii="Arial" w:cs="Arial" w:eastAsia="Arial" w:hAnsi="Arial"/>
                <w:sz w:val="18"/>
                <w:szCs w:val="18"/>
                <w:color w:val="auto"/>
              </w:rPr>
              <w:t>From net investment income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From net realized gain on investments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Arial" w:cs="Arial" w:eastAsia="Arial" w:hAnsi="Arial"/>
                <w:sz w:val="18"/>
                <w:szCs w:val="18"/>
                <w:color w:val="auto"/>
              </w:rPr>
              <w:t>Return of capital</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860"/>
              <w:spacing w:after="0"/>
              <w:rPr>
                <w:sz w:val="20"/>
                <w:szCs w:val="20"/>
                <w:color w:val="auto"/>
              </w:rPr>
            </w:pPr>
            <w:r>
              <w:rPr>
                <w:rFonts w:ascii="Arial" w:cs="Arial" w:eastAsia="Arial" w:hAnsi="Arial"/>
                <w:sz w:val="18"/>
                <w:szCs w:val="18"/>
                <w:color w:val="auto"/>
              </w:rPr>
              <w:t>Per share market value, beginning of period</w:t>
            </w:r>
          </w:p>
        </w:tc>
        <w:tc>
          <w:tcPr>
            <w:tcW w:w="7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11.22</w:t>
            </w:r>
          </w:p>
        </w:tc>
        <w:tc>
          <w:tcPr>
            <w:tcW w:w="3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10.53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color w:val="auto"/>
              </w:rPr>
              <w:t>Total return based on a market value</w:t>
            </w:r>
            <w:r>
              <w:rPr>
                <w:rFonts w:ascii="Arial" w:cs="Arial" w:eastAsia="Arial" w:hAnsi="Arial"/>
                <w:sz w:val="29"/>
                <w:szCs w:val="29"/>
                <w:color w:val="auto"/>
                <w:vertAlign w:val="superscript"/>
              </w:rPr>
              <w:t>(2)</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11,527,764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11,519,180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Ratios, net of waiver, to average net assets: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Expenses without incentive fees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23495</wp:posOffset>
            </wp:positionV>
            <wp:extent cx="615759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7595" cy="188595"/>
                    </a:xfrm>
                    <a:prstGeom prst="rect">
                      <a:avLst/>
                    </a:prstGeom>
                    <a:noFill/>
                  </pic:spPr>
                </pic:pic>
              </a:graphicData>
            </a:graphic>
          </wp:anchor>
        </w:drawing>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expenses</w:t>
      </w:r>
    </w:p>
    <w:p>
      <w:pPr>
        <w:spacing w:after="0" w:line="9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investment income with incentive fees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Ratios, without waiver,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-108585</wp:posOffset>
            </wp:positionV>
            <wp:extent cx="615759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line="223" w:lineRule="auto"/>
        <w:tabs>
          <w:tab w:leader="none" w:pos="2200" w:val="left"/>
        </w:tabs>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(3)</w:t>
      </w:r>
      <w:r>
        <w:rPr>
          <w:sz w:val="20"/>
          <w:szCs w:val="20"/>
          <w:color w:val="auto"/>
        </w:rPr>
        <w:tab/>
      </w:r>
      <w:r>
        <w:rPr>
          <w:rFonts w:ascii="Arial" w:cs="Arial" w:eastAsia="Arial" w:hAnsi="Arial"/>
          <w:sz w:val="15"/>
          <w:szCs w:val="15"/>
          <w:color w:val="auto"/>
        </w:rPr>
        <w:t>8.5%</w:t>
      </w:r>
      <w:r>
        <w:rPr>
          <w:rFonts w:ascii="Arial" w:cs="Arial" w:eastAsia="Arial" w:hAnsi="Arial"/>
          <w:sz w:val="24"/>
          <w:szCs w:val="24"/>
          <w:color w:val="auto"/>
          <w:vertAlign w:val="superscript"/>
        </w:rPr>
        <w:t>(3)</w:t>
      </w:r>
    </w:p>
    <w:p>
      <w:pPr>
        <w:ind w:left="80"/>
        <w:spacing w:after="0" w:line="235" w:lineRule="auto"/>
        <w:tabs>
          <w:tab w:leader="none" w:pos="2200" w:val="left"/>
        </w:tabs>
        <w:rPr>
          <w:sz w:val="20"/>
          <w:szCs w:val="20"/>
          <w:color w:val="auto"/>
        </w:rPr>
      </w:pPr>
      <w:r>
        <w:rPr>
          <w:rFonts w:ascii="Arial" w:cs="Arial" w:eastAsia="Arial" w:hAnsi="Arial"/>
          <w:sz w:val="18"/>
          <w:szCs w:val="18"/>
          <w:color w:val="auto"/>
        </w:rPr>
        <w:t>2.0%</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1.2%</w:t>
      </w:r>
      <w:r>
        <w:rPr>
          <w:rFonts w:ascii="Arial" w:cs="Arial" w:eastAsia="Arial" w:hAnsi="Arial"/>
          <w:sz w:val="24"/>
          <w:szCs w:val="24"/>
          <w:color w:val="auto"/>
          <w:vertAlign w:val="superscript"/>
        </w:rPr>
        <w:t>(3)</w:t>
      </w:r>
    </w:p>
    <w:p>
      <w:pPr>
        <w:spacing w:after="0"/>
        <w:tabs>
          <w:tab w:leader="none" w:pos="2200" w:val="left"/>
        </w:tabs>
        <w:rPr>
          <w:sz w:val="20"/>
          <w:szCs w:val="20"/>
          <w:color w:val="auto"/>
        </w:rPr>
      </w:pPr>
      <w:r>
        <w:rPr>
          <w:rFonts w:ascii="Arial" w:cs="Arial" w:eastAsia="Arial" w:hAnsi="Arial"/>
          <w:sz w:val="18"/>
          <w:szCs w:val="18"/>
          <w:color w:val="auto"/>
        </w:rPr>
        <w:t>11.9%</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9.7%</w:t>
      </w:r>
      <w:r>
        <w:rPr>
          <w:rFonts w:ascii="Arial" w:cs="Arial" w:eastAsia="Arial" w:hAnsi="Arial"/>
          <w:sz w:val="24"/>
          <w:szCs w:val="24"/>
          <w:color w:val="auto"/>
          <w:vertAlign w:val="superscript"/>
        </w:rPr>
        <w:t>(3)</w:t>
      </w:r>
    </w:p>
    <w:p>
      <w:pPr>
        <w:spacing w:after="0" w:line="1" w:lineRule="exact"/>
        <w:rPr>
          <w:sz w:val="20"/>
          <w:szCs w:val="20"/>
          <w:color w:val="auto"/>
        </w:rPr>
      </w:pPr>
    </w:p>
    <w:p>
      <w:pPr>
        <w:ind w:left="80"/>
        <w:spacing w:after="0"/>
        <w:tabs>
          <w:tab w:leader="none" w:pos="2200" w:val="left"/>
        </w:tabs>
        <w:rPr>
          <w:sz w:val="20"/>
          <w:szCs w:val="20"/>
          <w:color w:val="auto"/>
        </w:rPr>
      </w:pPr>
      <w:r>
        <w:rPr>
          <w:rFonts w:ascii="Arial" w:cs="Arial" w:eastAsia="Arial" w:hAnsi="Arial"/>
          <w:sz w:val="18"/>
          <w:szCs w:val="18"/>
          <w:color w:val="auto"/>
        </w:rPr>
        <w:t>9.7%</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8.8%</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-210820</wp:posOffset>
            </wp:positionV>
            <wp:extent cx="2418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7060" w:space="720"/>
            <w:col w:w="3640"/>
          </w:cols>
          <w:pgMar w:left="240" w:top="904" w:right="239" w:bottom="1440" w:gutter="0" w:footer="0" w:header="0"/>
          <w:type w:val="continuous"/>
        </w:sectPr>
      </w:pPr>
    </w:p>
    <w:tbl>
      <w:tblPr>
        <w:tblLayout w:type="fixed"/>
        <w:tblInd w:w="860" w:type="dxa"/>
        <w:tblCellMar>
          <w:top w:w="0" w:type="dxa"/>
          <w:left w:w="0" w:type="dxa"/>
          <w:bottom w:w="0" w:type="dxa"/>
          <w:right w:w="0" w:type="dxa"/>
        </w:tblCellMar>
      </w:tblPr>
      <w:tr>
        <w:trPr>
          <w:trHeight w:val="300"/>
        </w:trPr>
        <w:tc>
          <w:tcPr>
            <w:tcW w:w="4400" w:type="dxa"/>
            <w:vAlign w:val="bottom"/>
            <w:gridSpan w:val="2"/>
          </w:tcPr>
          <w:p>
            <w:pPr>
              <w:spacing w:after="0" w:line="299"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30"/>
                <w:szCs w:val="30"/>
                <w:color w:val="auto"/>
                <w:vertAlign w:val="superscript"/>
              </w:rPr>
              <w:t>(4)</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gridSpan w:val="2"/>
          </w:tcPr>
          <w:p>
            <w:pPr>
              <w:jc w:val="right"/>
              <w:spacing w:after="0" w:line="299" w:lineRule="exact"/>
              <w:rPr>
                <w:sz w:val="20"/>
                <w:szCs w:val="20"/>
                <w:color w:val="auto"/>
              </w:rPr>
            </w:pPr>
            <w:r>
              <w:rPr>
                <w:rFonts w:ascii="Arial" w:cs="Arial" w:eastAsia="Arial" w:hAnsi="Arial"/>
                <w:sz w:val="18"/>
                <w:szCs w:val="18"/>
                <w:color w:val="auto"/>
              </w:rPr>
              <w:t>9.9%</w:t>
            </w:r>
            <w:r>
              <w:rPr>
                <w:rFonts w:ascii="Arial" w:cs="Arial" w:eastAsia="Arial" w:hAnsi="Arial"/>
                <w:sz w:val="30"/>
                <w:szCs w:val="30"/>
                <w:color w:val="auto"/>
                <w:vertAlign w:val="superscript"/>
              </w:rPr>
              <w:t>(3)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gridSpan w:val="2"/>
          </w:tcPr>
          <w:p>
            <w:pPr>
              <w:jc w:val="right"/>
              <w:spacing w:after="0" w:line="299" w:lineRule="exact"/>
              <w:rPr>
                <w:sz w:val="20"/>
                <w:szCs w:val="20"/>
                <w:color w:val="auto"/>
              </w:rPr>
            </w:pPr>
            <w:r>
              <w:rPr>
                <w:rFonts w:ascii="Arial" w:cs="Arial" w:eastAsia="Arial" w:hAnsi="Arial"/>
                <w:sz w:val="18"/>
                <w:szCs w:val="18"/>
                <w:color w:val="auto"/>
              </w:rPr>
              <w:t>8.5%</w:t>
            </w:r>
            <w:r>
              <w:rPr>
                <w:rFonts w:ascii="Arial" w:cs="Arial" w:eastAsia="Arial" w:hAnsi="Arial"/>
                <w:sz w:val="30"/>
                <w:szCs w:val="30"/>
                <w:color w:val="auto"/>
                <w:vertAlign w:val="superscript"/>
              </w:rPr>
              <w:t>(3)</w:t>
            </w:r>
          </w:p>
        </w:tc>
      </w:tr>
      <w:tr>
        <w:trPr>
          <w:trHeight w:val="270"/>
        </w:trPr>
        <w:tc>
          <w:tcPr>
            <w:tcW w:w="20" w:type="dxa"/>
            <w:vAlign w:val="bottom"/>
          </w:tcPr>
          <w:p>
            <w:pPr>
              <w:spacing w:after="0"/>
              <w:rPr>
                <w:sz w:val="23"/>
                <w:szCs w:val="23"/>
                <w:color w:val="auto"/>
              </w:rPr>
            </w:pPr>
          </w:p>
        </w:tc>
        <w:tc>
          <w:tcPr>
            <w:tcW w:w="43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Incentive fees</w:t>
            </w:r>
            <w:r>
              <w:rPr>
                <w:rFonts w:ascii="Arial" w:cs="Arial" w:eastAsia="Arial" w:hAnsi="Arial"/>
                <w:sz w:val="30"/>
                <w:szCs w:val="30"/>
                <w:color w:val="auto"/>
                <w:vertAlign w:val="superscript"/>
              </w:rPr>
              <w:t>(4)</w:t>
            </w:r>
          </w:p>
        </w:tc>
        <w:tc>
          <w:tcPr>
            <w:tcW w:w="1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18"/>
                <w:szCs w:val="18"/>
                <w:color w:val="auto"/>
              </w:rPr>
              <w:t>2.3%</w:t>
            </w:r>
            <w:r>
              <w:rPr>
                <w:rFonts w:ascii="Arial" w:cs="Arial" w:eastAsia="Arial" w:hAnsi="Arial"/>
                <w:sz w:val="30"/>
                <w:szCs w:val="30"/>
                <w:color w:val="auto"/>
                <w:vertAlign w:val="superscript"/>
              </w:rPr>
              <w:t>(3)</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(3)</w:t>
            </w:r>
          </w:p>
        </w:tc>
      </w:tr>
      <w:tr>
        <w:trPr>
          <w:trHeight w:val="304"/>
        </w:trPr>
        <w:tc>
          <w:tcPr>
            <w:tcW w:w="20" w:type="dxa"/>
            <w:vAlign w:val="bottom"/>
          </w:tcPr>
          <w:p>
            <w:pPr>
              <w:spacing w:after="0"/>
              <w:rPr>
                <w:sz w:val="24"/>
                <w:szCs w:val="24"/>
                <w:color w:val="auto"/>
              </w:rPr>
            </w:pPr>
          </w:p>
        </w:tc>
        <w:tc>
          <w:tcPr>
            <w:tcW w:w="4380" w:type="dxa"/>
            <w:vAlign w:val="bottom"/>
            <w:tcBorders>
              <w:bottom w:val="single" w:sz="8" w:color="CCEEFF"/>
            </w:tcBorders>
          </w:tcPr>
          <w:p>
            <w:pPr>
              <w:spacing w:after="0" w:line="264" w:lineRule="exact"/>
              <w:rPr>
                <w:sz w:val="20"/>
                <w:szCs w:val="20"/>
                <w:color w:val="auto"/>
              </w:rPr>
            </w:pPr>
            <w:r>
              <w:rPr>
                <w:rFonts w:ascii="Arial" w:cs="Arial" w:eastAsia="Arial" w:hAnsi="Arial"/>
                <w:sz w:val="18"/>
                <w:szCs w:val="18"/>
                <w:color w:val="auto"/>
              </w:rPr>
              <w:t>Net expenses</w:t>
            </w:r>
            <w:r>
              <w:rPr>
                <w:rFonts w:ascii="Arial" w:cs="Arial" w:eastAsia="Arial" w:hAnsi="Arial"/>
                <w:sz w:val="30"/>
                <w:szCs w:val="30"/>
                <w:color w:val="auto"/>
                <w:vertAlign w:val="superscript"/>
              </w:rPr>
              <w:t>(4)</w:t>
            </w:r>
          </w:p>
        </w:tc>
        <w:tc>
          <w:tcPr>
            <w:tcW w:w="116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Borders>
              <w:bottom w:val="single" w:sz="8" w:color="CCEEFF"/>
            </w:tcBorders>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8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CEEFF"/>
            </w:tcBorders>
          </w:tcPr>
          <w:p>
            <w:pPr>
              <w:jc w:val="right"/>
              <w:spacing w:after="0" w:line="264" w:lineRule="exact"/>
              <w:rPr>
                <w:sz w:val="20"/>
                <w:szCs w:val="20"/>
                <w:color w:val="auto"/>
              </w:rPr>
            </w:pPr>
            <w:r>
              <w:rPr>
                <w:rFonts w:ascii="Arial" w:cs="Arial" w:eastAsia="Arial" w:hAnsi="Arial"/>
                <w:sz w:val="30"/>
                <w:szCs w:val="30"/>
                <w:color w:val="auto"/>
                <w:w w:val="80"/>
                <w:vertAlign w:val="subscript"/>
              </w:rPr>
              <w:t>%</w:t>
            </w:r>
            <w:r>
              <w:rPr>
                <w:rFonts w:ascii="Arial" w:cs="Arial" w:eastAsia="Arial" w:hAnsi="Arial"/>
                <w:sz w:val="14"/>
                <w:szCs w:val="14"/>
                <w:color w:val="auto"/>
                <w:w w:val="80"/>
              </w:rPr>
              <w:t>(3)</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investment income with incentive fees</w:t>
            </w:r>
            <w:r>
              <w:rPr>
                <w:rFonts w:ascii="Arial" w:cs="Arial" w:eastAsia="Arial" w:hAnsi="Arial"/>
                <w:sz w:val="24"/>
                <w:szCs w:val="24"/>
                <w:color w:val="auto"/>
                <w:vertAlign w:val="superscript"/>
              </w:rPr>
              <w:t>(4)</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15"/>
                <w:szCs w:val="15"/>
                <w:color w:val="auto"/>
              </w:rPr>
              <w:t>9.4%</w:t>
            </w:r>
            <w:r>
              <w:rPr>
                <w:rFonts w:ascii="Arial" w:cs="Arial" w:eastAsia="Arial" w:hAnsi="Arial"/>
                <w:sz w:val="24"/>
                <w:szCs w:val="24"/>
                <w:color w:val="auto"/>
                <w:vertAlign w:val="superscript"/>
              </w:rPr>
              <w:t>(3)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15"/>
                <w:szCs w:val="15"/>
                <w:color w:val="auto"/>
              </w:rPr>
              <w:t>8.8%</w:t>
            </w:r>
            <w:r>
              <w:rPr>
                <w:rFonts w:ascii="Arial" w:cs="Arial" w:eastAsia="Arial" w:hAnsi="Arial"/>
                <w:sz w:val="24"/>
                <w:szCs w:val="24"/>
                <w:color w:val="auto"/>
                <w:vertAlign w:val="superscript"/>
              </w:rPr>
              <w:t>(3)</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assets at the end of the period</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133,771</w:t>
            </w:r>
          </w:p>
        </w:tc>
        <w:tc>
          <w:tcPr>
            <w:tcW w:w="380" w:type="dxa"/>
            <w:vAlign w:val="bottom"/>
          </w:tcPr>
          <w:p>
            <w:pPr>
              <w:spacing w:after="0"/>
              <w:rPr>
                <w:sz w:val="18"/>
                <w:szCs w:val="18"/>
                <w:color w:val="auto"/>
              </w:rPr>
            </w:pP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136,762</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net asset value</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c>
          <w:tcPr>
            <w:tcW w:w="380" w:type="dxa"/>
            <w:vAlign w:val="bottom"/>
          </w:tcPr>
          <w:p>
            <w:pPr>
              <w:spacing w:after="0"/>
              <w:rPr>
                <w:sz w:val="18"/>
                <w:szCs w:val="18"/>
                <w:color w:val="auto"/>
              </w:rPr>
            </w:pP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0" w:lineRule="exact"/>
        <w:rPr>
          <w:sz w:val="20"/>
          <w:szCs w:val="20"/>
          <w:color w:val="auto"/>
        </w:rPr>
      </w:pPr>
    </w:p>
    <w:p>
      <w:pPr>
        <w:jc w:val="both"/>
        <w:ind w:left="46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six months ended June 30, 2018, the Advisor waived $0.2 million of performance based incentive fee.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54" w:lineRule="exact"/>
        <w:rPr>
          <w:sz w:val="20"/>
          <w:szCs w:val="20"/>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23"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560" w:right="20" w:hanging="187"/>
        <w:spacing w:after="0" w:line="250"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560" w:hanging="187"/>
        <w:spacing w:after="0" w:line="250"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qualify and maintain qualification as a regulated investment company, or RIC, and as a business development company, or BDC;</w:t>
      </w:r>
    </w:p>
    <w:p>
      <w:pPr>
        <w:spacing w:after="0" w:line="20" w:lineRule="exact"/>
        <w:rPr>
          <w:rFonts w:ascii="Arial" w:cs="Arial" w:eastAsia="Arial" w:hAnsi="Arial"/>
          <w:sz w:val="17"/>
          <w:szCs w:val="17"/>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560" w:hanging="187"/>
        <w:spacing w:after="0" w:line="250"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Small Business Credit Availability Act on our operations and the BDC industry;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fund the unfunded commitments of Horizon Secured Loan Fund I, or HSLFI, to the extent approved by each member of HSLFI.</w:t>
      </w:r>
    </w:p>
    <w:p>
      <w:pPr>
        <w:spacing w:after="0" w:line="22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2017, and elsewhere in this quarterly report on Form 10-Q.</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June 30, 2018, 98.3%, or $200.0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However, as a BDC, we are only generally allowed to borrow amounts such that our asset coverage, as defined in the 1940 Act, equals at least 200% through June 6, 2019 (or, if earlier, the day on which we receive stockholder approval of the application of the reduced asset coverage requirements in Section 61(a)(2) of the 1940 Act to us) and 150% thereafter, subject to certain disclosure requirements. The amount of leverage that we employ depends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Portfolio composition and investment activity</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560" w:type="dxa"/>
            <w:vAlign w:val="bottom"/>
            <w:gridSpan w:val="10"/>
          </w:tcPr>
          <w:p>
            <w:pPr>
              <w:ind w:left="340"/>
              <w:spacing w:after="0"/>
              <w:rPr>
                <w:sz w:val="20"/>
                <w:szCs w:val="20"/>
                <w:color w:val="auto"/>
              </w:rPr>
            </w:pPr>
            <w:r>
              <w:rPr>
                <w:rFonts w:ascii="Arial" w:cs="Arial" w:eastAsia="Arial" w:hAnsi="Arial"/>
                <w:sz w:val="18"/>
                <w:szCs w:val="18"/>
                <w:color w:val="auto"/>
                <w:w w:val="96"/>
              </w:rPr>
              <w:t>The following table shows our portfolio by type of investment as of June 30, 2018 and December 31, 2017: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33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 2018</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9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gridSpan w:val="2"/>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Fair</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of Total</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Fair</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33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Portfolio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3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33</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203,793</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Equity</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2,169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226,467</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total portfolio investment activity as of and for the three and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8"/>
                <w:szCs w:val="18"/>
                <w:color w:val="auto"/>
              </w:rPr>
            </w:pPr>
          </w:p>
        </w:tc>
        <w:tc>
          <w:tcPr>
            <w:tcW w:w="24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34"/>
        </w:trPr>
        <w:tc>
          <w:tcPr>
            <w:tcW w:w="5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211,905</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222,099</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194,003</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New debt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22,074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47,990</w:t>
            </w:r>
          </w:p>
        </w:tc>
        <w:tc>
          <w:tcPr>
            <w:tcW w:w="8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9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(13,977)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(20,332)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(39,517)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New equity</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(10,670)</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Ending portfolio</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179,084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The following table shows our debt investments by industry sector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4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of Total</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4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Fair Value</w:t>
            </w:r>
          </w:p>
        </w:tc>
        <w:tc>
          <w:tcPr>
            <w:tcW w:w="14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Portfolio</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3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25,448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32,985</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36,173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17.7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23,583</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19,549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Internet and Media</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38,144</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38,899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19.1</w:t>
            </w: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9,324</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48,223</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53,994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26.5</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3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17,208</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8,512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largest debt investments in our portfolio may vary from period to period as new debt investments are originated and existing debt investments are repaid. Our five largest debt investments represented 30% and 29% of total debt investments outstanding as of June 30, 2018 and December 31, 2017, respectively. No single debt investment represented more than 10% of our total debt investments as of June 30, 2018 and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June 30, 2018 and December 31, 2017, our debt investments had a weighted average credit rating of 3.0. The following table shows the classification of our debt investment portfolio by credit rating as of June 30, 2018 and December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2018</w:t>
            </w: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Debt</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gridSpan w:val="2"/>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4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of Debt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Investments</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of Debt</w:t>
            </w:r>
          </w:p>
        </w:tc>
      </w:tr>
      <w:tr>
        <w:trPr>
          <w:trHeight w:val="234"/>
        </w:trPr>
        <w:tc>
          <w:tcPr>
            <w:tcW w:w="33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at Fair Value</w:t>
            </w:r>
          </w:p>
        </w:tc>
        <w:tc>
          <w:tcPr>
            <w:tcW w:w="14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Investments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at Fair Value</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Investments</w:t>
            </w:r>
          </w:p>
        </w:tc>
      </w:tr>
      <w:tr>
        <w:trPr>
          <w:trHeight w:val="210"/>
        </w:trPr>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jc w:val="right"/>
              <w:ind w:right="2890"/>
              <w:spacing w:after="0"/>
              <w:rPr>
                <w:sz w:val="20"/>
                <w:szCs w:val="20"/>
                <w:color w:val="auto"/>
              </w:rPr>
            </w:pPr>
            <w:r>
              <w:rPr>
                <w:rFonts w:ascii="Arial" w:cs="Arial" w:eastAsia="Arial" w:hAnsi="Arial"/>
                <w:sz w:val="18"/>
                <w:szCs w:val="18"/>
                <w:color w:val="auto"/>
              </w:rPr>
              <w:t>4</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19,685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9.7%</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79"/>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18,701</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332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166,317</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81.7</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jc w:val="right"/>
              <w:ind w:right="2890"/>
              <w:spacing w:after="0"/>
              <w:rPr>
                <w:sz w:val="20"/>
                <w:szCs w:val="20"/>
                <w:color w:val="auto"/>
              </w:rPr>
            </w:pPr>
            <w:r>
              <w:rPr>
                <w:rFonts w:ascii="Arial" w:cs="Arial" w:eastAsia="Arial" w:hAnsi="Arial"/>
                <w:sz w:val="18"/>
                <w:szCs w:val="18"/>
                <w:color w:val="auto"/>
              </w:rPr>
              <w:t>2</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17,457</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8.6</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r>
      <w:tr>
        <w:trPr>
          <w:trHeight w:val="230"/>
        </w:trPr>
        <w:tc>
          <w:tcPr>
            <w:tcW w:w="332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203,459</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2018, there were no debt investments with an internal credit rating of 1. As of December 31, 2017, there was one debt investment with an internal credit rating of 1, with a cost of $3.0 million and a fair value of $2.9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7"/>
          <w:szCs w:val="17"/>
          <w:color w:val="auto"/>
        </w:rPr>
        <w:t>On June, 1 2018, we and Arena Sunset SPV, LLC (“Arena”) formed a joint venture,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June 30, 2018, HSLFI had total assets of $9.6 million. HSLFI’s portfolio consisted of debt investments in one portfolio company as of June 30, 2018. As of June 30, 2018, HSLFI had no investments on non-accrual status. HSLFI invests in portfolio companies in the same industries in which we may directly invest.</w:t>
      </w:r>
    </w:p>
    <w:p>
      <w:pPr>
        <w:spacing w:after="0" w:line="178" w:lineRule="exact"/>
        <w:rPr>
          <w:sz w:val="20"/>
          <w:szCs w:val="20"/>
          <w:color w:val="auto"/>
        </w:rPr>
      </w:pPr>
    </w:p>
    <w:p>
      <w:pPr>
        <w:jc w:val="both"/>
        <w:ind w:firstLine="492"/>
        <w:spacing w:after="0" w:line="312" w:lineRule="auto"/>
        <w:rPr>
          <w:sz w:val="20"/>
          <w:szCs w:val="20"/>
          <w:color w:val="auto"/>
        </w:rPr>
      </w:pPr>
      <w:r>
        <w:rPr>
          <w:rFonts w:ascii="Arial" w:cs="Arial" w:eastAsia="Arial" w:hAnsi="Arial"/>
          <w:sz w:val="16"/>
          <w:szCs w:val="16"/>
          <w:color w:val="auto"/>
        </w:rPr>
        <w:t>We provide capital (in the form of cash or securities in portfolio companies) to HSLFI in exchange for limited liability company equity interests in HSLFI. As of June 30, 2018, we and Arena each owned 50.0% of the equity interests of HSLFI. Our investment in HSLFI consisted of an equity contribution of $4.0 as of June 30, 2018. As of June 30, 2018, we had commitments to fund equity interests in HSLFI of $25.0 million, of which $21.0 was unfunded.</w:t>
      </w:r>
    </w:p>
    <w:p>
      <w:pPr>
        <w:spacing w:after="0" w:line="147"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June 1,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The interest rate is based on the three year USD mid-market swap rate plus a margin of between 2.75% and 3.25% depending on the rating of the notes at the time the amount is borrowed. There were no advances made by the Noteholders as of June 30, 2018.</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HSLFI’s investment portfolio:</w:t>
      </w:r>
    </w:p>
    <w:p>
      <w:pPr>
        <w:spacing w:after="0" w:line="221"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For the period</w:t>
      </w:r>
    </w:p>
    <w:p>
      <w:pPr>
        <w:spacing w:after="0" w:line="27"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June 1, 2018</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through</w:t>
      </w:r>
    </w:p>
    <w:p>
      <w:pPr>
        <w:spacing w:after="0" w:line="9"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June 30, 2018</w:t>
      </w:r>
    </w:p>
    <w:p>
      <w:pPr>
        <w:spacing w:after="0" w:line="43"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investments at fair value</w:t>
            </w:r>
          </w:p>
        </w:tc>
        <w:tc>
          <w:tcPr>
            <w:tcW w:w="19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8,137</w:t>
            </w:r>
          </w:p>
        </w:tc>
        <w:tc>
          <w:tcPr>
            <w:tcW w:w="160" w:type="dxa"/>
            <w:vAlign w:val="bottom"/>
            <w:shd w:val="clear" w:color="auto" w:fill="CCEEFF"/>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6180" w:type="dxa"/>
            <w:vAlign w:val="bottom"/>
          </w:tcPr>
          <w:p>
            <w:pPr>
              <w:spacing w:after="0" w:line="256" w:lineRule="exact"/>
              <w:rPr>
                <w:sz w:val="20"/>
                <w:szCs w:val="20"/>
                <w:color w:val="auto"/>
              </w:rPr>
            </w:pPr>
            <w:r>
              <w:rPr>
                <w:rFonts w:ascii="Arial" w:cs="Arial" w:eastAsia="Arial" w:hAnsi="Arial"/>
                <w:sz w:val="18"/>
                <w:szCs w:val="18"/>
                <w:color w:val="auto"/>
              </w:rPr>
              <w:t>Dollar-weighted annualized yield on average debt investments</w:t>
            </w:r>
            <w:r>
              <w:rPr>
                <w:rFonts w:ascii="Arial" w:cs="Arial" w:eastAsia="Arial" w:hAnsi="Arial"/>
                <w:sz w:val="29"/>
                <w:szCs w:val="29"/>
                <w:color w:val="auto"/>
                <w:vertAlign w:val="superscript"/>
              </w:rPr>
              <w:t>(1)</w:t>
            </w:r>
          </w:p>
        </w:tc>
        <w:tc>
          <w:tcPr>
            <w:tcW w:w="1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the HSLFI</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8,137</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660" w:right="80" w:hanging="571"/>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color w:val="auto"/>
        </w:rPr>
        <w:t>The following table shows HSLFI’s individual investments as of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Cost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71"/>
        </w:trPr>
        <w:tc>
          <w:tcPr>
            <w:tcW w:w="246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Sector</w:t>
            </w:r>
          </w:p>
        </w:tc>
        <w:tc>
          <w:tcPr>
            <w:tcW w:w="120" w:type="dxa"/>
            <w:vAlign w:val="bottom"/>
          </w:tcPr>
          <w:p>
            <w:pPr>
              <w:spacing w:after="0"/>
              <w:rPr>
                <w:sz w:val="23"/>
                <w:szCs w:val="23"/>
                <w:color w:val="auto"/>
              </w:rPr>
            </w:pPr>
          </w:p>
        </w:tc>
        <w:tc>
          <w:tcPr>
            <w:tcW w:w="3720" w:type="dxa"/>
            <w:vAlign w:val="bottom"/>
            <w:gridSpan w:val="3"/>
          </w:tcPr>
          <w:p>
            <w:pPr>
              <w:ind w:left="700"/>
              <w:spacing w:after="0" w:line="271" w:lineRule="exact"/>
              <w:rPr>
                <w:sz w:val="20"/>
                <w:szCs w:val="20"/>
                <w:color w:val="auto"/>
              </w:rPr>
            </w:pPr>
            <w:r>
              <w:rPr>
                <w:rFonts w:ascii="Arial" w:cs="Arial" w:eastAsia="Arial" w:hAnsi="Arial"/>
                <w:sz w:val="18"/>
                <w:szCs w:val="18"/>
                <w:b w:val="1"/>
                <w:bCs w:val="1"/>
                <w:color w:val="auto"/>
              </w:rPr>
              <w:t xml:space="preserve">Type of Investment </w:t>
            </w:r>
            <w:r>
              <w:rPr>
                <w:rFonts w:ascii="Arial" w:cs="Arial" w:eastAsia="Arial" w:hAnsi="Arial"/>
                <w:sz w:val="30"/>
                <w:szCs w:val="30"/>
                <w:b w:val="1"/>
                <w:bCs w:val="1"/>
                <w:color w:val="auto"/>
                <w:vertAlign w:val="superscript"/>
              </w:rPr>
              <w:t>(2)(3)(4)</w:t>
            </w:r>
          </w:p>
        </w:tc>
        <w:tc>
          <w:tcPr>
            <w:tcW w:w="11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Amount</w:t>
            </w:r>
          </w:p>
        </w:tc>
        <w:tc>
          <w:tcPr>
            <w:tcW w:w="1240" w:type="dxa"/>
            <w:vAlign w:val="bottom"/>
            <w:gridSpan w:val="3"/>
          </w:tcPr>
          <w:p>
            <w:pPr>
              <w:ind w:left="20"/>
              <w:spacing w:after="0" w:line="271" w:lineRule="exact"/>
              <w:rPr>
                <w:sz w:val="20"/>
                <w:szCs w:val="20"/>
                <w:color w:val="auto"/>
              </w:rPr>
            </w:pPr>
            <w:r>
              <w:rPr>
                <w:rFonts w:ascii="Arial" w:cs="Arial" w:eastAsia="Arial" w:hAnsi="Arial"/>
                <w:sz w:val="18"/>
                <w:szCs w:val="18"/>
                <w:b w:val="1"/>
                <w:bCs w:val="1"/>
                <w:color w:val="auto"/>
                <w:w w:val="92"/>
              </w:rPr>
              <w:t>Investments</w:t>
            </w:r>
            <w:r>
              <w:rPr>
                <w:rFonts w:ascii="Arial" w:cs="Arial" w:eastAsia="Arial" w:hAnsi="Arial"/>
                <w:sz w:val="30"/>
                <w:szCs w:val="30"/>
                <w:b w:val="1"/>
                <w:bCs w:val="1"/>
                <w:color w:val="auto"/>
                <w:w w:val="92"/>
                <w:vertAlign w:val="superscript"/>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5"/>
              </w:rPr>
              <w:t xml:space="preserve">Value </w:t>
            </w:r>
            <w:r>
              <w:rPr>
                <w:rFonts w:ascii="Arial" w:cs="Arial" w:eastAsia="Arial" w:hAnsi="Arial"/>
                <w:sz w:val="30"/>
                <w:szCs w:val="30"/>
                <w:b w:val="1"/>
                <w:bCs w:val="1"/>
                <w:color w:val="auto"/>
                <w:w w:val="85"/>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Investments — Technology</w:t>
            </w:r>
          </w:p>
        </w:tc>
        <w:tc>
          <w:tcPr>
            <w:tcW w:w="1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New Signature US, Inc. (7)</w:t>
            </w:r>
          </w:p>
        </w:tc>
        <w:tc>
          <w:tcPr>
            <w:tcW w:w="1340" w:type="dxa"/>
            <w:vAlign w:val="bottom"/>
          </w:tcPr>
          <w:p>
            <w:pPr>
              <w:spacing w:after="0"/>
              <w:rPr>
                <w:sz w:val="20"/>
                <w:szCs w:val="20"/>
                <w:color w:val="auto"/>
              </w:rPr>
            </w:pPr>
            <w:r>
              <w:rPr>
                <w:rFonts w:ascii="Arial" w:cs="Arial" w:eastAsia="Arial" w:hAnsi="Arial"/>
                <w:sz w:val="18"/>
                <w:szCs w:val="18"/>
                <w:color w:val="auto"/>
              </w:rPr>
              <w:t>Software</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w w:val="93"/>
              </w:rPr>
              <w:t>Term Loan (10.59% cash (Libor + 8.50%; Floor  $</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8,250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10.50%), 3.50% ETP, Due 7/1/21)</w:t>
            </w:r>
          </w:p>
        </w:tc>
        <w:tc>
          <w:tcPr>
            <w:tcW w:w="1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 Investments — Technology</w:t>
            </w:r>
          </w:p>
        </w:tc>
        <w:tc>
          <w:tcPr>
            <w:tcW w:w="12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Warrant Investments — Technology</w:t>
            </w:r>
          </w:p>
        </w:tc>
        <w:tc>
          <w:tcPr>
            <w:tcW w:w="1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98"/>
              </w:rPr>
              <w:t>BSI Platform Holdings, LLC (7)</w:t>
            </w:r>
          </w:p>
        </w:tc>
        <w:tc>
          <w:tcPr>
            <w:tcW w:w="1340" w:type="dxa"/>
            <w:vAlign w:val="bottom"/>
          </w:tcPr>
          <w:p>
            <w:pPr>
              <w:spacing w:after="0"/>
              <w:rPr>
                <w:sz w:val="20"/>
                <w:szCs w:val="20"/>
                <w:color w:val="auto"/>
              </w:rPr>
            </w:pPr>
            <w:r>
              <w:rPr>
                <w:rFonts w:ascii="Arial" w:cs="Arial" w:eastAsia="Arial" w:hAnsi="Arial"/>
                <w:sz w:val="18"/>
                <w:szCs w:val="18"/>
                <w:color w:val="auto"/>
              </w:rPr>
              <w:t>Software</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412,500 Preferred Stock Warrants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Warrant Investments — Technology</w:t>
            </w:r>
          </w:p>
        </w:tc>
        <w:tc>
          <w:tcPr>
            <w:tcW w:w="1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 Assets</w:t>
            </w:r>
          </w:p>
        </w:tc>
        <w:tc>
          <w:tcPr>
            <w:tcW w:w="12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June 30, 2018 is provided.</w:t>
      </w:r>
    </w:p>
    <w:p>
      <w:pPr>
        <w:spacing w:after="0" w:line="188"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HSLFI’s unfunded commitments by portfolio company as of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ind w:left="660"/>
              <w:spacing w:after="0"/>
              <w:rPr>
                <w:sz w:val="20"/>
                <w:szCs w:val="20"/>
                <w:color w:val="auto"/>
              </w:rPr>
            </w:pPr>
            <w:r>
              <w:rPr>
                <w:rFonts w:ascii="Arial" w:cs="Arial" w:eastAsia="Arial" w:hAnsi="Arial"/>
                <w:sz w:val="18"/>
                <w:szCs w:val="18"/>
                <w:b w:val="1"/>
                <w:bCs w:val="1"/>
                <w:color w:val="auto"/>
              </w:rPr>
              <w:t>June 30, 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Unfunded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Commitment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Liability</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New Signature US, Inc.</w:t>
            </w:r>
          </w:p>
        </w:tc>
        <w:tc>
          <w:tcPr>
            <w:tcW w:w="3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20" w:type="dxa"/>
            <w:vAlign w:val="bottom"/>
            <w:vMerge w:val="restart"/>
          </w:tcPr>
          <w:p>
            <w:pPr>
              <w:jc w:val="right"/>
              <w:ind w:right="155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5" w:name="page46"/>
    <w:bookmarkEnd w:id="45"/>
    <w:p>
      <w:pPr>
        <w:ind w:left="500"/>
        <w:spacing w:after="0"/>
        <w:rPr>
          <w:sz w:val="20"/>
          <w:szCs w:val="20"/>
          <w:color w:val="auto"/>
        </w:rPr>
      </w:pPr>
      <w:r>
        <w:rPr>
          <w:rFonts w:ascii="Arial" w:cs="Arial" w:eastAsia="Arial" w:hAnsi="Arial"/>
          <w:sz w:val="16"/>
          <w:szCs w:val="16"/>
          <w:color w:val="auto"/>
        </w:rPr>
        <w:t>The following tables show certain summarized financial information for HSLFI as of June 30, 2018 and for the period June 1, 2018 through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investments at fair value (cost of $8,137)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June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three months ended June 30, 2018 and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191,765</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159,879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88,672</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56,989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Total investment income increased by $1.4 million, or 24.4%, to $7.3 million for the three months ended June 30, 2018 as compared to the three months ended June 30, 2017. For the three months ended June 30, 2018, total investment income consisted primarily of $6.9 million in interest income from investments, which included $1.4 million in income from the accretion of origination fees and end-of-term payments, or ETPs, and $0.4 million in fee income. Interest income on investments increased by $1.5 million, or 26.9%, for the three months ended June 30, 2018 compared to the three months ended June 30, 2017. Interest income on investments increased primarily due to an increase of $31.9 million, or 19.9%, in the average size of our investment portfolio and an increase in one month LIBOR which is the base rate for most of our variable rate debt investments for the three months ended June 30, 2018 as compared to the three months ended June 30, 2017. Fee income, which includes success fee and prepayment fee income on debt investments, remained flat for the three months ended June 30, 2018 compared to the three months ended June 30, 2017.</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June 30, 2018 and 2017, our dollar-weighted annualized yield on average debt investments (excluding any yield from warrants, equity, other investments and HSLFI) was 15.3% and 14.7%, respectively.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June 30, 2018 and 2017, our investment portfolio (including any yield from warrants, equity and other investments but excluding any yield from HSLFI) had an overall total yield of 13.9% and 13.5%, respectively. We calculate the dollar-weighted yield on average investments for any period as (1) total investment income (excluding income from HSLFI) during the period divided by (2) the average of the fair value of investments outstanding (excluding HSLFI)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32% and 28% of investment income for the three months ended June 30, 2018 and 2017,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$0.9 million, or 28.8%, to $4.0 million for the three months ended June 30, 2018 as compared to the three months ended June 30, 2017.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$0.4 million, or 33.9%, to $1.5 million for the three months ended June 30, 2018 as compared to the three months ended June 30, 2017. Interest expense, which includes the amortization of debt issuance costs, increased primarily due to an increase in average borrowings of $31.7 million, or 55.6%, for the three months ended June 30, 2018 as compared to the three months ended June 30, 2017, which was partially offset by a decrease in our effective cost of debt.</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Base management fee expense increased by $0.2 million, or 22.5%, to $1.1 million for the three months ended June 30, 2018 as compared to the three months ended June 30, 2017. Base management fee increased primarily due to an increase of $31.9 million, or 19.9%, in the average size of our investment portfolio for the three months ended June 30, 2018 as compared to the three months ended June 30, 2017.</w:t>
      </w:r>
    </w:p>
    <w:p>
      <w:pPr>
        <w:spacing w:after="0" w:line="166"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three months ended June 30, 2018, our Advisor waived performance based incentive fees of $0.2 million which our Advisor would have otherwise earned. This resulted in $0.2 million of reduced expense and additional net investment income for the three months ended June 30,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firstLine="324"/>
        <w:spacing w:after="0" w:line="255" w:lineRule="auto"/>
        <w:rPr>
          <w:sz w:val="20"/>
          <w:szCs w:val="20"/>
          <w:color w:val="auto"/>
        </w:rPr>
      </w:pPr>
      <w:r>
        <w:rPr>
          <w:rFonts w:ascii="Arial" w:cs="Arial" w:eastAsia="Arial" w:hAnsi="Arial"/>
          <w:sz w:val="18"/>
          <w:szCs w:val="18"/>
          <w:color w:val="auto"/>
        </w:rPr>
        <w:t>Performance based incentive fee expense, net of the waiver above, increased by $0.4 million, or 103.2%, to $0.8 million for the three months ended June 30, 2018 as compared to the three months ended June 30, 2017 due to an increase in the cap on incentive fees, or the Incentive Fee Cap, calculated based on the incentive fee cap and deferral mechanism in our Investment Management Agreement. This resulted in $0.2 million of reduced expense and additional net investment income for the three months ended June 30, 2017. The incentive fee on pre-incentive fee net investment income was subject to the Incentive Fee Cap for the three months ended June 30, 2017 due to the cumulative incentive fees paid exceeding 20% of cumulative pre-incentive fee net return since July 1, 2014.</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remained flat at $0.7 million for the three months ended June 30, 2018 compared to the three months ended June 30, 2017.</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June 30, 2018, we realized net losses totaling $0.2 million primarily due to the write off of warrants in four portfolio companies. During the three months ended June 30, 2017, we realized net gains totaling $0.2 million primarily due to the realized gains on the sale of equity received upon the exercise of warrants.</w:t>
      </w:r>
    </w:p>
    <w:p>
      <w:pPr>
        <w:spacing w:after="0" w:line="18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the three months ended June 30, 2018, net unrealized depreciation on investments totaled $0.2 million which was primarily due to unrealized depreciation on two public warrant investments. During the three months ended June 30, 2017, net unrealized depreciation on investments totaled $2.2 million which was primarily due to the unrealized depreciation on two debt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six months ended June 30, 2018 and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10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0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196,143</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170,225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0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92,005</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Total investment income increased by $1.6 million, or 12.8%, to $14.4 million for the six months ended June 30, 2018 as compared to the six months ended June 30, 2017. For the six months ended June 30, 2018, total investment income consisted primarily of $13.6 million in interest income from investments, which included $2.6 million in income from the accretion of origination fees and ETPs and $0.9 million in fee income. Interest income on investments increased by $1.9 million, or 16.5%, for the six months ended June 30, 2018 compared to the six months ended June 30, 2017. Interest income on investments increased primarily due to an increase of $25.9 million, or 15.2%, in the average size of our investment portfolio for the six months ended June 30, 2018 as compared to the six months ended June 30, 2017. Fee income, which includes success fee and prepayment fee income on debt investments, decreased by $0.3 million, or 24.7%, to $0.9 million primarily due to a decrease in fees earned on lower principal prepayments received during the six months ended June 30, 2018 compared to the six months ended June 30, 2017.</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six months ended June 30, 2018 and 2017, our dollar-weighted annualized yield on average debt investments (excluding any yield from warrants, equity, other investments and HSLFI) was 14.8% and 15.1%, respectively.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six months ended June 30, 2018 and 2017, our investment portfolio (including any yield from warrants, equity and other investments but excluding any yield from HSLFI) had an overall total yield of 13.5% and 14.1%, respectively. We calculate the dollar-weighted yield on average investments for any period as (1) total investment income (excluding income from HSLFI) during the period divided by (2) the average of the fair value of investments outstanding (excluding HSLFI)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31% and 21% of investment income for the six months ended June 30, 2018 and 2017,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$1.3 million, or 18.9%, to $8.0 million for the six months ended June 30, 2018 as compared to the six months ended June 30, 2017.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$0.5 million, or 22.2%, to $2.9 million for the six months ended June 30, 2018 as compared to the six months ended June 30, 2017. Interest expense, which includes the amortization of debt issuance costs, increased primarily due to an increase in average borrowings of $20.6 million, or 28.8%, for the six months ended June 30, 2018 as compared to the six months ended June 30, 2017, which was partially offset by a decrease in our effective cost of debt.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 management fee expense increased by $0.3 million, or 18.3%, to $2.2 million for the six months ended June 30, 2018 as compared to the six months ended June 30, 2017. Base management fee increased primarily due to an increase of $25.9 million, or 15.2%, in the average size of our investment portfolio for the six months ended June 30, 2018 as compared to the six months ended June 30, 2017.</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six months ended June 30, 2018, our Advisor waived performance based incentive fees of $0.2 million which our Advisor would have otherwise earned. This resulted in $0.2 million of reduced expense and additional net investment income for the six months ended June 30,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324"/>
        <w:spacing w:after="0" w:line="254" w:lineRule="auto"/>
        <w:rPr>
          <w:sz w:val="20"/>
          <w:szCs w:val="20"/>
          <w:color w:val="auto"/>
        </w:rPr>
      </w:pPr>
      <w:r>
        <w:rPr>
          <w:rFonts w:ascii="Arial" w:cs="Arial" w:eastAsia="Arial" w:hAnsi="Arial"/>
          <w:sz w:val="18"/>
          <w:szCs w:val="18"/>
          <w:color w:val="auto"/>
        </w:rPr>
        <w:t>Performance based incentive fee expense, net of waiver, increased by $0.5 million, or 63.6%, to $1.4 million for the six months ended June 30, 2018 as compared to the six months ended June 30, 2017 due to an increase in the Incentive Fee Cap calculated based on the incentive fee cap and deferral mechanism in our Investment Management Agreement. This resulted in $0.2 million and $0.6 million, respectively, of reduced expense and additional net investment income for the six months ended June 30, 2018 and 2017. The incentive fee on pre-incentive fee net investment income was subject to the Incentive Fee Cap for the six months ended June 30, 2018 due to the cumulative incentive fees paid exceeding 20% of cumulative pre-incentive fee net return during the applicable quarter and the 11 preceding full calendar quarters. The incentive fee on pre-incentive fee net investment income was subject to the Incentive Fee Cap for the six months ended June 30, 2017 due to the cumulative incentive fees paid exceeding 20% of cumulative pre-incentive fee net return since July 1, 2014.</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remained flat for the six months ended June 30, 2018 compared to the six months ended June 30, 2017.</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2018, we realized net losses totaling $0.3 million primarily due to the write off of warrants in seven portfolio companies. During the six months ended June 30, 2017, we realized net losses totaling $10.7 million primarily due to the resolution of two debt investments partially offset by realized gains on the sale of equity received upon the exercise of warrants.</w:t>
      </w:r>
    </w:p>
    <w:p>
      <w:pPr>
        <w:spacing w:after="0" w:line="18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the six months ended June 30, 2018, net unrealized depreciation on investments totaled $0.7 million which was primarily due to the unrealized depreciation on one debt investment and the unrealized depreciation on two public warrant investments. During the six months ended June 30, 2017, net unrealized appreciation on investments totaled $8.9 million which was primarily due to reversal of previously recorded unrealized depreciation on two debt investments that were settled during the period, partially offset by the unrealized depreciation on two debt investments.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and December 31, 2017, we had cash of $10.8 million and $6.6 million, respectively. Cash is available to fund new investments, reduce borrowings, pay expenses, repurchase common stock and pay distributions. Our primary sources of capital have been from our public and private equity offerings, use of our revolving credit facilities, issuance of our 7.375% notes due 2019, or the 2019 Notes, and issuance of our 6.25% notes due 2022, or the 2022 Notes.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27, 2018,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2019 or the repurchase of $5.0 million of our common stock. During the three and six months ended June 30, 2018 and 2017, we did not make any repurchases of our common stock. From the inception of the stock repurchase program through June 30, 2018, we repurchased 167,465 shares of our common stock at an average price of $11.22 on the open market at a total cost of $1.9 million.</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2018 and December 31, 2017, the outstanding principal balance under our revolving credit facility, or the Key Facility, with KeyBank National Association was $68.0 million and $58.0 million, respectively. As of June 30, 2018 and December 31, 2017, we had borrowing capacity under the Key Facility of $32.0 million and $37.0 million, respectively. At June 30, 2018 and December 31, 2017, $20.6 million and $23.6 million, respectively, was available, subject to existing terms and advance rates.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324"/>
        <w:spacing w:after="0" w:line="312" w:lineRule="auto"/>
        <w:rPr>
          <w:sz w:val="20"/>
          <w:szCs w:val="20"/>
          <w:color w:val="auto"/>
        </w:rPr>
      </w:pPr>
      <w:r>
        <w:rPr>
          <w:rFonts w:ascii="Arial" w:cs="Arial" w:eastAsia="Arial" w:hAnsi="Arial"/>
          <w:sz w:val="16"/>
          <w:szCs w:val="16"/>
          <w:color w:val="auto"/>
        </w:rPr>
        <w:t>Our operating activities provided cash of $1.6 million for the six months ended June 30, 2018, and our financing activities provided cash of $2.6 million for the same period. Our operating activities provided cash primarily from principal payments received on our debt investments. Our financing activities provided cash primarily from advances on our Key Facility, partially offset by cash used to repay our Key Facility and pay distributions to our stockholders.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operating activities provided cash of $22.0 million for the six months ended June 30, 2017, and our financing activities used cash of $46.8 million for the same period. Our operating activities provided cash primarily from principal payments received on our debt investments, partially offset by investments made in portfolio companies. Our financing activities used cash primarily to repay the Key Facility and pay distributions to our stockholders.</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order to remain subject to taxation as a RIC, we intend to distribute to our stockholders all or substantially all of our investment company taxable income. In addition, as a BDC, we are currently required to maintain asset coverage of at least 200%. This requirement limits the amount that we may borrow.</w:t>
      </w:r>
    </w:p>
    <w:p>
      <w:pPr>
        <w:spacing w:after="0" w:line="124"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us, such reduced asset coverage requirement must be approved by either (a) a “required majority” (as defined in Section 57(o) of the 1940 Act) of our Board, in which case such reduced asset coverage requirement would take effect on the first anniversary of the date of such Board approval, or (b) a majority of votes cast by our stockholders at a special or annual meeting at which a quorum is present, in which case such reduced asset coverage requirement shall take effect on the day after such approval. On June 7, 2018, a “required majority” of our Board approved the reduced asset coverage requirements and separately recommended that our stockholders approve the reduced asset coverage requirements at a special meeting of our stockholders. As a result, subject to certain disclosure requirements, our asset coverage requirements applicable to senior securities are expected to decrease from 200% to 150% effective June 7, 2019, unless earlier approved by a majority of votes cast at the special meeting. In that case, the modified asset coverage requirements would be effective with respect to us on the day immediately following such stockholder approval.</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borrowings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June 30, 2018</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ind w:left="800"/>
              <w:spacing w:after="0"/>
              <w:rPr>
                <w:sz w:val="20"/>
                <w:szCs w:val="20"/>
                <w:color w:val="auto"/>
              </w:rPr>
            </w:pPr>
            <w:r>
              <w:rPr>
                <w:rFonts w:ascii="Arial" w:cs="Arial" w:eastAsia="Arial" w:hAnsi="Arial"/>
                <w:sz w:val="18"/>
                <w:szCs w:val="18"/>
                <w:b w:val="1"/>
                <w:bCs w:val="1"/>
                <w:color w:val="auto"/>
                <w:w w:val="94"/>
              </w:rPr>
              <w:t>December 31, 2017</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Balance</w:t>
            </w:r>
          </w:p>
        </w:tc>
        <w:tc>
          <w:tcPr>
            <w:tcW w:w="14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426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8"/>
              </w:rPr>
              <w:t>Commitment</w:t>
            </w:r>
          </w:p>
        </w:tc>
        <w:tc>
          <w:tcPr>
            <w:tcW w:w="14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4260" w:type="dxa"/>
            <w:vAlign w:val="bottom"/>
          </w:tcPr>
          <w:p>
            <w:pPr>
              <w:spacing w:after="0" w:line="182" w:lineRule="exact"/>
              <w:rPr>
                <w:sz w:val="20"/>
                <w:szCs w:val="20"/>
                <w:color w:val="auto"/>
              </w:rPr>
            </w:pPr>
            <w:r>
              <w:rPr>
                <w:rFonts w:ascii="Arial" w:cs="Arial" w:eastAsia="Arial" w:hAnsi="Arial"/>
                <w:sz w:val="18"/>
                <w:szCs w:val="18"/>
                <w:color w:val="auto"/>
              </w:rPr>
              <w:t>Unamortized debt issuance costs attributable to term</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4260" w:type="dxa"/>
            <w:vAlign w:val="bottom"/>
          </w:tcPr>
          <w:p>
            <w:pPr>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50</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1" w:name="page52"/>
    <w:bookmarkEnd w:id="51"/>
    <w:p>
      <w:pPr>
        <w:jc w:val="both"/>
        <w:ind w:firstLine="324"/>
        <w:spacing w:after="0" w:line="259" w:lineRule="auto"/>
        <w:rPr>
          <w:sz w:val="20"/>
          <w:szCs w:val="20"/>
          <w:color w:val="auto"/>
        </w:rPr>
      </w:pPr>
      <w:r>
        <w:rPr>
          <w:rFonts w:ascii="Arial" w:cs="Arial" w:eastAsia="Arial" w:hAnsi="Arial"/>
          <w:sz w:val="18"/>
          <w:szCs w:val="18"/>
          <w:color w:val="auto"/>
        </w:rPr>
        <w:t>We entered into the Key Facility effective November 4, 2013. The interest rate on the Key Facility is based upon the one-month LIBOR plus a spread of 3.25%, with a LIBOR floor of 0.75%. The LIBOR rate was 2.09% and 1.56% as of June 30, 2018 and December 31, 2017, respectively. The interest rates in effect were 5.23% and 4.61% as of June 30, 2018 and December 31, 2017, respectively. The Key Facility requires the payment of an unused line fee in an amount equal to 0.50% of any unborrowed amount available under the facility annually.</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Key Facility has an accordion feature which allows for an increase in the total loan commitment to $150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March 23, 2012, we issued and sold an aggregate principal amount of $30.0 million 2019 Notes, and on April 18, 2012, pursuant to the underwriters’ 30-day option to purchase additional notes, we sold an additional $3.0 million of the 2019 Notes. The 2019 Notes had a stated maturity of March 15, 2019 and were redeemable in whole or in part at our option at any time or from time to time at a redemption price of $25 per security plus accrued and unpaid interest. The 2019 Notes bore interest at a rate of 7.375% per year payable quarterly on March 15, June 15, September 15 and December 15 of each year. The 2019 Notes were our direct, unsecured obligations and (1) ranked equally in right of payment with our future unsecured indebtedness; (2) were senior in right of payment to any of our future indebtedness that expressly provided it was subordinated to the 2019 Notes; (3) were effectively subordinated to all of our existing and future secured indebtedness (including indebtedness that was initially unsecured to which we subsequently granted security), to the extent of the value of the assets securing such indebtedness and (4) were structurally subordinated to all existing and future indebtedness and other obligations of any of our subsidiaries. On October 30, 2017, or the Redemption Date, we redeemed all of the issued and outstanding 2019 Notes in an aggregate principal amount of $33.0 million and paid accrued interest of $0.3 million. The 2019 Notes were delisted effective on the Redemption Date.</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29, 2017, we issued and sold an aggregate principal amount of $32.5 million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June 30, 2018, we were in material compliance with the terms of the 2022 Notes. The 2022 Notes are listed on the New York Stock Exchange under the symbol “HTFA”.</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and December 31, 2017, other assets were $2.0 million and $1.5 million, respectively, which is primarily comprised of debt issuance costs and prepaid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94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92"/>
              </w:rPr>
              <w:t>Contractual obligations and off-balance sheet arrangements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200" w:type="dxa"/>
            <w:vAlign w:val="bottom"/>
            <w:gridSpan w:val="17"/>
          </w:tcPr>
          <w:p>
            <w:pPr>
              <w:ind w:left="340"/>
              <w:spacing w:after="0"/>
              <w:rPr>
                <w:sz w:val="20"/>
                <w:szCs w:val="20"/>
                <w:color w:val="auto"/>
              </w:rPr>
            </w:pPr>
            <w:r>
              <w:rPr>
                <w:rFonts w:ascii="Arial" w:cs="Arial" w:eastAsia="Arial" w:hAnsi="Arial"/>
                <w:sz w:val="18"/>
                <w:szCs w:val="18"/>
                <w:color w:val="auto"/>
                <w:w w:val="94"/>
              </w:rPr>
              <w:t>The following table shows our significant contractual payment obligations and off-balance sheet arrangements as of June 30, 2018: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8"/>
                <w:szCs w:val="18"/>
                <w:b w:val="1"/>
                <w:bCs w:val="1"/>
                <w:color w:val="auto"/>
                <w:w w:val="89"/>
              </w:rPr>
              <w:t>Payments due by period</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48,080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Unfunded commitments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14,200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June 30, 2018, we had unfunded commitments of $20.2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June 30, 2018, we reasonably believed that our assets would provide adequate financial resources to satisfy all of our unfunded commitments.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324"/>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June 30, 2018 and 2017, we paid the Advisor $1.9 million and $1.3 million, respectively, pursuant to the Investment Management Agreement. During the six months ended June 30, 2018 and 2017, we paid the Advisor $3.6 million and $2.7 million, respectively, pursuant to the Investment Management Agreement.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Advisor is 60% owned by HTF Holdings LLC, which is 100% owned by Horizon Technology Finance, LLC. By virtue of their ownership interest in Horizon Technology Finance, LLC, our Chief Executive Officer, Robert D. Pomeroy, Jr. and our President, Gerald A. Michaud, may be deemed to control our Advisor.</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June 30, 2018 and 2017, we paid the Advisor $0.2 million pursuant to the Administration Agreement. During the six months ended June 30, 2018 and 2017, we paid the Advisor $0.4 million pursuant to the Administration Agreement.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and liabilities.</w:t>
      </w:r>
    </w:p>
    <w:p>
      <w:pPr>
        <w:spacing w:after="0" w:line="225" w:lineRule="exact"/>
        <w:rPr>
          <w:sz w:val="20"/>
          <w:szCs w:val="20"/>
          <w:color w:val="auto"/>
        </w:rPr>
      </w:pPr>
    </w:p>
    <w:p>
      <w:pPr>
        <w:jc w:val="both"/>
        <w:ind w:left="980" w:hanging="647"/>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 markets, quoted prices in markets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active and model-based valuation techniques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jc w:val="both"/>
        <w:ind w:left="980" w:hanging="647"/>
        <w:spacing w:after="0" w:line="314"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 Level 3</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six months ended June 30, 2018 and 2017, we did not recognize any interest income from debt investments on non-accrual status.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ind w:firstLine="324"/>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period June 1, 2018 (the commencement of HSLFI’s operations) through June 30, 2018, there were no distributions from HSLFI.</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324"/>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June 30, 2018 and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June 30, 2018 and December 31, 2017, 99% of the outstanding principal amount of our debt investments bore interest at floating rates. The initial commitments to lend to our portfolio companies are usually based on a floating LIBOR index.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our June 30, 2018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June 30, 2018,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Change in</w:t>
            </w:r>
          </w:p>
        </w:tc>
      </w:tr>
      <w:tr>
        <w:trPr>
          <w:trHeight w:val="270"/>
        </w:trPr>
        <w:tc>
          <w:tcPr>
            <w:tcW w:w="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3"/>
                <w:szCs w:val="23"/>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Expense</w:t>
            </w:r>
          </w:p>
        </w:tc>
        <w:tc>
          <w:tcPr>
            <w:tcW w:w="140" w:type="dxa"/>
            <w:vAlign w:val="bottom"/>
          </w:tcPr>
          <w:p>
            <w:pPr>
              <w:spacing w:after="0"/>
              <w:rPr>
                <w:sz w:val="23"/>
                <w:szCs w:val="23"/>
                <w:color w:val="auto"/>
              </w:rPr>
            </w:pPr>
          </w:p>
        </w:tc>
        <w:tc>
          <w:tcPr>
            <w:tcW w:w="1160" w:type="dxa"/>
            <w:vAlign w:val="bottom"/>
            <w:gridSpan w:val="2"/>
          </w:tcPr>
          <w:p>
            <w:pPr>
              <w:jc w:val="right"/>
              <w:ind w:right="180"/>
              <w:spacing w:after="0" w:line="269" w:lineRule="exact"/>
              <w:rPr>
                <w:sz w:val="20"/>
                <w:szCs w:val="20"/>
                <w:color w:val="auto"/>
              </w:rPr>
            </w:pPr>
            <w:r>
              <w:rPr>
                <w:rFonts w:ascii="Arial" w:cs="Arial" w:eastAsia="Arial" w:hAnsi="Arial"/>
                <w:sz w:val="18"/>
                <w:szCs w:val="18"/>
                <w:b w:val="1"/>
                <w:bCs w:val="1"/>
                <w:color w:val="auto"/>
                <w:w w:val="81"/>
              </w:rPr>
              <w:t>Net Assets</w:t>
            </w:r>
            <w:r>
              <w:rPr>
                <w:rFonts w:ascii="Arial" w:cs="Arial" w:eastAsia="Arial" w:hAnsi="Arial"/>
                <w:sz w:val="30"/>
                <w:szCs w:val="30"/>
                <w:b w:val="1"/>
                <w:bCs w:val="1"/>
                <w:color w:val="auto"/>
                <w:w w:val="81"/>
                <w:vertAlign w:val="superscript"/>
              </w:rPr>
              <w:t>(1)</w:t>
            </w: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Change in basis points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5,916</w:t>
            </w:r>
          </w:p>
        </w:tc>
        <w:tc>
          <w:tcPr>
            <w:tcW w:w="2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Up 200 basis points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3,864</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Down 300 basis points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w:t>
            </w: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Down 100 basis points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June 30, 2018,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to other information set forth in this report, you should carefully consider the factors set forth below and in “Item 1A Risk Factors” in our annual report on Form 10-K for the year ended December 31, 2017, which could materially affect our business, financial condition and/or operating results. Additional risks and uncertainties not currently known to us or that we currently deem to be immaterial also may materially affect our business, financial condition and/or operating results. Other than the item set forth below, there have been no material changes during the six months ended June 30, 2018 to the risk factors set forth in “Item 1A. Risk Factors” of our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Leverage is generally considered a speculative investment technique, and we intend to continue to borrow money as part of our business plan. The use of leverage magnifies the potential for gain or loss on amounts invested and, therefore, increases the risks associated with investing in us. See “Management’s Discussion and Analysis of Financial Condition and Results of Operation — Liquidity and capital resources.” Lenders of senior debt securities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However, any decrease in our income would cause net income to decline more sharply than it would have had we not leveraged. This decline could adversely affect our ability to make common stock distribution payments. In addition, because our investments may be illiquid, we may be unable to dispose of them or unable to do so at a favorable price in the event we need to do so, if we are unable to refinance any indebtedness upon maturity, and, as a result, we may suffer losses.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service any debt that we incur depends largely on our financial performance and is subject to prevailing economic conditions and competitive pressures. Moreover, as our Advisor’s management fee is payable to our Advisor based on our gross assets less cash and cash equivalents, including those assets acquired through the use of leverage, our Advisor may have a financial incentive to incur leverage which may not be consistent with our stockholders’ interests. As leverage magnifies gains, if any, on our portfolio, as discussed above, our pre-incentive fee net investment income may exceed the quarterly hurdle rate for the incentive fee on income payable pursuant to the management fee at a lower average return on our portfolio. Thus, if we incur additional leverage, the incentive fees payable to the Advisor may increase without any corresponding increase in our performance. Holders of our common stock bear the burden of any increase in our expenses as a result of leverage, including any increase in the management fee or incentive fee payable to our Advisor.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leverage described above, in the past, we have securitized a large portion of our debt investments to generate cash for funding new investments and may seek to securitize additional debt investments in the future to the extent permitted by the 1940 Act and the risk retention rules adopted pursuant to Section 941 of the Dodd-Frank Wall Street Reform and Consumer Protection Act. To securitize additional debt investments in the future, we may create a wholly-owned subsidiary and sell and/or contribute a pool of debt investments to such subsidiary. This could include the sale of interests in the subsidiary on a non-recourse basis to purchasers, who we would expect to be willing to accept a lower interest rate to invest in investment grade loan pools. We would retain all or a portion of the equity in any such securitized pool of loans. An inability to securitize part of our debt investments in the future could limit our ability to grow our business, fully execute our business strategy and increase our earnings. Moreover, certain types of securitization transactions may expose us to greater risk of loss than would other types of financing.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left="60" w:firstLine="353"/>
        <w:spacing w:after="0" w:line="257" w:lineRule="auto"/>
        <w:rPr>
          <w:sz w:val="20"/>
          <w:szCs w:val="20"/>
          <w:color w:val="auto"/>
        </w:rPr>
      </w:pPr>
      <w:r>
        <w:rPr>
          <w:rFonts w:ascii="Arial" w:cs="Arial" w:eastAsia="Arial" w:hAnsi="Arial"/>
          <w:sz w:val="18"/>
          <w:szCs w:val="18"/>
          <w:color w:val="auto"/>
        </w:rPr>
        <w:t>On June 7, 2018, a “required majority” (as defined in Section 57(o) of the 1940 Act) of our Board approved the reduced asset coverage requirements and separately recommended that our stockholders approve the reduced asset coverage requirements at a special meeting of our stockholders. As a result, our asset coverage requirements applicable to senior securities are expected to decrease from 200% to 150% effective June 7, 2019, unless earlier approved by a majority of votes cast at the special meeting. In that case, the modified asset coverage requirements would be effective with respect to us on the day immediately following such stockholder approval.</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Illustration: </w:t>
      </w:r>
      <w:r>
        <w:rPr>
          <w:rFonts w:ascii="Arial" w:cs="Arial" w:eastAsia="Arial" w:hAnsi="Arial"/>
          <w:sz w:val="17"/>
          <w:szCs w:val="17"/>
          <w:color w:val="auto"/>
        </w:rPr>
        <w:t>The following table illustrates the effect of leverage on returns from an investment in our common stock assuming that we employ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our asset coverage equals (1) our actual asset coverage as of June 30, 2018 and (2) 150% at various annual returns, net of expenses. The calculations in the table below are hypothetical and actual returns may be higher or lower than those appearing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Assumed Return on Portfolio</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88"/>
              </w:rPr>
              <w:t>(Net of Expenses)</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185"/>
        </w:trPr>
        <w:tc>
          <w:tcPr>
            <w:tcW w:w="502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auto"/>
                <w:w w:val="91"/>
              </w:rPr>
              <w:t>Corresponding return to common stockholder assuming actual asset</w:t>
            </w: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67"/>
        </w:trPr>
        <w:tc>
          <w:tcPr>
            <w:tcW w:w="502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coverage as of June 30, 2018</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(22.62)%</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r>
      <w:tr>
        <w:trPr>
          <w:trHeight w:val="205"/>
        </w:trPr>
        <w:tc>
          <w:tcPr>
            <w:tcW w:w="5020" w:type="dxa"/>
            <w:vAlign w:val="bottom"/>
            <w:gridSpan w:val="2"/>
          </w:tcPr>
          <w:p>
            <w:pPr>
              <w:spacing w:after="0" w:line="206" w:lineRule="exact"/>
              <w:rPr>
                <w:sz w:val="20"/>
                <w:szCs w:val="20"/>
                <w:color w:val="auto"/>
              </w:rPr>
            </w:pPr>
            <w:r>
              <w:rPr>
                <w:rFonts w:ascii="Arial" w:cs="Arial" w:eastAsia="Arial" w:hAnsi="Arial"/>
                <w:sz w:val="18"/>
                <w:szCs w:val="18"/>
                <w:color w:val="auto"/>
                <w:w w:val="92"/>
              </w:rPr>
              <w:t>Corresponding return to common stockholder assuming 150% asset</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0"/>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coverage</w:t>
            </w:r>
            <w:r>
              <w:rPr>
                <w:rFonts w:ascii="Arial" w:cs="Arial" w:eastAsia="Arial" w:hAnsi="Arial"/>
                <w:sz w:val="30"/>
                <w:szCs w:val="30"/>
                <w:color w:val="auto"/>
                <w:vertAlign w:val="superscript"/>
              </w:rPr>
              <w:t>(2)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(41.74)%</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(26.59)%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18.85%</w:t>
            </w:r>
          </w:p>
        </w:tc>
      </w:tr>
      <w:tr>
        <w:trPr>
          <w:trHeight w:val="93"/>
        </w:trPr>
        <w:tc>
          <w:tcPr>
            <w:tcW w:w="28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69"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$243 million in total assets, $105 million in outstanding debt, $134 million in net assets, and an average cost of borrowed funds of 5.72% at June 30, 2018.</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$406 million in total assets, $268 million in outstanding debt, $134 million in net assets, and an average cost of borrowed funds of 5.72% at June 30, 2018.</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our outstanding indebtedness of $105 million as of June 30, 2018 and the average cost of borrowed funds of 5.72% as of that date, our investment portfolio would have been required to experience an annual return of at least 2.96% to cover annual interest payments on the outstanding debt. Actual interest payments may be different.</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Based on an outstanding indebtedness of $268 million on an assumed 150% asset coverage ratio and an average cost of borrowed funds of 5.72%, our investment portfolio would be required to experience an annual return of at least 4.18% to cover annual interest payments on the outstanding debt. Actual interest payments may be different.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Because we distribute all or substantially all of our investment company taxable income to our stockholders, we will need additional capital to finance our growth. If additional funds are unavailable or not available on favorable terms, our ability to grow will be impaired.</w:t>
      </w:r>
    </w:p>
    <w:p>
      <w:pPr>
        <w:spacing w:after="0" w:line="1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satisfy the requirements applicable to a RIC, to avoid incurring excise taxes and to minimize or to avoid incurring corporate-level federal income taxes, we intend to distribute to our stockholders all or substantially all of our investment company taxable income and net capital gains. However, we may retain all or a portion of our net capital gains, incur any applicable income taxes with respect thereto, and elect to treat such retained net capital gains as deemed distributions to our stockholders. As a BDC, we generally are required to maintain coverage of total assets to total senior securities, which includes all of our borrowings and any preferred stock we may issue in the future, of at least 200% through June 6, 2019 (or, if earlier, the day on which we receive stockholder approval of the application of the reduced asset coverage requirement to us) and 150% thereafter, subject to certain disclosure requirements. This requirement limits the amount that we may borrow. Because we continue to need capital to grow our debt investment portfolio, this limitation may prevent us from incurring debt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limited in our ability to issue equity securities at a price below the then-current net asset value per share. If additional funds are not available to us, we could be forced to curtail or cease new lending and investment activities, and our net asset value could decline.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ind w:right="120"/>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additional risks.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plans contemplate a need for a substantial amount of capital in addition to our current amount of capital. We may obtain additional capital through the issuance of debt securities or preferred stock, and we may borrow money from banks or other financial institutions, which we refer to collectively as “senior securities,” up to the maximum amount permitted by the 1940 Act. If we issue senior securities, we would be exposed to typical risks associated with leverage, including an increased risk of loss. In addition, if we issue preferred stock, it would rank senior to common stock in our capital structure and preferred stockholders would have separate voting rights and may have rights, preferences or privileges more favorable than those of holders of our common stock.</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1940 Act permits us to issue senior securities in amounts such that our asset coverage, as defined in the 1940 Act, after each issuance of senior securities equals at least 200% through June 6, 2019 (or, if earlier, the day on which we receive stockholder approval of the application of the reduced asset coverage requirement to us) and 150% thereafter, subject to certain disclosure requirements. If our asset coverage is not at least 200% or 150% as applicable, we are not permitted to pay distributions or issue additional senior securities. As a result, we may have difficulty meeting the annual distribution requirement necessary to maintain RIC tax treatment. Moreover, if the value of our assets declines, we may be unable to satisfy this asset coverage test. If that happens, we may be required to liquidate a portion of our investments and repay a portion of our indebtedness at a time when we may be unable to do so or unable to do so on favorable terms.</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BDC, we generally are not able to issue our common stock at a price below net asset value per share without first obtaining the approval of our stockholders and our independent directors. Our stockholder approval expired in January 2016, but we may seek such approval again in the future. If our common stock trades at a price below net asset value per share and we do not receive approval from our stockholders and our independent directors to issue common stock at a price below net asset value per share, we cannot raise capital through the issuance of equity securities.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 The stockholder approval requirement does not apply to stock issued upon the exercise of options, warrants or rights that we may issue from time to time. If we raise additional funds by issuing more common stock or senior securities convertible into, or exchangeable for, our common stock, the percentage ownership of our stockholders at that time would decrease, and you may experience dilution.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passed legislation may allow us to incur additional leverage.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BDC has historically been able to issue “senior securities,” including borrowing money from banks or</w:t>
      </w:r>
    </w:p>
    <w:p>
      <w:pPr>
        <w:spacing w:after="0" w:line="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other financial institutions, only in amounts such that its asset coverage, as defined in the 1940 Act, equals at least 200% after such incurrence or issuance. On March 23, 2018, the Small Business Credit Availability Act was signed into law and amended the 1940 Act to decrease the asset coverage requirements applicable to BDCs from 200% to 150% if such lower asset coverage requirements have been approved by either (a) a majority of a BDC’s directors who have no financial interest in such approval and a majority of the BDC’s directors who are not interested persons, as defined by the 1940 Act (a “required majority” as defined in Section 57(o) of the 1940 Act), of such BDC, in which case such reduced asset coverage requirements would take effect on the first anniversary of the date of such approval, or (b) a majority of votes cast by the stockholders of such BDC at a special or annual meeting at which a quorum is present, in which case such reduced asset coverage requirements shall take effect on the day after such approval. On June 7, 2018, a “required majority” (as defined in Section 57(o) of the 1940 Act) of our Board approved the reduced asset coverage requirements and separately recommended that our stockholders approve the reduced asset coverage requirements at a special meeting of our stockholders. As a result, our asset coverage requirements applicable to senior securities are expected to decrease from 200% to 150% effective June 7, 2019, unless earlier approved by a majority of votes cast at the special meeting. In that case, the modified asset coverage requirements would be effective with respect to us on the day immediately following such stockholder approval.</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if we comply with certain disclosure requirements, we will be able to incur additional indebtedness, which may increase the risk of investing in us. See “We borrow money, which magnifies the potential for gain or loss on amounts invested and may increase the risk of investing in us.” In addition, since our base management fee is payable based upon our gross assets (less cash and cash equivalents), which includes any assets acquired with the proceeds of borrowings, the base management fee expense will increase if we incur additional leverage.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indenture governing our debt securities contains limited protection for holders of our debt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governing our debt securities offers limited protection to holders of our debt securities. The terms of the indenture do not restrict our or any of our subsidiaries’ ability to engage in, or otherwise be a party to, a variety of corporate transactions, circumstances or events that could have a material adverse impact on investments in our debt securities. In particular, the terms of the indenture do not place any restrictions on our or our subsidiaries’ ability to:</w:t>
      </w:r>
    </w:p>
    <w:p>
      <w:pPr>
        <w:spacing w:after="0" w:line="187" w:lineRule="exact"/>
        <w:rPr>
          <w:sz w:val="20"/>
          <w:szCs w:val="20"/>
          <w:color w:val="auto"/>
        </w:rPr>
      </w:pPr>
    </w:p>
    <w:p>
      <w:pPr>
        <w:jc w:val="both"/>
        <w:ind w:left="560" w:hanging="187"/>
        <w:spacing w:after="0" w:line="284"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our debt securities, (2) any indebtedness or other obligations that would be secured and therefore rank effectively senior in right of payment to our debt securities to the extent of the values of the assets securing such debt, (3) indebtedness of ours that is guaranteed by one or more of our subsidiaries and which therefore is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w:t>
      </w:r>
    </w:p>
    <w:p>
      <w:pPr>
        <w:spacing w:after="0" w:line="4" w:lineRule="exact"/>
        <w:rPr>
          <w:rFonts w:ascii="Arial" w:cs="Arial" w:eastAsia="Arial" w:hAnsi="Arial"/>
          <w:sz w:val="16"/>
          <w:szCs w:val="16"/>
          <w:color w:val="auto"/>
        </w:rPr>
      </w:pPr>
    </w:p>
    <w:p>
      <w:pPr>
        <w:jc w:val="both"/>
        <w:ind w:left="560"/>
        <w:spacing w:after="0" w:line="253" w:lineRule="auto"/>
        <w:rPr>
          <w:rFonts w:ascii="Arial" w:cs="Arial" w:eastAsia="Arial" w:hAnsi="Arial"/>
          <w:sz w:val="16"/>
          <w:szCs w:val="16"/>
          <w:color w:val="auto"/>
        </w:rPr>
      </w:pPr>
      <w:r>
        <w:rPr>
          <w:rFonts w:ascii="Arial" w:cs="Arial" w:eastAsia="Arial" w:hAnsi="Arial"/>
          <w:sz w:val="18"/>
          <w:szCs w:val="18"/>
          <w:color w:val="auto"/>
        </w:rPr>
        <w:t>(1)(A) of the 1940 Act as modified by Section 61(a)(l) of the 1940 Act or any successor provisions, whether or not we continue to be subject to such provisions of the 1940 Act, (these provisions generally prohibit us from making additional borrowings, including through the issuance of additional debt or the sale of additional debt securities, unless our asset coverage, as defined in the 1940 Act after such borrowings, equals at least 200% through June 6, 2019 (or, if earlier, the day on which we receive stockholder approval of the application of the reduced asset coverage requirement to us) and 150% thereafter, subject to certain disclosure requirements);</w:t>
      </w:r>
    </w:p>
    <w:p>
      <w:pPr>
        <w:spacing w:after="0" w:line="191" w:lineRule="exact"/>
        <w:rPr>
          <w:rFonts w:ascii="Arial" w:cs="Arial" w:eastAsia="Arial" w:hAnsi="Arial"/>
          <w:sz w:val="16"/>
          <w:szCs w:val="16"/>
          <w:color w:val="auto"/>
        </w:rPr>
      </w:pPr>
    </w:p>
    <w:p>
      <w:pPr>
        <w:jc w:val="both"/>
        <w:ind w:left="560" w:hanging="187"/>
        <w:spacing w:after="0" w:line="271"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our debt securities, including subordinated indebtedness, in each case other than dividends, purchases, redemptions or payments that would cause a violation of Section 18(a)(1)(B) of the 1940 Act as modified by Section 61(a)(l)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in the 1940 Act, at the time of the declaration of the dividend or distribution or the purchase and after deducting the amount of such dividend, distribution or purchase equals at least 200% through June 6, 2019 (or, if earlier, the day on which we receive stockholder approval of the application of the reduced asset coverage requirement to us) and 150% thereafter, subject to certain disclosure requirements);</w:t>
      </w:r>
    </w:p>
    <w:p>
      <w:pPr>
        <w:spacing w:after="0" w:line="178" w:lineRule="exact"/>
        <w:rPr>
          <w:rFonts w:ascii="Arial" w:cs="Arial" w:eastAsia="Arial" w:hAnsi="Arial"/>
          <w:sz w:val="17"/>
          <w:szCs w:val="17"/>
          <w:color w:val="auto"/>
        </w:rPr>
      </w:pPr>
    </w:p>
    <w:p>
      <w:pPr>
        <w:ind w:left="560" w:hanging="1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indenture does not require us to offer to purchase our debt securities in connection with a change of control or any other event.</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debt securities may have important consequences for holders of our debt securities, including making it more difficult for us to satisfy our obligations with respect to our debt securities or negatively affecting the trading value of our debt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ind w:firstLine="324"/>
        <w:spacing w:after="0" w:line="286"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In addition, other debt we issue or incur in the future could contain more protections for its holders than the indenture including additional covenants and events of default. The issuance or incurrence of any such debt with incremental protections could affect the market for and trading levels and prices of our debt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692"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sectPr>
          <w:pgSz w:w="11900" w:h="16838" w:orient="portrait"/>
          <w:cols w:equalWidth="0" w:num="2">
            <w:col w:w="5180" w:space="720"/>
            <w:col w:w="5520"/>
          </w:cols>
          <w:pgMar w:left="240" w:top="692" w:right="239" w:bottom="1440" w:gutter="0" w:footer="0" w:header="0"/>
          <w:type w:val="continuous"/>
        </w:sectPr>
      </w:pPr>
    </w:p>
    <w:p>
      <w:pPr>
        <w:jc w:val="both"/>
        <w:ind w:left="1260" w:right="20" w:hanging="838"/>
        <w:spacing w:after="0" w:line="254" w:lineRule="auto"/>
        <w:tabs>
          <w:tab w:leader="none" w:pos="1240" w:val="left"/>
        </w:tabs>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129">
        <w:r>
          <w:rPr>
            <w:rFonts w:ascii="Arial" w:cs="Arial" w:eastAsia="Arial" w:hAnsi="Arial"/>
            <w:sz w:val="18"/>
            <w:szCs w:val="18"/>
            <w:u w:val="single" w:color="auto"/>
            <w:color w:val="0000EE"/>
          </w:rPr>
          <w:t>Amendment No. 2 to Amended and Restated Loan Agreement, dated as of April 6, 2018, by and among Horizon Credit II LLC, as borrower,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State Bank and Trust Company, as lender, MUFG Union Bank N.A., as lender and KeyBank National Association, as lender and as arranger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and agent (Incorporated by reference to Exhibit 10.1 of the Company’s Quarterly Report on Form 10-Q, File No. 18795826, filed on May 1,</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60" w:hanging="838"/>
        <w:spacing w:after="0" w:line="250" w:lineRule="auto"/>
        <w:tabs>
          <w:tab w:leader="none" w:pos="1240" w:val="left"/>
        </w:tabs>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31">
        <w:r>
          <w:rPr>
            <w:rFonts w:ascii="Arial" w:cs="Arial" w:eastAsia="Arial" w:hAnsi="Arial"/>
            <w:sz w:val="18"/>
            <w:szCs w:val="18"/>
            <w:u w:val="single" w:color="auto"/>
            <w:color w:val="0000EE"/>
          </w:rPr>
          <w:t>Horizon Secured Loan Fund I LLC Limited Liability Company Agreement dated June 1, 2018, by and between the Company and Arena</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Sunset SPV, LLC (Incorporated by reference to Exhibit (k)(9) of the Company’s Registration Statement on Form N-2, File No. 333-225698,</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filed on June 18, 2018</w:t>
        </w:r>
      </w:hyperlink>
    </w:p>
    <w:p>
      <w:pPr>
        <w:spacing w:after="0" w:line="1" w:lineRule="exact"/>
        <w:rPr>
          <w:rFonts w:ascii="Arial" w:cs="Arial" w:eastAsia="Arial" w:hAnsi="Arial"/>
          <w:sz w:val="18"/>
          <w:szCs w:val="18"/>
          <w:u w:val="single" w:color="auto"/>
          <w:color w:val="0000EE"/>
        </w:rPr>
      </w:pPr>
    </w:p>
    <w:p>
      <w:pPr>
        <w:ind w:left="1260" w:right="320" w:hanging="884"/>
        <w:spacing w:after="0" w:line="250" w:lineRule="auto"/>
        <w:tabs>
          <w:tab w:leader="none" w:pos="1240" w:val="left"/>
        </w:tabs>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65">
        <w:r>
          <w:rPr>
            <w:rFonts w:ascii="Arial" w:cs="Arial" w:eastAsia="Arial" w:hAnsi="Arial"/>
            <w:sz w:val="18"/>
            <w:szCs w:val="18"/>
            <w:u w:val="single" w:color="auto"/>
            <w:color w:val="0000EE"/>
          </w:rPr>
          <w:t>Certifications by Chief Executive Officer pursuant to Exchange Act Rule 13a-14(a), as adopted pursuant to Section 302 of the Sarbanes-</w:t>
        </w:r>
      </w:hyperlink>
      <w:hyperlink w:anchor="page65">
        <w:r>
          <w:rPr>
            <w:rFonts w:ascii="Arial" w:cs="Arial" w:eastAsia="Arial" w:hAnsi="Arial"/>
            <w:sz w:val="18"/>
            <w:szCs w:val="18"/>
            <w:u w:val="single" w:color="auto"/>
            <w:color w:val="0000EE"/>
          </w:rPr>
          <w:t>Oxley Act of 2002, as amended</w:t>
        </w:r>
      </w:hyperlink>
    </w:p>
    <w:p>
      <w:pPr>
        <w:spacing w:after="0" w:line="1" w:lineRule="exact"/>
        <w:rPr>
          <w:rFonts w:ascii="Arial" w:cs="Arial" w:eastAsia="Arial" w:hAnsi="Arial"/>
          <w:sz w:val="18"/>
          <w:szCs w:val="18"/>
          <w:u w:val="single" w:color="auto"/>
          <w:color w:val="0000EE"/>
        </w:rPr>
      </w:pPr>
    </w:p>
    <w:p>
      <w:pPr>
        <w:ind w:left="1260" w:right="380" w:hanging="884"/>
        <w:spacing w:after="0" w:line="250" w:lineRule="auto"/>
        <w:tabs>
          <w:tab w:leader="none" w:pos="1240" w:val="left"/>
        </w:tabs>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66">
        <w:r>
          <w:rPr>
            <w:rFonts w:ascii="Arial" w:cs="Arial" w:eastAsia="Arial" w:hAnsi="Arial"/>
            <w:sz w:val="18"/>
            <w:szCs w:val="18"/>
            <w:u w:val="single" w:color="auto"/>
            <w:color w:val="0000EE"/>
          </w:rPr>
          <w:t>Certifications by Chief Financial Officer pursuant to Exchange Act Rule 13a-14(a), as adopted pursuant to Section 302 of the Sarbanes-</w:t>
        </w:r>
      </w:hyperlink>
      <w:hyperlink w:anchor="page66">
        <w:r>
          <w:rPr>
            <w:rFonts w:ascii="Arial" w:cs="Arial" w:eastAsia="Arial" w:hAnsi="Arial"/>
            <w:sz w:val="18"/>
            <w:szCs w:val="18"/>
            <w:u w:val="single" w:color="auto"/>
            <w:color w:val="0000EE"/>
          </w:rPr>
          <w:t>Oxley Act of 2002, as amended</w:t>
        </w:r>
      </w:hyperlink>
    </w:p>
    <w:p>
      <w:pPr>
        <w:spacing w:after="0" w:line="1" w:lineRule="exact"/>
        <w:rPr>
          <w:rFonts w:ascii="Arial" w:cs="Arial" w:eastAsia="Arial" w:hAnsi="Arial"/>
          <w:sz w:val="18"/>
          <w:szCs w:val="18"/>
          <w:u w:val="single" w:color="auto"/>
          <w:color w:val="0000EE"/>
        </w:rPr>
      </w:pPr>
    </w:p>
    <w:p>
      <w:pPr>
        <w:ind w:left="1260" w:right="160" w:hanging="884"/>
        <w:spacing w:after="0" w:line="250" w:lineRule="auto"/>
        <w:tabs>
          <w:tab w:leader="none" w:pos="1240" w:val="left"/>
        </w:tabs>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67">
        <w:r>
          <w:rPr>
            <w:rFonts w:ascii="Arial" w:cs="Arial" w:eastAsia="Arial" w:hAnsi="Arial"/>
            <w:sz w:val="18"/>
            <w:szCs w:val="18"/>
            <w:u w:val="single" w:color="auto"/>
            <w:color w:val="0000EE"/>
          </w:rPr>
          <w:t>Certification of the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Act of 2002, as amended</w:t>
        </w:r>
      </w:hyperlink>
    </w:p>
    <w:p>
      <w:pPr>
        <w:spacing w:after="0" w:line="1" w:lineRule="exact"/>
        <w:rPr>
          <w:rFonts w:ascii="Arial" w:cs="Arial" w:eastAsia="Arial" w:hAnsi="Arial"/>
          <w:sz w:val="18"/>
          <w:szCs w:val="18"/>
          <w:u w:val="single" w:color="auto"/>
          <w:color w:val="0000EE"/>
        </w:rPr>
      </w:pPr>
    </w:p>
    <w:p>
      <w:pPr>
        <w:ind w:left="1260" w:right="220" w:hanging="884"/>
        <w:spacing w:after="0" w:line="261" w:lineRule="auto"/>
        <w:tabs>
          <w:tab w:leader="none" w:pos="1240" w:val="left"/>
        </w:tabs>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68">
        <w:r>
          <w:rPr>
            <w:rFonts w:ascii="Arial" w:cs="Arial" w:eastAsia="Arial" w:hAnsi="Arial"/>
            <w:sz w:val="18"/>
            <w:szCs w:val="18"/>
            <w:u w:val="single" w:color="auto"/>
            <w:color w:val="0000EE"/>
          </w:rPr>
          <w:t>Certification of the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Act of 2002, as amended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7" w:lineRule="exact"/>
        <w:rPr>
          <w:rFonts w:ascii="Arial" w:cs="Arial" w:eastAsia="Arial" w:hAnsi="Arial"/>
          <w:sz w:val="18"/>
          <w:szCs w:val="18"/>
          <w:u w:val="single" w:color="auto"/>
          <w:color w:val="0000EE"/>
        </w:rPr>
      </w:pPr>
    </w:p>
    <w:p>
      <w:pPr>
        <w:ind w:left="440" w:hanging="35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31, 2018</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D. Pomeroy, Jr.</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 and Chairman of the Board</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31, 2018</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Daniel R. Trolio</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740" w:hanging="183"/>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589"/>
        <w:spacing w:after="0" w:line="342" w:lineRule="auto"/>
        <w:tabs>
          <w:tab w:leader="none" w:pos="767" w:val="left"/>
        </w:tabs>
        <w:numPr>
          <w:ilvl w:val="2"/>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90"/>
        <w:spacing w:after="0" w:line="277" w:lineRule="auto"/>
        <w:tabs>
          <w:tab w:leader="none" w:pos="768" w:val="left"/>
        </w:tabs>
        <w:numPr>
          <w:ilvl w:val="2"/>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38"/>
        <w:spacing w:after="0" w:line="264" w:lineRule="auto"/>
        <w:tabs>
          <w:tab w:leader="none" w:pos="823"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49"/>
        <w:spacing w:after="0" w:line="264" w:lineRule="auto"/>
        <w:tabs>
          <w:tab w:leader="none" w:pos="844" w:val="left"/>
        </w:tabs>
        <w:numPr>
          <w:ilvl w:val="4"/>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727"/>
        <w:spacing w:after="0" w:line="264" w:lineRule="auto"/>
        <w:tabs>
          <w:tab w:leader="none" w:pos="948" w:val="left"/>
        </w:tabs>
        <w:numPr>
          <w:ilvl w:val="5"/>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60"/>
        <w:spacing w:after="0" w:line="308" w:lineRule="auto"/>
        <w:tabs>
          <w:tab w:leader="none" w:pos="977" w:val="left"/>
        </w:tabs>
        <w:numPr>
          <w:ilvl w:val="6"/>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560"/>
        <w:spacing w:after="0" w:line="264" w:lineRule="auto"/>
        <w:tabs>
          <w:tab w:leader="none" w:pos="7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574"/>
        <w:spacing w:after="0" w:line="308" w:lineRule="auto"/>
        <w:tabs>
          <w:tab w:leader="none" w:pos="7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30"/>
        <w:spacing w:after="0" w:line="277" w:lineRule="auto"/>
        <w:tabs>
          <w:tab w:leader="none" w:pos="8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17"/>
        <w:spacing w:after="0" w:line="277" w:lineRule="auto"/>
        <w:tabs>
          <w:tab w:leader="none" w:pos="8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30441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740" w:hanging="183"/>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589"/>
        <w:spacing w:after="0" w:line="342" w:lineRule="auto"/>
        <w:tabs>
          <w:tab w:leader="none" w:pos="767" w:val="left"/>
        </w:tabs>
        <w:numPr>
          <w:ilvl w:val="2"/>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90"/>
        <w:spacing w:after="0" w:line="277" w:lineRule="auto"/>
        <w:tabs>
          <w:tab w:leader="none" w:pos="768" w:val="left"/>
        </w:tabs>
        <w:numPr>
          <w:ilvl w:val="2"/>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38"/>
        <w:spacing w:after="0" w:line="264" w:lineRule="auto"/>
        <w:tabs>
          <w:tab w:leader="none" w:pos="823" w:val="left"/>
        </w:tabs>
        <w:numPr>
          <w:ilvl w:val="3"/>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49"/>
        <w:spacing w:after="0" w:line="264" w:lineRule="auto"/>
        <w:tabs>
          <w:tab w:leader="none" w:pos="844" w:val="left"/>
        </w:tabs>
        <w:numPr>
          <w:ilvl w:val="4"/>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727"/>
        <w:spacing w:after="0" w:line="264" w:lineRule="auto"/>
        <w:tabs>
          <w:tab w:leader="none" w:pos="948" w:val="left"/>
        </w:tabs>
        <w:numPr>
          <w:ilvl w:val="5"/>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60"/>
        <w:spacing w:after="0" w:line="308" w:lineRule="auto"/>
        <w:tabs>
          <w:tab w:leader="none" w:pos="977" w:val="left"/>
        </w:tabs>
        <w:numPr>
          <w:ilvl w:val="6"/>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560"/>
        <w:spacing w:after="0" w:line="264" w:lineRule="auto"/>
        <w:tabs>
          <w:tab w:leader="none" w:pos="7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574"/>
        <w:spacing w:after="0" w:line="308" w:lineRule="auto"/>
        <w:tabs>
          <w:tab w:leader="none" w:pos="7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30"/>
        <w:spacing w:after="0" w:line="277" w:lineRule="auto"/>
        <w:tabs>
          <w:tab w:leader="none" w:pos="8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17"/>
        <w:spacing w:after="0" w:line="277" w:lineRule="auto"/>
        <w:tabs>
          <w:tab w:leader="none" w:pos="8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30441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582"/>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2018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582"/>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2018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3"/>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2"/>
    </w:lvl>
    <w:lvl w:ilvl="6">
      <w:lvlJc w:val="left"/>
      <w:lvlText w:val="%7)"/>
      <w:numFmt w:val="lowerLetter"/>
      <w:start w:val="3"/>
    </w:lvl>
  </w:abstractNum>
  <w:abstractNum w:abstractNumId="19">
    <w:nsid w:val="721DA317"/>
    <w:multiLevelType w:val="hybridMultilevel"/>
    <w:lvl w:ilvl="0">
      <w:lvlJc w:val="left"/>
      <w:lvlText w:val="%1."/>
      <w:numFmt w:val="decimal"/>
      <w:start w:val="5"/>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3"/>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2"/>
    </w:lvl>
    <w:lvl w:ilvl="6">
      <w:lvlJc w:val="left"/>
      <w:lvlText w:val="%7)"/>
      <w:numFmt w:val="lowerLetter"/>
      <w:start w:val="3"/>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0"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29" Type="http://schemas.openxmlformats.org/officeDocument/2006/relationships/hyperlink" Target="http://www.sec.gov/Archives/edgar/data/1487428/000114420418024470/tv492650_ex10-1.htm" TargetMode="External"/><Relationship Id="rId131" Type="http://schemas.openxmlformats.org/officeDocument/2006/relationships/hyperlink" Target="http://www.sec.gov/Archives/edgar/data/1487428/000157104918000355/tv494550_ex99k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2019-12-28T21:01:20Z</dcterms:created>
  <dcterms:modified xsi:type="dcterms:W3CDTF">2019-12-28T21:01:20Z</dcterms:modified>
</cp:coreProperties>
</file>