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86360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100330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4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109" w:lineRule="exact"/>
        <w:rPr>
          <w:sz w:val="24"/>
          <w:szCs w:val="24"/>
          <w:color w:val="auto"/>
        </w:rPr>
      </w:pPr>
    </w:p>
    <w:p>
      <w:pPr>
        <w:ind w:left="3240" w:right="1620" w:hanging="3138"/>
        <w:spacing w:after="0" w:line="487" w:lineRule="auto"/>
        <w:tabs>
          <w:tab w:leader="none" w:pos="377"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spacing w:after="0" w:line="2"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3280" w:right="1620" w:hanging="3158"/>
        <w:spacing w:after="0" w:line="357" w:lineRule="auto"/>
        <w:tabs>
          <w:tab w:leader="none" w:pos="37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_____TO</w:t>
      </w:r>
    </w:p>
    <w:p>
      <w:pPr>
        <w:spacing w:after="0" w:line="1" w:lineRule="exact"/>
        <w:rPr>
          <w:rFonts w:ascii="Arial" w:cs="Arial" w:eastAsia="Arial" w:hAnsi="Arial"/>
          <w:sz w:val="16"/>
          <w:szCs w:val="16"/>
          <w:color w:val="auto"/>
        </w:rPr>
      </w:pPr>
    </w:p>
    <w:p>
      <w:pPr>
        <w:ind w:left="3580"/>
        <w:spacing w:after="0"/>
        <w:rPr>
          <w:rFonts w:ascii="Arial" w:cs="Arial" w:eastAsia="Arial" w:hAnsi="Arial"/>
          <w:sz w:val="16"/>
          <w:szCs w:val="16"/>
          <w:color w:val="auto"/>
        </w:rPr>
      </w:pPr>
      <w:r>
        <w:rPr>
          <w:rFonts w:ascii="Arial" w:cs="Arial" w:eastAsia="Arial" w:hAnsi="Arial"/>
          <w:sz w:val="16"/>
          <w:szCs w:val="16"/>
          <w:b w:val="1"/>
          <w:bCs w:val="1"/>
          <w:color w:val="auto"/>
        </w:rPr>
        <w:t>COMMISSION FILE NUMBER: 814-00802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97790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HORIZON TECHNOLOGY FINANCE CORPORATION</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95250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46" w:lineRule="exact"/>
        <w:rPr>
          <w:sz w:val="24"/>
          <w:szCs w:val="24"/>
          <w:color w:val="auto"/>
        </w:rPr>
      </w:pPr>
    </w:p>
    <w:tbl>
      <w:tblPr>
        <w:tblLayout w:type="fixed"/>
        <w:tblInd w:w="540" w:type="dxa"/>
        <w:tblCellMar>
          <w:top w:w="0" w:type="dxa"/>
          <w:left w:w="0" w:type="dxa"/>
          <w:bottom w:w="0" w:type="dxa"/>
          <w:right w:w="0" w:type="dxa"/>
        </w:tblCellMar>
      </w:tblPr>
      <w:tr>
        <w:trPr>
          <w:trHeight w:val="206"/>
        </w:trPr>
        <w:tc>
          <w:tcPr>
            <w:tcW w:w="4980" w:type="dxa"/>
            <w:vAlign w:val="bottom"/>
          </w:tcPr>
          <w:p>
            <w:pPr>
              <w:jc w:val="center"/>
              <w:ind w:right="939"/>
              <w:spacing w:after="0"/>
              <w:rPr>
                <w:sz w:val="20"/>
                <w:szCs w:val="20"/>
                <w:color w:val="auto"/>
              </w:rPr>
            </w:pPr>
            <w:r>
              <w:rPr>
                <w:rFonts w:ascii="Arial" w:cs="Arial" w:eastAsia="Arial" w:hAnsi="Arial"/>
                <w:sz w:val="16"/>
                <w:szCs w:val="16"/>
                <w:b w:val="1"/>
                <w:bCs w:val="1"/>
                <w:color w:val="auto"/>
                <w:w w:val="99"/>
              </w:rPr>
              <w:t>DELAWARE</w:t>
            </w:r>
          </w:p>
        </w:tc>
        <w:tc>
          <w:tcPr>
            <w:tcW w:w="3360" w:type="dxa"/>
            <w:vAlign w:val="bottom"/>
          </w:tcPr>
          <w:p>
            <w:pPr>
              <w:jc w:val="right"/>
              <w:ind w:right="679"/>
              <w:spacing w:after="0"/>
              <w:rPr>
                <w:sz w:val="20"/>
                <w:szCs w:val="20"/>
                <w:color w:val="auto"/>
              </w:rPr>
            </w:pPr>
            <w:r>
              <w:rPr>
                <w:rFonts w:ascii="Arial" w:cs="Arial" w:eastAsia="Arial" w:hAnsi="Arial"/>
                <w:sz w:val="16"/>
                <w:szCs w:val="16"/>
                <w:b w:val="1"/>
                <w:bCs w:val="1"/>
                <w:color w:val="auto"/>
              </w:rPr>
              <w:t>27-2114934</w:t>
            </w:r>
          </w:p>
        </w:tc>
      </w:tr>
      <w:tr>
        <w:trPr>
          <w:trHeight w:val="199"/>
        </w:trPr>
        <w:tc>
          <w:tcPr>
            <w:tcW w:w="4980" w:type="dxa"/>
            <w:vAlign w:val="bottom"/>
          </w:tcPr>
          <w:p>
            <w:pPr>
              <w:jc w:val="center"/>
              <w:ind w:right="959"/>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360" w:type="dxa"/>
            <w:vAlign w:val="bottom"/>
          </w:tcPr>
          <w:p>
            <w:pPr>
              <w:jc w:val="center"/>
              <w:ind w:left="979"/>
              <w:spacing w:after="0"/>
              <w:rPr>
                <w:sz w:val="20"/>
                <w:szCs w:val="20"/>
                <w:color w:val="auto"/>
              </w:rPr>
            </w:pPr>
            <w:r>
              <w:rPr>
                <w:rFonts w:ascii="Arial" w:cs="Arial" w:eastAsia="Arial" w:hAnsi="Arial"/>
                <w:sz w:val="16"/>
                <w:szCs w:val="16"/>
                <w:i w:val="1"/>
                <w:iCs w:val="1"/>
                <w:color w:val="auto"/>
                <w:w w:val="93"/>
              </w:rPr>
              <w:t>(I.R.S. Employer Identification No.)</w:t>
            </w:r>
          </w:p>
        </w:tc>
      </w:tr>
      <w:tr>
        <w:trPr>
          <w:trHeight w:val="203"/>
        </w:trPr>
        <w:tc>
          <w:tcPr>
            <w:tcW w:w="4980" w:type="dxa"/>
            <w:vAlign w:val="bottom"/>
          </w:tcPr>
          <w:p>
            <w:pPr>
              <w:jc w:val="center"/>
              <w:ind w:right="959"/>
              <w:spacing w:after="0"/>
              <w:rPr>
                <w:sz w:val="20"/>
                <w:szCs w:val="20"/>
                <w:color w:val="auto"/>
              </w:rPr>
            </w:pPr>
            <w:r>
              <w:rPr>
                <w:rFonts w:ascii="Arial" w:cs="Arial" w:eastAsia="Arial" w:hAnsi="Arial"/>
                <w:sz w:val="16"/>
                <w:szCs w:val="16"/>
                <w:b w:val="1"/>
                <w:bCs w:val="1"/>
                <w:color w:val="auto"/>
                <w:w w:val="91"/>
              </w:rPr>
              <w:t>312 Farmington Avenue</w:t>
            </w:r>
          </w:p>
        </w:tc>
        <w:tc>
          <w:tcPr>
            <w:tcW w:w="3360" w:type="dxa"/>
            <w:vAlign w:val="bottom"/>
          </w:tcPr>
          <w:p>
            <w:pPr>
              <w:spacing w:after="0"/>
              <w:rPr>
                <w:sz w:val="17"/>
                <w:szCs w:val="17"/>
                <w:color w:val="auto"/>
              </w:rPr>
            </w:pPr>
          </w:p>
        </w:tc>
      </w:tr>
      <w:tr>
        <w:trPr>
          <w:trHeight w:val="206"/>
        </w:trPr>
        <w:tc>
          <w:tcPr>
            <w:tcW w:w="4980" w:type="dxa"/>
            <w:vAlign w:val="bottom"/>
          </w:tcPr>
          <w:p>
            <w:pPr>
              <w:jc w:val="center"/>
              <w:ind w:right="939"/>
              <w:spacing w:after="0"/>
              <w:rPr>
                <w:sz w:val="20"/>
                <w:szCs w:val="20"/>
                <w:color w:val="auto"/>
              </w:rPr>
            </w:pPr>
            <w:r>
              <w:rPr>
                <w:rFonts w:ascii="Arial" w:cs="Arial" w:eastAsia="Arial" w:hAnsi="Arial"/>
                <w:sz w:val="16"/>
                <w:szCs w:val="16"/>
                <w:b w:val="1"/>
                <w:bCs w:val="1"/>
                <w:color w:val="auto"/>
                <w:w w:val="94"/>
              </w:rPr>
              <w:t>Farmington, CT</w:t>
            </w:r>
          </w:p>
        </w:tc>
        <w:tc>
          <w:tcPr>
            <w:tcW w:w="3360" w:type="dxa"/>
            <w:vAlign w:val="bottom"/>
          </w:tcPr>
          <w:p>
            <w:pPr>
              <w:jc w:val="right"/>
              <w:ind w:right="859"/>
              <w:spacing w:after="0"/>
              <w:rPr>
                <w:sz w:val="20"/>
                <w:szCs w:val="20"/>
                <w:color w:val="auto"/>
              </w:rPr>
            </w:pPr>
            <w:r>
              <w:rPr>
                <w:rFonts w:ascii="Arial" w:cs="Arial" w:eastAsia="Arial" w:hAnsi="Arial"/>
                <w:sz w:val="16"/>
                <w:szCs w:val="16"/>
                <w:b w:val="1"/>
                <w:bCs w:val="1"/>
                <w:color w:val="auto"/>
              </w:rPr>
              <w:t>06032</w:t>
            </w:r>
          </w:p>
        </w:tc>
      </w:tr>
      <w:tr>
        <w:trPr>
          <w:trHeight w:val="206"/>
        </w:trPr>
        <w:tc>
          <w:tcPr>
            <w:tcW w:w="4980" w:type="dxa"/>
            <w:vAlign w:val="bottom"/>
          </w:tcPr>
          <w:p>
            <w:pPr>
              <w:jc w:val="center"/>
              <w:ind w:right="939"/>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3360" w:type="dxa"/>
            <w:vAlign w:val="bottom"/>
          </w:tcPr>
          <w:p>
            <w:pPr>
              <w:jc w:val="center"/>
              <w:ind w:left="979"/>
              <w:spacing w:after="0"/>
              <w:rPr>
                <w:sz w:val="20"/>
                <w:szCs w:val="20"/>
                <w:color w:val="auto"/>
              </w:rPr>
            </w:pPr>
            <w:r>
              <w:rPr>
                <w:rFonts w:ascii="Arial" w:cs="Arial" w:eastAsia="Arial" w:hAnsi="Arial"/>
                <w:sz w:val="16"/>
                <w:szCs w:val="16"/>
                <w:i w:val="1"/>
                <w:iCs w:val="1"/>
                <w:color w:val="auto"/>
                <w:w w:val="92"/>
              </w:rPr>
              <w:t>(Zip Code)</w:t>
            </w:r>
          </w:p>
        </w:tc>
      </w:tr>
    </w:tbl>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(860) 676-8654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97790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6" w:lineRule="exact"/>
        <w:rPr>
          <w:sz w:val="24"/>
          <w:szCs w:val="24"/>
          <w:color w:val="auto"/>
        </w:rPr>
      </w:pPr>
    </w:p>
    <w:p>
      <w:pPr>
        <w:jc w:val="both"/>
        <w:ind w:lef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60" w:lineRule="exact"/>
        <w:rPr>
          <w:sz w:val="24"/>
          <w:szCs w:val="24"/>
          <w:color w:val="auto"/>
        </w:rPr>
      </w:pPr>
    </w:p>
    <w:p>
      <w:pPr>
        <w:jc w:val="both"/>
        <w:ind w:lef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left="2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76"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2"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19" w:lineRule="exact"/>
        <w:rPr>
          <w:sz w:val="24"/>
          <w:szCs w:val="24"/>
          <w:color w:val="auto"/>
        </w:rPr>
      </w:pPr>
    </w:p>
    <w:p>
      <w:pPr>
        <w:ind w:left="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14"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6"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90" w:lineRule="exact"/>
        <w:rPr>
          <w:sz w:val="24"/>
          <w:szCs w:val="24"/>
          <w:color w:val="auto"/>
        </w:rPr>
      </w:pPr>
    </w:p>
    <w:p>
      <w:pPr>
        <w:sectPr>
          <w:pgSz w:w="11900" w:h="16838" w:orient="portrait"/>
          <w:cols w:equalWidth="0" w:num="4">
            <w:col w:w="1780" w:space="560"/>
            <w:col w:w="4680" w:space="720"/>
            <w:col w:w="1760" w:space="540"/>
            <w:col w:w="200"/>
          </w:cols>
          <w:pgMar w:left="820" w:top="665" w:right="839" w:bottom="1440" w:gutter="0" w:footer="0" w:header="0"/>
          <w:type w:val="continuous"/>
        </w:sectPr>
      </w:pPr>
    </w:p>
    <w:p>
      <w:pPr>
        <w:ind w:left="20" w:firstLine="324"/>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17" w:lineRule="exact"/>
        <w:rPr>
          <w:sz w:val="24"/>
          <w:szCs w:val="24"/>
          <w:color w:val="auto"/>
        </w:rPr>
      </w:pPr>
    </w:p>
    <w:p>
      <w:pPr>
        <w:sectPr>
          <w:pgSz w:w="11900" w:h="16838" w:orient="portrait"/>
          <w:cols w:equalWidth="0" w:num="2">
            <w:col w:w="9480" w:space="200"/>
            <w:col w:w="560"/>
          </w:cols>
          <w:pgMar w:left="820" w:top="665" w:right="839" w:bottom="1440" w:gutter="0" w:footer="0" w:header="0"/>
          <w:type w:val="continuous"/>
        </w:sectPr>
      </w:pPr>
    </w:p>
    <w:p>
      <w:pPr>
        <w:ind w:left="34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3" w:lineRule="exact"/>
        <w:rPr>
          <w:sz w:val="24"/>
          <w:szCs w:val="24"/>
          <w:color w:val="auto"/>
        </w:rPr>
      </w:pPr>
    </w:p>
    <w:p>
      <w:pPr>
        <w:ind w:left="20" w:firstLine="324"/>
        <w:spacing w:after="0" w:line="293" w:lineRule="auto"/>
        <w:rPr>
          <w:sz w:val="20"/>
          <w:szCs w:val="20"/>
          <w:color w:val="auto"/>
        </w:rPr>
      </w:pPr>
      <w:r>
        <w:rPr>
          <w:rFonts w:ascii="Arial" w:cs="Arial" w:eastAsia="Arial" w:hAnsi="Arial"/>
          <w:sz w:val="16"/>
          <w:szCs w:val="16"/>
          <w:color w:val="auto"/>
        </w:rPr>
        <w:t>The number of shares of the registrant’s common stock traded under the symbol “HRZN” on the Nasdaq Global Select Market, $0.001 par value per share, outstanding as of July 28, 2020 was 17,293,480.</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220" w:type="dxa"/>
            <w:vAlign w:val="bottom"/>
            <w:gridSpan w:val="3"/>
          </w:tcPr>
          <w:p>
            <w:pPr>
              <w:ind w:left="32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14"/>
        </w:trPr>
        <w:tc>
          <w:tcPr>
            <w:tcW w:w="20" w:type="dxa"/>
            <w:vAlign w:val="bottom"/>
          </w:tcPr>
          <w:p>
            <w:pPr>
              <w:spacing w:after="0"/>
              <w:rPr>
                <w:sz w:val="24"/>
                <w:szCs w:val="24"/>
                <w:color w:val="auto"/>
              </w:rPr>
            </w:pPr>
          </w:p>
        </w:tc>
        <w:tc>
          <w:tcPr>
            <w:tcW w:w="4220" w:type="dxa"/>
            <w:vAlign w:val="bottom"/>
            <w:gridSpan w:val="3"/>
          </w:tcPr>
          <w:p>
            <w:pPr>
              <w:jc w:val="center"/>
              <w:ind w:right="400"/>
              <w:spacing w:after="0"/>
              <w:rPr>
                <w:sz w:val="20"/>
                <w:szCs w:val="20"/>
                <w:color w:val="auto"/>
              </w:rPr>
            </w:pPr>
            <w:r>
              <w:rPr>
                <w:rFonts w:ascii="Arial" w:cs="Arial" w:eastAsia="Arial" w:hAnsi="Arial"/>
                <w:sz w:val="16"/>
                <w:szCs w:val="16"/>
                <w:color w:val="auto"/>
                <w:w w:val="92"/>
              </w:rPr>
              <w:t>Title of each class</w:t>
            </w: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Ticker symbol(s)</w:t>
            </w:r>
          </w:p>
        </w:tc>
        <w:tc>
          <w:tcPr>
            <w:tcW w:w="41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89"/>
        </w:trPr>
        <w:tc>
          <w:tcPr>
            <w:tcW w:w="20" w:type="dxa"/>
            <w:vAlign w:val="bottom"/>
          </w:tcPr>
          <w:p>
            <w:pPr>
              <w:spacing w:after="0"/>
              <w:rPr>
                <w:sz w:val="16"/>
                <w:szCs w:val="16"/>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98"/>
              </w:rPr>
              <w:t>HRZN</w:t>
            </w:r>
          </w:p>
        </w:tc>
        <w:tc>
          <w:tcPr>
            <w:tcW w:w="160" w:type="dxa"/>
            <w:vAlign w:val="bottom"/>
          </w:tcPr>
          <w:p>
            <w:pPr>
              <w:spacing w:after="0"/>
              <w:rPr>
                <w:sz w:val="16"/>
                <w:szCs w:val="16"/>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20" w:type="dxa"/>
            <w:vAlign w:val="bottom"/>
          </w:tcPr>
          <w:p>
            <w:pPr>
              <w:spacing w:after="0"/>
              <w:rPr>
                <w:sz w:val="17"/>
                <w:szCs w:val="17"/>
                <w:color w:val="auto"/>
              </w:rPr>
            </w:pPr>
          </w:p>
        </w:tc>
        <w:tc>
          <w:tcPr>
            <w:tcW w:w="4220" w:type="dxa"/>
            <w:vAlign w:val="bottom"/>
            <w:gridSpan w:val="3"/>
          </w:tcPr>
          <w:p>
            <w:pPr>
              <w:jc w:val="center"/>
              <w:ind w:right="400"/>
              <w:spacing w:after="0"/>
              <w:rPr>
                <w:sz w:val="20"/>
                <w:szCs w:val="20"/>
                <w:color w:val="auto"/>
              </w:rPr>
            </w:pPr>
            <w:r>
              <w:rPr>
                <w:rFonts w:ascii="Arial" w:cs="Arial" w:eastAsia="Arial" w:hAnsi="Arial"/>
                <w:sz w:val="16"/>
                <w:szCs w:val="16"/>
                <w:color w:val="auto"/>
                <w:w w:val="89"/>
              </w:rPr>
              <w:t>6.25% Notes due 2022</w:t>
            </w: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color w:val="auto"/>
              </w:rPr>
              <w:t>HTFA</w:t>
            </w:r>
          </w:p>
        </w:tc>
        <w:tc>
          <w:tcPr>
            <w:tcW w:w="4180" w:type="dxa"/>
            <w:vAlign w:val="bottom"/>
          </w:tcPr>
          <w:p>
            <w:pPr>
              <w:jc w:val="center"/>
              <w:spacing w:after="0"/>
              <w:rPr>
                <w:sz w:val="20"/>
                <w:szCs w:val="20"/>
                <w:color w:val="auto"/>
              </w:rPr>
            </w:pPr>
            <w:r>
              <w:rPr>
                <w:rFonts w:ascii="Arial" w:cs="Arial" w:eastAsia="Arial" w:hAnsi="Arial"/>
                <w:sz w:val="16"/>
                <w:szCs w:val="16"/>
                <w:color w:val="auto"/>
                <w:w w:val="93"/>
              </w:rPr>
              <w:t>The New York Stock Exchange</w:t>
            </w:r>
          </w:p>
        </w:tc>
      </w:tr>
      <w:tr>
        <w:trPr>
          <w:trHeight w:val="270"/>
        </w:trPr>
        <w:tc>
          <w:tcPr>
            <w:tcW w:w="20" w:type="dxa"/>
            <w:vAlign w:val="bottom"/>
            <w:tcBorders>
              <w:bottom w:val="single" w:sz="8" w:color="auto"/>
            </w:tcBorders>
          </w:tcPr>
          <w:p>
            <w:pPr>
              <w:spacing w:after="0"/>
              <w:rPr>
                <w:sz w:val="23"/>
                <w:szCs w:val="23"/>
                <w:color w:val="auto"/>
              </w:rPr>
            </w:pPr>
          </w:p>
        </w:tc>
        <w:tc>
          <w:tcPr>
            <w:tcW w:w="38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180" w:type="dxa"/>
            <w:vAlign w:val="bottom"/>
            <w:tcBorders>
              <w:bottom w:val="single" w:sz="8" w:color="auto"/>
            </w:tcBorders>
          </w:tcPr>
          <w:p>
            <w:pPr>
              <w:spacing w:after="0"/>
              <w:rPr>
                <w:sz w:val="23"/>
                <w:szCs w:val="23"/>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8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rPr>
              <w:t>HORIZON TECHNOLOGY FINANCE CORPORATION</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8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99"/>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8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80" w:type="dxa"/>
            <w:vAlign w:val="bottom"/>
            <w:gridSpan w:val="3"/>
          </w:tcPr>
          <w:p>
            <w:pPr>
              <w:jc w:val="center"/>
              <w:ind w:right="1220"/>
              <w:spacing w:after="0"/>
              <w:rPr>
                <w:rFonts w:ascii="Arial" w:cs="Arial" w:eastAsia="Arial" w:hAnsi="Arial"/>
                <w:sz w:val="18"/>
                <w:szCs w:val="18"/>
                <w:b w:val="1"/>
                <w:bCs w:val="1"/>
                <w:u w:val="single" w:color="auto"/>
                <w:color w:val="0000EE"/>
                <w:w w:val="98"/>
              </w:rPr>
            </w:pPr>
            <w:hyperlink w:anchor="page3">
              <w:r>
                <w:rPr>
                  <w:rFonts w:ascii="Arial" w:cs="Arial" w:eastAsia="Arial" w:hAnsi="Arial"/>
                  <w:sz w:val="18"/>
                  <w:szCs w:val="18"/>
                  <w:b w:val="1"/>
                  <w:bCs w:val="1"/>
                  <w:u w:val="single" w:color="auto"/>
                  <w:color w:val="0000EE"/>
                  <w:w w:val="98"/>
                </w:rPr>
                <w:t>PART I</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720" w:type="dxa"/>
            <w:vAlign w:val="bottom"/>
            <w:gridSpan w:val="5"/>
          </w:tcPr>
          <w:p>
            <w:pPr>
              <w:spacing w:after="0"/>
              <w:rPr>
                <w:rFonts w:ascii="Arial" w:cs="Arial" w:eastAsia="Arial" w:hAnsi="Arial"/>
                <w:sz w:val="18"/>
                <w:szCs w:val="18"/>
                <w:u w:val="single" w:color="auto"/>
                <w:color w:val="0000EE"/>
                <w:w w:val="90"/>
              </w:rPr>
            </w:pPr>
            <w:hyperlink w:anchor="page3">
              <w:r>
                <w:rPr>
                  <w:rFonts w:ascii="Arial" w:cs="Arial" w:eastAsia="Arial" w:hAnsi="Arial"/>
                  <w:sz w:val="18"/>
                  <w:szCs w:val="18"/>
                  <w:u w:val="single" w:color="auto"/>
                  <w:color w:val="0000EE"/>
                  <w:w w:val="90"/>
                </w:rPr>
                <w:t>Consolidated Statements of Assets and Liabilities as of June 30, 2020 (unaudited) and December 31,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7120" w:type="dxa"/>
            <w:vAlign w:val="bottom"/>
            <w:tcBorders>
              <w:bottom w:val="single" w:sz="8" w:color="0000EE"/>
            </w:tcBorders>
            <w:gridSpan w:val="3"/>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six months ended June 30, 2020 and 2019</w:t>
              </w:r>
            </w:hyperlink>
          </w:p>
        </w:tc>
        <w:tc>
          <w:tcPr>
            <w:tcW w:w="60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w:t>
              </w:r>
            </w:hyperlink>
          </w:p>
        </w:tc>
        <w:tc>
          <w:tcPr>
            <w:tcW w:w="688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720" w:type="dxa"/>
            <w:vAlign w:val="bottom"/>
            <w:gridSpan w:val="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Changes in Net Assets for the three and six months ended June 30, 2020 and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75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2019 (unaudited)</w:t>
              </w:r>
            </w:hyperlink>
          </w:p>
        </w:tc>
        <w:tc>
          <w:tcPr>
            <w:tcW w:w="1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tcPr>
          <w:p>
            <w:pPr>
              <w:spacing w:after="0"/>
              <w:rPr>
                <w:sz w:val="19"/>
                <w:szCs w:val="19"/>
                <w:color w:val="auto"/>
              </w:rPr>
            </w:pPr>
          </w:p>
        </w:tc>
        <w:tc>
          <w:tcPr>
            <w:tcW w:w="7720" w:type="dxa"/>
            <w:vAlign w:val="bottom"/>
            <w:gridSpan w:val="5"/>
          </w:tcPr>
          <w:p>
            <w:pPr>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Consolidated Statements of Cash Flows for the six months ended June 30, 2020 and 2019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720" w:type="dxa"/>
            <w:vAlign w:val="bottom"/>
            <w:gridSpan w:val="5"/>
          </w:tcPr>
          <w:p>
            <w:pP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Consolidated Schedules of Investments as of June 30, 2020 (unaudited) and December 31,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720" w:type="dxa"/>
            <w:vAlign w:val="bottom"/>
            <w:gridSpan w:val="5"/>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Notes to the Consolidated 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3.</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2"/>
        </w:trPr>
        <w:tc>
          <w:tcPr>
            <w:tcW w:w="78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4.</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0"/>
        </w:trPr>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80" w:type="dxa"/>
            <w:vAlign w:val="bottom"/>
            <w:gridSpan w:val="3"/>
          </w:tcPr>
          <w:p>
            <w:pPr>
              <w:jc w:val="center"/>
              <w:ind w:right="1220"/>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PART II</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1.</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1A.</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2.</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5.</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6.</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780" w:type="dxa"/>
            <w:vAlign w:val="bottom"/>
            <w:vMerge w:val="restart"/>
          </w:tcPr>
          <w:p>
            <w:pPr>
              <w:spacing w:after="0"/>
              <w:rPr>
                <w:sz w:val="20"/>
                <w:szCs w:val="20"/>
                <w:color w:val="auto"/>
              </w:rPr>
            </w:pPr>
            <w:r>
              <w:rPr>
                <w:rFonts w:ascii="Arial" w:cs="Arial" w:eastAsia="Arial" w:hAnsi="Arial"/>
                <w:sz w:val="18"/>
                <w:szCs w:val="18"/>
                <w:color w:val="auto"/>
              </w:rPr>
              <w:t>EX-31.1</w:t>
            </w:r>
          </w:p>
        </w:tc>
        <w:tc>
          <w:tcPr>
            <w:tcW w:w="7720" w:type="dxa"/>
            <w:vAlign w:val="bottom"/>
            <w:gridSpan w:val="5"/>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Non-affiliate investments at fair value (cost of $354,879 and $295,256,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348,834</w:t>
            </w:r>
          </w:p>
        </w:tc>
        <w:tc>
          <w:tcPr>
            <w:tcW w:w="2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294,304</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Non-controlled affiliate investments at fair value (cost of $6,819 and $6,891, respectively)</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Controlled affiliate investments at fair value (cost of $16,684) (Note 5)</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4"/>
              </w:rPr>
              <w:t>Total investments at fair value (cost of $361,698 and $318,831, respectively) (Note 4)</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319,551</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22,837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money market funds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Restricted investments in money market funds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403,269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Borrowings (Note 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193,559</w:t>
            </w:r>
          </w:p>
        </w:tc>
        <w:tc>
          <w:tcPr>
            <w:tcW w:w="2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152,050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Base management fee payable (Note 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fee payable (Note 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202,037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159,946</w:t>
            </w:r>
          </w:p>
        </w:tc>
        <w:tc>
          <w:tcPr>
            <w:tcW w:w="0" w:type="dxa"/>
            <w:vAlign w:val="bottom"/>
          </w:tcPr>
          <w:p>
            <w:pPr>
              <w:spacing w:after="0"/>
              <w:rPr>
                <w:sz w:val="1"/>
                <w:szCs w:val="1"/>
                <w:color w:val="auto"/>
              </w:rPr>
            </w:pPr>
          </w:p>
        </w:tc>
      </w:tr>
      <w:tr>
        <w:trPr>
          <w:trHeight w:val="209"/>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20"/>
              <w:spacing w:after="0" w:line="201" w:lineRule="exact"/>
              <w:rPr>
                <w:sz w:val="20"/>
                <w:szCs w:val="20"/>
                <w:color w:val="auto"/>
              </w:rPr>
            </w:pPr>
            <w:r>
              <w:rPr>
                <w:rFonts w:ascii="Arial" w:cs="Arial" w:eastAsia="Arial" w:hAnsi="Arial"/>
                <w:sz w:val="18"/>
                <w:szCs w:val="18"/>
                <w:color w:val="auto"/>
                <w:w w:val="90"/>
              </w:rPr>
              <w:t>Preferred stock, par value $0.001 per share, 1,000,000 shares authorized, zero shares issued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and outstanding as of June 30, 2020 and December 31, 2019</w:t>
            </w: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Common stock, par value $0.001 per share, 100,000,000 shares authorized, 17,459,235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15,730,755 shares issued and 17,291,770 and 15,563,290 shares outstanding as of June 30,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and December 31, 2019, respectively</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247,924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226,660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Distributable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(46,709)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(42,621)</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201,232</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184,055</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403,269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344,001</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asset value per common share</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11.64</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0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6"/>
              </w:rPr>
              <w:t>For the Three Months Ended</w:t>
            </w:r>
          </w:p>
        </w:tc>
        <w:tc>
          <w:tcPr>
            <w:tcW w:w="120" w:type="dxa"/>
            <w:vAlign w:val="bottom"/>
          </w:tcPr>
          <w:p>
            <w:pPr>
              <w:spacing w:after="0"/>
              <w:rPr>
                <w:sz w:val="14"/>
                <w:szCs w:val="14"/>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4"/>
              </w:rPr>
              <w:t>For the Six Months Ended</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Investment income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Interest income on investments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income on non-affiliate investments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11,918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9,018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21,312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Interest income on affiliate investments</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357</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interest income on investments</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12,094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9,234</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21,669</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Fee income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Amendment fee income on non-affiliate investments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20"/>
              <w:spacing w:after="0" w:line="149" w:lineRule="exact"/>
              <w:rPr>
                <w:sz w:val="20"/>
                <w:szCs w:val="20"/>
                <w:color w:val="auto"/>
              </w:rPr>
            </w:pPr>
            <w:r>
              <w:rPr>
                <w:rFonts w:ascii="Arial" w:cs="Arial" w:eastAsia="Arial" w:hAnsi="Arial"/>
                <w:sz w:val="14"/>
                <w:szCs w:val="14"/>
                <w:color w:val="auto"/>
              </w:rPr>
              <w:t>Prepayment fee income on non-affiliate investments</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756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Fee income on non-affiliate investments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Fee income on affiliate investments</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fee income</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1,742</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805</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1,851</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Dividend (expense) income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 (expense) income on controlled affiliate investments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(312)</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Total dividend (expense) income</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(312)</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431</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 income</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13,524</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10,470</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23,638</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20"/>
              <w:spacing w:after="0" w:line="149" w:lineRule="exact"/>
              <w:rPr>
                <w:sz w:val="20"/>
                <w:szCs w:val="20"/>
                <w:color w:val="auto"/>
              </w:rPr>
            </w:pPr>
            <w:r>
              <w:rPr>
                <w:rFonts w:ascii="Arial" w:cs="Arial" w:eastAsia="Arial" w:hAnsi="Arial"/>
                <w:sz w:val="14"/>
                <w:szCs w:val="14"/>
                <w:color w:val="auto"/>
              </w:rPr>
              <w:t>Base management fee (Note 3)</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1,668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1,365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3,249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Performance based incentive fee (Note 3)</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20"/>
              <w:spacing w:after="0" w:line="149" w:lineRule="exact"/>
              <w:rPr>
                <w:sz w:val="20"/>
                <w:szCs w:val="20"/>
                <w:color w:val="auto"/>
              </w:rPr>
            </w:pPr>
            <w:r>
              <w:rPr>
                <w:rFonts w:ascii="Arial" w:cs="Arial" w:eastAsia="Arial" w:hAnsi="Arial"/>
                <w:sz w:val="14"/>
                <w:szCs w:val="14"/>
                <w:color w:val="auto"/>
              </w:rPr>
              <w:t>Administrative fee (Note 3)</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Professional fees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General and administrative</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575</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expenses</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6,818</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6,166</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12,649</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12,378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Performance based incentive fee waived (Note 3)</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(1,848)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expenses</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6,818</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5,458</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12,649</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investment income</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6,706</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5,012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10,989</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8,245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realized and unrealized gain (loss) on investments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ind w:left="20"/>
              <w:spacing w:after="0" w:line="149" w:lineRule="exact"/>
              <w:rPr>
                <w:sz w:val="20"/>
                <w:szCs w:val="20"/>
                <w:color w:val="auto"/>
              </w:rPr>
            </w:pPr>
            <w:r>
              <w:rPr>
                <w:rFonts w:ascii="Arial" w:cs="Arial" w:eastAsia="Arial" w:hAnsi="Arial"/>
                <w:sz w:val="14"/>
                <w:szCs w:val="14"/>
                <w:color w:val="auto"/>
              </w:rPr>
              <w:t>Net realized (loss) gain on non-affiliate investments</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(701)</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(4,598)</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2,778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(3,447)</w:t>
            </w:r>
          </w:p>
        </w:tc>
        <w:tc>
          <w:tcPr>
            <w:tcW w:w="0" w:type="dxa"/>
            <w:vAlign w:val="bottom"/>
          </w:tcPr>
          <w:p>
            <w:pPr>
              <w:spacing w:after="0"/>
              <w:rPr>
                <w:sz w:val="1"/>
                <w:szCs w:val="1"/>
                <w:color w:val="auto"/>
              </w:rPr>
            </w:pPr>
          </w:p>
        </w:tc>
      </w:tr>
      <w:tr>
        <w:trPr>
          <w:trHeight w:val="149"/>
        </w:trPr>
        <w:tc>
          <w:tcPr>
            <w:tcW w:w="4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realized loss on controlled affiliate investments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realized (loss) gain on investments</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(725)</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(4,598)</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2,766</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unrealized appreciation (depreciation) on non-affiliate investments</w:t>
            </w: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2,985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(4,806)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720" w:type="dxa"/>
            <w:vAlign w:val="bottom"/>
          </w:tcPr>
          <w:p>
            <w:pPr>
              <w:ind w:left="20"/>
              <w:spacing w:after="0" w:line="130" w:lineRule="exact"/>
              <w:rPr>
                <w:sz w:val="20"/>
                <w:szCs w:val="20"/>
                <w:color w:val="auto"/>
              </w:rPr>
            </w:pPr>
            <w:r>
              <w:rPr>
                <w:rFonts w:ascii="Arial" w:cs="Arial" w:eastAsia="Arial" w:hAnsi="Arial"/>
                <w:sz w:val="14"/>
                <w:szCs w:val="14"/>
                <w:color w:val="auto"/>
              </w:rPr>
              <w:t>Net unrealized (depreciation) appreciation on non-controlled affiliate</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2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(932)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(1,475)</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unrealized depreciation on controlled affiliate investments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unrealized appreciation (depreciation) on investments</w:t>
            </w: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1,944</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4,124</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(6,539)</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2,765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realized and unrealized gain (loss) on investments</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1,219</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(474)</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(3,773)</w:t>
            </w:r>
          </w:p>
        </w:tc>
        <w:tc>
          <w:tcPr>
            <w:tcW w:w="1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7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7,925</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4,538</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7,216</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7,563</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2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Net investment income per common share</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0.40</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0.37</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0.65</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0.65</w:t>
            </w: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4"/>
                <w:szCs w:val="14"/>
                <w:color w:val="auto"/>
              </w:rPr>
              <w:t>Net increase in net assets per common share</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0.47</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0.34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0.43</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0.60</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2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Distributions declared per share</w:t>
            </w: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0.30</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0.30</w:t>
            </w:r>
          </w:p>
        </w:tc>
        <w:tc>
          <w:tcPr>
            <w:tcW w:w="1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0.65</w:t>
            </w:r>
          </w:p>
        </w:tc>
        <w:tc>
          <w:tcPr>
            <w:tcW w:w="1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0.60</w:t>
            </w:r>
          </w:p>
        </w:tc>
        <w:tc>
          <w:tcPr>
            <w:tcW w:w="1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ind w:left="20"/>
              <w:spacing w:after="0"/>
              <w:rPr>
                <w:sz w:val="20"/>
                <w:szCs w:val="20"/>
                <w:color w:val="auto"/>
              </w:rPr>
            </w:pPr>
            <w:r>
              <w:rPr>
                <w:rFonts w:ascii="Arial" w:cs="Arial" w:eastAsia="Arial" w:hAnsi="Arial"/>
                <w:sz w:val="14"/>
                <w:szCs w:val="14"/>
                <w:color w:val="auto"/>
              </w:rPr>
              <w:t>Weighted average shares outstanding</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720" w:type="dxa"/>
            <w:vAlign w:val="bottom"/>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16,943,155</w:t>
            </w: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13,540,657</w:t>
            </w: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16,829,821</w:t>
            </w: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12,610,593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in Excess of</w:t>
            </w: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March 31, 2019</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13,538,481</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202,818</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(46,408)</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156,424</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5,012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5,012</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realized loss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(4,598)</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(4,598)</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Net unrealized appreciation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(3,863)</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(3,863)</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June 30, 2019</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13,542,873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202,855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157,136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March 31, 2020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16,852,610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242,886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(49,446)</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193,457</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432,491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4,971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4,971</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6,706</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realized loss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Net unrealized appreciation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(5,188)</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(5,188)</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June 30, 2020</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17,291,770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247,924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(46,709)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201,232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 Excess of</w:t>
            </w: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December 31, 2018</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11,535,129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179,616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(45,371)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134,257</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23,145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23,147</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8,245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8,245</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realized loss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(3,447)</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(3,447)</w:t>
            </w: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unrealized appreciation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(7,925)</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(7,925)</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June 30, 2019</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13,542,873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202,855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157,136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December 31, 2019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15,563,290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226,660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(42,621)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184,055</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1,717,901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21,147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21,148</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10,989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10,989</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realized gain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2,766</w:t>
            </w: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(6,539)</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(6,539)</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(11,304)</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(11,304)</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June 30, 2020</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17,291,770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247,924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(46,709)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201,232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2180"/>
        <w:spacing w:after="0" w:line="266" w:lineRule="auto"/>
        <w:rPr>
          <w:sz w:val="20"/>
          <w:szCs w:val="20"/>
          <w:color w:val="auto"/>
        </w:rPr>
      </w:pPr>
      <w:r>
        <w:rPr>
          <w:rFonts w:ascii="Arial" w:cs="Arial" w:eastAsia="Arial" w:hAnsi="Arial"/>
          <w:sz w:val="18"/>
          <w:szCs w:val="18"/>
          <w:b w:val="1"/>
          <w:bCs w:val="1"/>
          <w:color w:val="auto"/>
        </w:rPr>
        <w:t>Horizon Technology Finance Corporation and Subsidiaries Consolidated Statements of Cash Flows (Unaudited) (Dollars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1"/>
              </w:rPr>
              <w:t>For the six months ended June 30,</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5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7,216</w:t>
            </w:r>
          </w:p>
        </w:tc>
        <w:tc>
          <w:tcPr>
            <w:tcW w:w="18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7,563</w:t>
            </w:r>
          </w:p>
        </w:tc>
        <w:tc>
          <w:tcPr>
            <w:tcW w:w="0" w:type="dxa"/>
            <w:vAlign w:val="bottom"/>
          </w:tcPr>
          <w:p>
            <w:pPr>
              <w:spacing w:after="0"/>
              <w:rPr>
                <w:sz w:val="1"/>
                <w:szCs w:val="1"/>
                <w:color w:val="auto"/>
              </w:rPr>
            </w:pPr>
          </w:p>
        </w:tc>
      </w:tr>
      <w:tr>
        <w:trPr>
          <w:trHeight w:val="130"/>
        </w:trPr>
        <w:tc>
          <w:tcPr>
            <w:tcW w:w="658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Adjustments to reconcile net increase in net assets resulting from operations to net cash used in operating</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realized (gain) loss on investments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(2,766)</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3,447</w:t>
            </w: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Net unrealized depreciation (appreciation) on investments</w:t>
            </w: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6,539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 of investments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(105,554)</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(93,137)</w:t>
            </w: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Principal payments received on investments</w:t>
            </w: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61,168</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65,204</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investments</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1,905</w:t>
            </w: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Distributions from controlled affiliate investment</w:t>
            </w:r>
          </w:p>
        </w:tc>
        <w:tc>
          <w:tcPr>
            <w:tcW w:w="8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from controlled affiliate investment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Warrants received in settlement of fee income</w:t>
            </w:r>
          </w:p>
        </w:tc>
        <w:tc>
          <w:tcPr>
            <w:tcW w:w="8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(978)</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ind w:left="120"/>
              <w:spacing w:after="0" w:line="149" w:lineRule="exact"/>
              <w:rPr>
                <w:sz w:val="20"/>
                <w:szCs w:val="20"/>
                <w:color w:val="auto"/>
              </w:rPr>
            </w:pPr>
            <w:r>
              <w:rPr>
                <w:rFonts w:ascii="Arial" w:cs="Arial" w:eastAsia="Arial" w:hAnsi="Arial"/>
                <w:sz w:val="14"/>
                <w:szCs w:val="14"/>
                <w:color w:val="auto"/>
              </w:rPr>
              <w:t>Decrease (increase) in interest receivable</w:t>
            </w: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48"/>
        </w:trPr>
        <w:tc>
          <w:tcPr>
            <w:tcW w:w="6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end-of-term payments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(1,398)</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48"/>
        </w:trPr>
        <w:tc>
          <w:tcPr>
            <w:tcW w:w="6580" w:type="dxa"/>
            <w:vAlign w:val="bottom"/>
          </w:tcPr>
          <w:p>
            <w:pPr>
              <w:ind w:left="120"/>
              <w:spacing w:after="0" w:line="149" w:lineRule="exact"/>
              <w:rPr>
                <w:sz w:val="20"/>
                <w:szCs w:val="20"/>
                <w:color w:val="auto"/>
              </w:rPr>
            </w:pPr>
            <w:r>
              <w:rPr>
                <w:rFonts w:ascii="Arial" w:cs="Arial" w:eastAsia="Arial" w:hAnsi="Arial"/>
                <w:sz w:val="14"/>
                <w:szCs w:val="14"/>
                <w:color w:val="auto"/>
              </w:rPr>
              <w:t>Decrease in unearned income</w:t>
            </w:r>
          </w:p>
        </w:tc>
        <w:tc>
          <w:tcPr>
            <w:tcW w:w="8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(876)</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8"/>
        </w:trPr>
        <w:tc>
          <w:tcPr>
            <w:tcW w:w="6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other assets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48"/>
        </w:trPr>
        <w:tc>
          <w:tcPr>
            <w:tcW w:w="6580" w:type="dxa"/>
            <w:vAlign w:val="bottom"/>
          </w:tcPr>
          <w:p>
            <w:pPr>
              <w:ind w:left="120"/>
              <w:spacing w:after="0" w:line="149" w:lineRule="exact"/>
              <w:rPr>
                <w:sz w:val="20"/>
                <w:szCs w:val="20"/>
                <w:color w:val="auto"/>
              </w:rPr>
            </w:pPr>
            <w:r>
              <w:rPr>
                <w:rFonts w:ascii="Arial" w:cs="Arial" w:eastAsia="Arial" w:hAnsi="Arial"/>
                <w:sz w:val="14"/>
                <w:szCs w:val="14"/>
                <w:color w:val="auto"/>
              </w:rPr>
              <w:t>(Decrease) increase in other accrued expenses</w:t>
            </w:r>
          </w:p>
        </w:tc>
        <w:tc>
          <w:tcPr>
            <w:tcW w:w="8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base management fee payable</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8"/>
        </w:trPr>
        <w:tc>
          <w:tcPr>
            <w:tcW w:w="65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Increase in incentive fee payable</w:t>
            </w: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42"/>
        </w:trPr>
        <w:tc>
          <w:tcPr>
            <w:tcW w:w="65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(29,702)</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(19,453)</w:t>
            </w:r>
          </w:p>
        </w:tc>
        <w:tc>
          <w:tcPr>
            <w:tcW w:w="0" w:type="dxa"/>
            <w:vAlign w:val="bottom"/>
          </w:tcPr>
          <w:p>
            <w:pPr>
              <w:spacing w:after="0"/>
              <w:rPr>
                <w:sz w:val="1"/>
                <w:szCs w:val="1"/>
                <w:color w:val="auto"/>
              </w:rPr>
            </w:pPr>
          </w:p>
        </w:tc>
      </w:tr>
      <w:tr>
        <w:trPr>
          <w:trHeight w:val="142"/>
        </w:trPr>
        <w:tc>
          <w:tcPr>
            <w:tcW w:w="6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issuance of common stock, net of offering costs</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21,148</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23,147</w:t>
            </w:r>
          </w:p>
        </w:tc>
        <w:tc>
          <w:tcPr>
            <w:tcW w:w="0" w:type="dxa"/>
            <w:vAlign w:val="bottom"/>
          </w:tcPr>
          <w:p>
            <w:pPr>
              <w:spacing w:after="0"/>
              <w:rPr>
                <w:sz w:val="1"/>
                <w:szCs w:val="1"/>
                <w:color w:val="auto"/>
              </w:rPr>
            </w:pPr>
          </w:p>
        </w:tc>
      </w:tr>
      <w:tr>
        <w:trPr>
          <w:trHeight w:val="149"/>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Advances on credit facility</w:t>
            </w: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58,250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28,500</w:t>
            </w:r>
          </w:p>
        </w:tc>
        <w:tc>
          <w:tcPr>
            <w:tcW w:w="0" w:type="dxa"/>
            <w:vAlign w:val="bottom"/>
          </w:tcPr>
          <w:p>
            <w:pPr>
              <w:spacing w:after="0"/>
              <w:rPr>
                <w:sz w:val="1"/>
                <w:szCs w:val="1"/>
                <w:color w:val="auto"/>
              </w:rPr>
            </w:pP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Repayment of credit facility</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(17,000)</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Debt issuance costs</w:t>
            </w:r>
          </w:p>
        </w:tc>
        <w:tc>
          <w:tcPr>
            <w:tcW w:w="80" w:type="dxa"/>
            <w:vAlign w:val="bottom"/>
          </w:tcPr>
          <w:p>
            <w:pPr>
              <w:spacing w:after="0"/>
              <w:rPr>
                <w:sz w:val="12"/>
                <w:szCs w:val="12"/>
                <w:color w:val="auto"/>
              </w:rPr>
            </w:pP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(888)</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paid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(10,668)</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(7,229)</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50,842</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14,418</w:t>
            </w:r>
          </w:p>
        </w:tc>
        <w:tc>
          <w:tcPr>
            <w:tcW w:w="0" w:type="dxa"/>
            <w:vAlign w:val="bottom"/>
          </w:tcPr>
          <w:p>
            <w:pPr>
              <w:spacing w:after="0"/>
              <w:rPr>
                <w:sz w:val="1"/>
                <w:szCs w:val="1"/>
                <w:color w:val="auto"/>
              </w:rPr>
            </w:pPr>
          </w:p>
        </w:tc>
      </w:tr>
      <w:tr>
        <w:trPr>
          <w:trHeight w:val="142"/>
        </w:trPr>
        <w:tc>
          <w:tcPr>
            <w:tcW w:w="65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increase (decrease) in cash, cash equivalents and restricted cash</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21,140</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149"/>
        </w:trPr>
        <w:tc>
          <w:tcPr>
            <w:tcW w:w="658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Cash, cash equivalents and restricted cash:</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Beginning of period</w:t>
            </w: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17,385</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12,591</w:t>
            </w:r>
          </w:p>
        </w:tc>
        <w:tc>
          <w:tcPr>
            <w:tcW w:w="0" w:type="dxa"/>
            <w:vAlign w:val="bottom"/>
          </w:tcPr>
          <w:p>
            <w:pPr>
              <w:spacing w:after="0"/>
              <w:rPr>
                <w:sz w:val="1"/>
                <w:szCs w:val="1"/>
                <w:color w:val="auto"/>
              </w:rPr>
            </w:pPr>
          </w:p>
        </w:tc>
      </w:tr>
      <w:tr>
        <w:trPr>
          <w:trHeight w:val="182"/>
        </w:trPr>
        <w:tc>
          <w:tcPr>
            <w:tcW w:w="658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End of period</w:t>
            </w: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38,525</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7,556</w:t>
            </w: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interest</w:t>
            </w: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4,078</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3,737</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Arial" w:cs="Arial" w:eastAsia="Arial" w:hAnsi="Arial"/>
                <w:sz w:val="14"/>
                <w:szCs w:val="14"/>
                <w:color w:val="auto"/>
              </w:rPr>
              <w:t>Supplemental non-cash investing and financing activities:</w:t>
            </w: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 investments received and recorded as unearned income</w:t>
            </w: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1,367</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120"/>
              <w:spacing w:after="0"/>
              <w:rPr>
                <w:sz w:val="20"/>
                <w:szCs w:val="20"/>
                <w:color w:val="auto"/>
              </w:rPr>
            </w:pPr>
            <w:r>
              <w:rPr>
                <w:rFonts w:ascii="Arial" w:cs="Arial" w:eastAsia="Arial" w:hAnsi="Arial"/>
                <w:sz w:val="14"/>
                <w:szCs w:val="14"/>
                <w:color w:val="auto"/>
              </w:rPr>
              <w:t>Distributions payable</w:t>
            </w: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5,188</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4,063</w:t>
            </w:r>
          </w:p>
        </w:tc>
        <w:tc>
          <w:tcPr>
            <w:tcW w:w="0" w:type="dxa"/>
            <w:vAlign w:val="bottom"/>
          </w:tcPr>
          <w:p>
            <w:pPr>
              <w:spacing w:after="0"/>
              <w:rPr>
                <w:sz w:val="1"/>
                <w:szCs w:val="1"/>
                <w:color w:val="auto"/>
              </w:rPr>
            </w:pPr>
          </w:p>
        </w:tc>
      </w:tr>
      <w:tr>
        <w:trPr>
          <w:trHeight w:val="129"/>
        </w:trPr>
        <w:tc>
          <w:tcPr>
            <w:tcW w:w="6580" w:type="dxa"/>
            <w:vAlign w:val="bottom"/>
            <w:tcBorders>
              <w:bottom w:val="single" w:sz="8" w:color="CCEEFF"/>
            </w:tcBorders>
            <w:shd w:val="clear" w:color="auto" w:fill="CCEEFF"/>
          </w:tcPr>
          <w:p>
            <w:pPr>
              <w:ind w:left="120"/>
              <w:spacing w:after="0" w:line="129" w:lineRule="exact"/>
              <w:rPr>
                <w:sz w:val="20"/>
                <w:szCs w:val="20"/>
                <w:color w:val="auto"/>
              </w:rPr>
            </w:pPr>
            <w:r>
              <w:rPr>
                <w:rFonts w:ascii="Arial" w:cs="Arial" w:eastAsia="Arial" w:hAnsi="Arial"/>
                <w:sz w:val="14"/>
                <w:szCs w:val="14"/>
                <w:color w:val="auto"/>
              </w:rPr>
              <w:t>Acquisition of controlled affiliate investment</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16,498</w:t>
            </w:r>
          </w:p>
        </w:tc>
        <w:tc>
          <w:tcPr>
            <w:tcW w:w="1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120"/>
              <w:spacing w:after="0"/>
              <w:rPr>
                <w:sz w:val="20"/>
                <w:szCs w:val="20"/>
                <w:color w:val="auto"/>
              </w:rPr>
            </w:pPr>
            <w:r>
              <w:rPr>
                <w:rFonts w:ascii="Arial" w:cs="Arial" w:eastAsia="Arial" w:hAnsi="Arial"/>
                <w:sz w:val="14"/>
                <w:szCs w:val="14"/>
                <w:color w:val="auto"/>
              </w:rPr>
              <w:t>End-of-term payments receivable</w:t>
            </w: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5,298</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129"/>
        </w:trPr>
        <w:tc>
          <w:tcPr>
            <w:tcW w:w="6580" w:type="dxa"/>
            <w:vAlign w:val="bottom"/>
            <w:tcBorders>
              <w:bottom w:val="single" w:sz="8" w:color="CCEEFF"/>
            </w:tcBorders>
            <w:shd w:val="clear" w:color="auto" w:fill="CCEEFF"/>
          </w:tcPr>
          <w:p>
            <w:pPr>
              <w:ind w:left="120"/>
              <w:spacing w:after="0" w:line="129" w:lineRule="exact"/>
              <w:rPr>
                <w:sz w:val="20"/>
                <w:szCs w:val="20"/>
                <w:color w:val="auto"/>
              </w:rPr>
            </w:pPr>
            <w:r>
              <w:rPr>
                <w:rFonts w:ascii="Arial" w:cs="Arial" w:eastAsia="Arial" w:hAnsi="Arial"/>
                <w:sz w:val="14"/>
                <w:szCs w:val="14"/>
                <w:color w:val="auto"/>
              </w:rPr>
              <w:t>Non-cash income</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2,527</w:t>
            </w:r>
          </w:p>
        </w:tc>
        <w:tc>
          <w:tcPr>
            <w:tcW w:w="1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5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5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22,837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7,556</w:t>
            </w:r>
          </w:p>
        </w:tc>
        <w:tc>
          <w:tcPr>
            <w:tcW w:w="0" w:type="dxa"/>
            <w:vAlign w:val="bottom"/>
          </w:tcPr>
          <w:p>
            <w:pPr>
              <w:spacing w:after="0"/>
              <w:rPr>
                <w:sz w:val="1"/>
                <w:szCs w:val="1"/>
                <w:color w:val="auto"/>
              </w:rPr>
            </w:pPr>
          </w:p>
        </w:tc>
      </w:tr>
      <w:tr>
        <w:trPr>
          <w:trHeight w:val="149"/>
        </w:trPr>
        <w:tc>
          <w:tcPr>
            <w:tcW w:w="6580" w:type="dxa"/>
            <w:vAlign w:val="bottom"/>
          </w:tcPr>
          <w:p>
            <w:pPr>
              <w:ind w:left="20"/>
              <w:spacing w:after="0" w:line="149" w:lineRule="exact"/>
              <w:rPr>
                <w:sz w:val="20"/>
                <w:szCs w:val="20"/>
                <w:color w:val="auto"/>
              </w:rPr>
            </w:pPr>
            <w:r>
              <w:rPr>
                <w:rFonts w:ascii="Arial" w:cs="Arial" w:eastAsia="Arial" w:hAnsi="Arial"/>
                <w:sz w:val="14"/>
                <w:szCs w:val="14"/>
                <w:color w:val="auto"/>
              </w:rPr>
              <w:t>Investments in money market funds</w:t>
            </w: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14,499</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5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investments in money market funds</w:t>
            </w:r>
          </w:p>
        </w:tc>
        <w:tc>
          <w:tcPr>
            <w:tcW w:w="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1,189</w:t>
            </w: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580" w:type="dxa"/>
            <w:vAlign w:val="bottom"/>
          </w:tcPr>
          <w:p>
            <w:pPr>
              <w:ind w:left="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38,525</w:t>
            </w: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7,556</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Principal</w:t>
            </w:r>
          </w:p>
        </w:tc>
        <w:tc>
          <w:tcPr>
            <w:tcW w:w="12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 of</w:t>
            </w:r>
          </w:p>
        </w:tc>
        <w:tc>
          <w:tcPr>
            <w:tcW w:w="12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Sector</w:t>
            </w:r>
          </w:p>
        </w:tc>
        <w:tc>
          <w:tcPr>
            <w:tcW w:w="288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100" w:type="dxa"/>
            <w:vAlign w:val="bottom"/>
          </w:tcPr>
          <w:p>
            <w:pPr>
              <w:spacing w:after="0"/>
              <w:rPr>
                <w:sz w:val="11"/>
                <w:szCs w:val="11"/>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Investments (6)</w:t>
            </w:r>
          </w:p>
        </w:tc>
        <w:tc>
          <w:tcPr>
            <w:tcW w:w="12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242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Investments — 173.3% (8)</w:t>
            </w:r>
          </w:p>
        </w:tc>
        <w:tc>
          <w:tcPr>
            <w:tcW w:w="1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167.6% (8)</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366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Life Science — 88.4% (8)</w:t>
            </w:r>
          </w:p>
        </w:tc>
        <w:tc>
          <w:tcPr>
            <w:tcW w:w="2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Castle Creek Pharmaceuticals Holdings, Inc.(2)(12)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(9.30% cash (Libor + 7.50%; Floor 9.30%), 5.00%</w:t>
            </w:r>
          </w:p>
        </w:tc>
        <w:tc>
          <w:tcPr>
            <w:tcW w:w="100" w:type="dxa"/>
            <w:vAlign w:val="bottom"/>
          </w:tcPr>
          <w:p>
            <w:pPr>
              <w:jc w:val="right"/>
              <w:spacing w:after="0" w:line="112"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line="11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4,875</w:t>
            </w:r>
          </w:p>
        </w:tc>
        <w:tc>
          <w:tcPr>
            <w:tcW w:w="160" w:type="dxa"/>
            <w:vAlign w:val="bottom"/>
          </w:tcPr>
          <w:p>
            <w:pPr>
              <w:spacing w:after="0"/>
              <w:rPr>
                <w:sz w:val="9"/>
                <w:szCs w:val="9"/>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4,875</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3/1/24)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(9.30% cash (Libor + 7.50%; Floor 9.30%),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3/1/24)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(9.30% cash (Libor + 7.50%; Floor 9.30%),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4,928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4,928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3/1/24)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(9.30% cash (Libor + 7.50%; Floor 9.30%),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3/1/24)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Celsion Corporation (2)(5)(12)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(9.63% cash (Libor + 7.63%; Floor 9.63%), 4.00%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2,471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2,471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(9.63% cash (Libor + 7.63%; Floor 9.63%),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2,471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2,471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(9.63% cash (Libor + 7.63%; Floor 9.63%), 4.00%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2,521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2,479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(9.63% cash (Libor + 7.63%; Floor 9.63%),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2,521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2,479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Emalex Biosciences,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(9.75% cash (Libor + 7.95%; Floor 9.75%),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2,346</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2,346</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12/1/23)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(9.75% cash (Libor + 7.95%; Floor 9.75%),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2,450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2,450</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12/1/23)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Encore Dermatology,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5,031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4,701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4.00% ETP, Due 4/1/23)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4,688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4.00% ETP, Due 4/1/23)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4,940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4,688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4.00% ETP, Due 4/1/23)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Espero BioPharma, Inc. (2)(12)(14)</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5,053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5,053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2,465</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5.10% ETP, Due 8/15/20) (11)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4,820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4,820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2,344</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5.10% ETP, Due 8/15/20) (11)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1"/>
                <w:szCs w:val="11"/>
                <w:color w:val="auto"/>
              </w:rPr>
              <w:t>8/15/20) (11)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40" w:type="dxa"/>
            <w:vAlign w:val="bottom"/>
          </w:tcPr>
          <w:p>
            <w:pPr>
              <w:spacing w:after="0"/>
              <w:rPr>
                <w:sz w:val="20"/>
                <w:szCs w:val="20"/>
                <w:color w:val="auto"/>
              </w:rPr>
            </w:pPr>
            <w:r>
              <w:rPr>
                <w:rFonts w:ascii="Arial" w:cs="Arial" w:eastAsia="Arial" w:hAnsi="Arial"/>
                <w:sz w:val="11"/>
                <w:szCs w:val="11"/>
                <w:color w:val="auto"/>
              </w:rPr>
              <w:t>8/15/20) (11)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1"/>
                <w:szCs w:val="11"/>
                <w:color w:val="auto"/>
              </w:rPr>
              <w:t>8/15/20) (11)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40" w:type="dxa"/>
            <w:vAlign w:val="bottom"/>
          </w:tcPr>
          <w:p>
            <w:pPr>
              <w:spacing w:after="0"/>
              <w:rPr>
                <w:sz w:val="20"/>
                <w:szCs w:val="20"/>
                <w:color w:val="auto"/>
              </w:rPr>
            </w:pPr>
            <w:r>
              <w:rPr>
                <w:rFonts w:ascii="Arial" w:cs="Arial" w:eastAsia="Arial" w:hAnsi="Arial"/>
                <w:sz w:val="11"/>
                <w:szCs w:val="11"/>
                <w:color w:val="auto"/>
              </w:rPr>
              <w:t>8/15/20) (11)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73</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1"/>
                <w:szCs w:val="11"/>
                <w:color w:val="auto"/>
              </w:rPr>
              <w:t>8/15/20) (11)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40" w:type="dxa"/>
            <w:vAlign w:val="bottom"/>
          </w:tcPr>
          <w:p>
            <w:pPr>
              <w:spacing w:after="0"/>
              <w:rPr>
                <w:sz w:val="20"/>
                <w:szCs w:val="20"/>
                <w:color w:val="auto"/>
              </w:rPr>
            </w:pPr>
            <w:r>
              <w:rPr>
                <w:rFonts w:ascii="Arial" w:cs="Arial" w:eastAsia="Arial" w:hAnsi="Arial"/>
                <w:sz w:val="11"/>
                <w:szCs w:val="11"/>
                <w:color w:val="auto"/>
              </w:rPr>
              <w:t>8/15/20) (11)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1"/>
                <w:szCs w:val="11"/>
                <w:color w:val="auto"/>
              </w:rPr>
              <w:t>8/15/20) (11)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LogicBio, Inc.(2)(5)(12)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(8.75% cash (Libor + 6.25%; Floor 8.75%), 4.50%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4,973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4,973</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6/1/24)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Mustang Bio, Inc. (2)(5)(12)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10/1/22)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5,036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4,953</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Provivi,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(9.50% cash (Libor + 8.50%; Floor 9.50%), 5.50%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4,752</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4,752</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12/1/24)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(9.50% cash (Libor + 8.50%; Floor 9.50%), 5.50%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4,901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4,901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12/1/24)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vTv Therapeutics Inc. (2)(5)(12)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(10.50% cash (Libor + 10.00%; Floor 10.50%),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521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520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520</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6.00% ETP, Due 8/1/20)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(10.50% cash (Libor + 10.00%; Floor 10.50%),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1,094</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1,088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1,088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8.50% ETP, Due 1/1/21)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Titan Pharmaceuticals, Inc. (2)(5)(12)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Drug Delivery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(9.50% cash (Libor + 8.40%; Floor 9.50%),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1,600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1,547</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1,547</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6/1/22)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Bardy Diagnostics,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9/1/24)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9/1/24)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9/1/24)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987</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987</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9/1/24)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9/1/24)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Sector</w:t>
            </w:r>
          </w:p>
        </w:tc>
        <w:tc>
          <w:tcPr>
            <w:tcW w:w="300" w:type="dxa"/>
            <w:vAlign w:val="bottom"/>
          </w:tcPr>
          <w:p>
            <w:pPr>
              <w:spacing w:after="0"/>
              <w:rPr>
                <w:sz w:val="11"/>
                <w:szCs w:val="11"/>
                <w:color w:val="auto"/>
              </w:rPr>
            </w:pPr>
          </w:p>
        </w:tc>
        <w:tc>
          <w:tcPr>
            <w:tcW w:w="2580" w:type="dxa"/>
            <w:vAlign w:val="bottom"/>
            <w:gridSpan w:val="2"/>
          </w:tcPr>
          <w:p>
            <w:pPr>
              <w:ind w:left="340"/>
              <w:spacing w:after="0"/>
              <w:rPr>
                <w:sz w:val="20"/>
                <w:szCs w:val="20"/>
                <w:color w:val="auto"/>
              </w:rPr>
            </w:pPr>
            <w:r>
              <w:rPr>
                <w:rFonts w:ascii="Arial" w:cs="Arial" w:eastAsia="Arial" w:hAnsi="Arial"/>
                <w:sz w:val="11"/>
                <w:szCs w:val="11"/>
                <w:b w:val="1"/>
                <w:bCs w:val="1"/>
                <w:color w:val="auto"/>
              </w:rPr>
              <w:t>Type of Investment (4)(7)(9)(10)</w:t>
            </w: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Investments (6)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740" w:type="dxa"/>
            <w:vAlign w:val="bottom"/>
            <w:tcBorders>
              <w:top w:val="single" w:sz="8" w:color="auto"/>
            </w:tcBorders>
            <w:gridSpan w:val="2"/>
            <w:shd w:val="clear" w:color="auto" w:fill="CCEEFF"/>
          </w:tcPr>
          <w:p>
            <w:pPr>
              <w:spacing w:after="0" w:line="105" w:lineRule="exact"/>
              <w:rPr>
                <w:sz w:val="20"/>
                <w:szCs w:val="20"/>
                <w:color w:val="auto"/>
              </w:rPr>
            </w:pPr>
            <w:r>
              <w:rPr>
                <w:rFonts w:ascii="Arial" w:cs="Arial" w:eastAsia="Arial" w:hAnsi="Arial"/>
                <w:sz w:val="11"/>
                <w:szCs w:val="11"/>
                <w:color w:val="auto"/>
                <w:w w:val="91"/>
              </w:rPr>
              <w:t>Term Loan (8.90% cash (Libor + 7.00%; Floor 8.90%), 5.00%</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1,000</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987</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987</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9/1/24)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987</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987</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3"/>
          </w:tcPr>
          <w:p>
            <w:pPr>
              <w:spacing w:after="0"/>
              <w:rPr>
                <w:sz w:val="20"/>
                <w:szCs w:val="20"/>
                <w:color w:val="auto"/>
              </w:rPr>
            </w:pPr>
            <w:r>
              <w:rPr>
                <w:rFonts w:ascii="Arial" w:cs="Arial" w:eastAsia="Arial" w:hAnsi="Arial"/>
                <w:sz w:val="11"/>
                <w:szCs w:val="11"/>
                <w:color w:val="auto"/>
              </w:rPr>
              <w:t>ETP, Due 9/1/24)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Ceribell,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(8.25% cash (Libor + 6.70%; Floor 8.25%), 5.50%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4,871</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4,871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10/1/24)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w w:val="95"/>
              </w:rPr>
              <w:t>Term Loan (8.25% cash (Libor + 6.70%; Floor 8.25%), 5.50%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3"/>
          </w:tcPr>
          <w:p>
            <w:pPr>
              <w:spacing w:after="0"/>
              <w:rPr>
                <w:sz w:val="20"/>
                <w:szCs w:val="20"/>
                <w:color w:val="auto"/>
              </w:rPr>
            </w:pPr>
            <w:r>
              <w:rPr>
                <w:rFonts w:ascii="Arial" w:cs="Arial" w:eastAsia="Arial" w:hAnsi="Arial"/>
                <w:sz w:val="11"/>
                <w:szCs w:val="11"/>
                <w:color w:val="auto"/>
              </w:rPr>
              <w:t>ETP, Due 10/1/24)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Conventus Orthopaedics,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(9.25% cash (Libor + 8.00%; Floor 9.25%), 8.33%</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5,311</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5,242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5,242</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w w:val="95"/>
              </w:rPr>
              <w:t>Term Loan (9.25% cash (Libor + 8.00%; Floor 9.25%), 8.33%</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5,311</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5,242</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5,242</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3"/>
          </w:tcPr>
          <w:p>
            <w:pPr>
              <w:spacing w:after="0"/>
              <w:rPr>
                <w:sz w:val="20"/>
                <w:szCs w:val="20"/>
                <w:color w:val="auto"/>
              </w:rPr>
            </w:pPr>
            <w:r>
              <w:rPr>
                <w:rFonts w:ascii="Arial" w:cs="Arial" w:eastAsia="Arial" w:hAnsi="Arial"/>
                <w:sz w:val="11"/>
                <w:szCs w:val="11"/>
                <w:color w:val="auto"/>
              </w:rPr>
              <w:t>ETP, Due 1/1/24)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CSA Medical,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3,750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3,697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3,697</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5.00%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247</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247</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5.00%</w:t>
            </w:r>
          </w:p>
        </w:tc>
        <w:tc>
          <w:tcPr>
            <w:tcW w:w="2580" w:type="dxa"/>
            <w:vAlign w:val="bottom"/>
            <w:gridSpan w:val="2"/>
          </w:tcPr>
          <w:p>
            <w:pPr>
              <w:ind w:left="20"/>
              <w:spacing w:after="0"/>
              <w:rPr>
                <w:sz w:val="20"/>
                <w:szCs w:val="20"/>
                <w:color w:val="auto"/>
              </w:rPr>
            </w:pPr>
            <w:r>
              <w:rPr>
                <w:rFonts w:ascii="Arial" w:cs="Arial" w:eastAsia="Arial" w:hAnsi="Arial"/>
                <w:sz w:val="11"/>
                <w:szCs w:val="11"/>
                <w:color w:val="auto"/>
              </w:rPr>
              <w:t>ETP, Due 1/1/24)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3,948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3,948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5.00%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3/1/24)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CVRx,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4,941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4,941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3.50%</w:t>
            </w:r>
          </w:p>
        </w:tc>
        <w:tc>
          <w:tcPr>
            <w:tcW w:w="2580" w:type="dxa"/>
            <w:vAlign w:val="bottom"/>
            <w:gridSpan w:val="2"/>
          </w:tcPr>
          <w:p>
            <w:pPr>
              <w:ind w:left="20"/>
              <w:spacing w:after="0"/>
              <w:rPr>
                <w:sz w:val="20"/>
                <w:szCs w:val="20"/>
                <w:color w:val="auto"/>
              </w:rPr>
            </w:pPr>
            <w:r>
              <w:rPr>
                <w:rFonts w:ascii="Arial" w:cs="Arial" w:eastAsia="Arial" w:hAnsi="Arial"/>
                <w:sz w:val="11"/>
                <w:szCs w:val="11"/>
                <w:color w:val="auto"/>
              </w:rPr>
              <w:t>ETP, Due 10/1/24)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4,941</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3.50%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10/1/24)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4,941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4,941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3.50%</w:t>
            </w:r>
          </w:p>
        </w:tc>
        <w:tc>
          <w:tcPr>
            <w:tcW w:w="2580" w:type="dxa"/>
            <w:vAlign w:val="bottom"/>
            <w:gridSpan w:val="2"/>
          </w:tcPr>
          <w:p>
            <w:pPr>
              <w:ind w:left="20"/>
              <w:spacing w:after="0"/>
              <w:rPr>
                <w:sz w:val="20"/>
                <w:szCs w:val="20"/>
                <w:color w:val="auto"/>
              </w:rPr>
            </w:pPr>
            <w:r>
              <w:rPr>
                <w:rFonts w:ascii="Arial" w:cs="Arial" w:eastAsia="Arial" w:hAnsi="Arial"/>
                <w:sz w:val="11"/>
                <w:szCs w:val="11"/>
                <w:color w:val="auto"/>
              </w:rPr>
              <w:t>ETP, Due 10/1/24)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4,941</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3.50%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10/1/24)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Lantos Technologies, Inc. (2)(12)(14)</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(10.00% cash (Libor + 8.43%; Floor 10.00%),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3,042</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2,823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1,900</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3"/>
          </w:tcPr>
          <w:p>
            <w:pPr>
              <w:spacing w:after="0"/>
              <w:rPr>
                <w:sz w:val="20"/>
                <w:szCs w:val="20"/>
                <w:color w:val="auto"/>
              </w:rPr>
            </w:pPr>
            <w:r>
              <w:rPr>
                <w:rFonts w:ascii="Arial" w:cs="Arial" w:eastAsia="Arial" w:hAnsi="Arial"/>
                <w:sz w:val="11"/>
                <w:szCs w:val="11"/>
                <w:color w:val="auto"/>
              </w:rPr>
              <w:t>10.00% ETP, Due 9/1/21)</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MacuLogix,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7,500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7,370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7,121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4.00%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10/1/23)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4,050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3,865</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4.00%</w:t>
            </w:r>
          </w:p>
        </w:tc>
        <w:tc>
          <w:tcPr>
            <w:tcW w:w="2580" w:type="dxa"/>
            <w:vAlign w:val="bottom"/>
            <w:gridSpan w:val="2"/>
          </w:tcPr>
          <w:p>
            <w:pPr>
              <w:ind w:left="20"/>
              <w:spacing w:after="0"/>
              <w:rPr>
                <w:sz w:val="20"/>
                <w:szCs w:val="20"/>
                <w:color w:val="auto"/>
              </w:rPr>
            </w:pPr>
            <w:r>
              <w:rPr>
                <w:rFonts w:ascii="Arial" w:cs="Arial" w:eastAsia="Arial" w:hAnsi="Arial"/>
                <w:sz w:val="11"/>
                <w:szCs w:val="11"/>
                <w:color w:val="auto"/>
              </w:rPr>
              <w:t>ETP, Due 10/1/23)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Magnolia Medical Technologies,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4"/>
              </w:rPr>
              <w:t>Term Loan (9.75% cash (Prime + 5.00%; Floor 9.75%), 4.00%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4,859</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3/1/25)</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w w:val="94"/>
              </w:rPr>
              <w:t>Term Loan (9.75% cash (Prime + 5.00%; Floor 9.75%), 4.00%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4,930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4,930</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3"/>
          </w:tcPr>
          <w:p>
            <w:pPr>
              <w:spacing w:after="0"/>
              <w:rPr>
                <w:sz w:val="20"/>
                <w:szCs w:val="20"/>
                <w:color w:val="auto"/>
              </w:rPr>
            </w:pPr>
            <w:r>
              <w:rPr>
                <w:rFonts w:ascii="Arial" w:cs="Arial" w:eastAsia="Arial" w:hAnsi="Arial"/>
                <w:sz w:val="11"/>
                <w:szCs w:val="11"/>
                <w:color w:val="auto"/>
              </w:rPr>
              <w:t>ETP, Due 3/1/25)</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VERO Biotech LLC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(9.25% cash (Libor + 8.00%; Floor 9.25%), 5.00%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3,167</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3,142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3,142</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1/1/22)</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w w:val="95"/>
              </w:rPr>
              <w:t>Term Loan (9.25% cash (Libor + 8.00%; Floor 9.25%), 5.00%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3,167</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3,142</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3,142</w:t>
            </w:r>
          </w:p>
        </w:tc>
      </w:tr>
      <w:tr>
        <w:trPr>
          <w:trHeight w:val="131"/>
        </w:trPr>
        <w:tc>
          <w:tcPr>
            <w:tcW w:w="24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ETP, Due 1/1/22)</w:t>
            </w:r>
          </w:p>
        </w:tc>
        <w:tc>
          <w:tcPr>
            <w:tcW w:w="6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5"/>
        </w:trPr>
        <w:tc>
          <w:tcPr>
            <w:tcW w:w="258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Debt Investments — Life Science</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185,733</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177,952</w:t>
            </w:r>
          </w:p>
        </w:tc>
      </w:tr>
      <w:tr>
        <w:trPr>
          <w:trHeight w:val="115"/>
        </w:trPr>
        <w:tc>
          <w:tcPr>
            <w:tcW w:w="3660" w:type="dxa"/>
            <w:vAlign w:val="bottom"/>
            <w:gridSpan w:val="4"/>
          </w:tcPr>
          <w:p>
            <w:pPr>
              <w:ind w:left="20"/>
              <w:spacing w:after="0" w:line="115" w:lineRule="exact"/>
              <w:rPr>
                <w:sz w:val="20"/>
                <w:szCs w:val="20"/>
                <w:color w:val="auto"/>
              </w:rPr>
            </w:pPr>
            <w:r>
              <w:rPr>
                <w:rFonts w:ascii="Arial" w:cs="Arial" w:eastAsia="Arial" w:hAnsi="Arial"/>
                <w:sz w:val="11"/>
                <w:szCs w:val="11"/>
                <w:b w:val="1"/>
                <w:bCs w:val="1"/>
                <w:color w:val="auto"/>
              </w:rPr>
              <w:t>Non-Affiliate Debt Investments — Technology — 71.9% (8)</w:t>
            </w:r>
          </w:p>
        </w:tc>
        <w:tc>
          <w:tcPr>
            <w:tcW w:w="30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4,159</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4,159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5.75% ETP, Due 9/1/23)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4,191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4,192</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5.75%</w:t>
            </w:r>
          </w:p>
        </w:tc>
        <w:tc>
          <w:tcPr>
            <w:tcW w:w="2580" w:type="dxa"/>
            <w:vAlign w:val="bottom"/>
            <w:gridSpan w:val="2"/>
          </w:tcPr>
          <w:p>
            <w:pPr>
              <w:ind w:left="20"/>
              <w:spacing w:after="0"/>
              <w:rPr>
                <w:sz w:val="20"/>
                <w:szCs w:val="20"/>
                <w:color w:val="auto"/>
              </w:rPr>
            </w:pPr>
            <w:r>
              <w:rPr>
                <w:rFonts w:ascii="Arial" w:cs="Arial" w:eastAsia="Arial" w:hAnsi="Arial"/>
                <w:sz w:val="11"/>
                <w:szCs w:val="11"/>
                <w:color w:val="auto"/>
              </w:rPr>
              <w:t>ETP, Due 9/1/23)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1,125</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1,092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1,092</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5.75%</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9/1/23)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Mohawk Group Holdings, Inc. (2)(5)(12)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4,928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4,928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3"/>
          </w:tcPr>
          <w:p>
            <w:pPr>
              <w:spacing w:after="0"/>
              <w:rPr>
                <w:sz w:val="20"/>
                <w:szCs w:val="20"/>
                <w:color w:val="auto"/>
              </w:rPr>
            </w:pPr>
            <w:r>
              <w:rPr>
                <w:rFonts w:ascii="Arial" w:cs="Arial" w:eastAsia="Arial" w:hAnsi="Arial"/>
                <w:sz w:val="11"/>
                <w:szCs w:val="11"/>
                <w:color w:val="auto"/>
              </w:rPr>
              <w:t>ETP, Due 1/1/23)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4,928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4,928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3"/>
          </w:tcPr>
          <w:p>
            <w:pPr>
              <w:spacing w:after="0"/>
              <w:rPr>
                <w:sz w:val="20"/>
                <w:szCs w:val="20"/>
                <w:color w:val="auto"/>
              </w:rPr>
            </w:pPr>
            <w:r>
              <w:rPr>
                <w:rFonts w:ascii="Arial" w:cs="Arial" w:eastAsia="Arial" w:hAnsi="Arial"/>
                <w:sz w:val="11"/>
                <w:szCs w:val="11"/>
                <w:color w:val="auto"/>
              </w:rPr>
              <w:t>ETP, Due 1/1/23)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4,672</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Ceiling 14.00%),0.56% ETP, Due 12/20/24)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4,942</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4,672</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3"/>
          </w:tcPr>
          <w:p>
            <w:pPr>
              <w:spacing w:after="0"/>
              <w:rPr>
                <w:sz w:val="20"/>
                <w:szCs w:val="20"/>
                <w:color w:val="auto"/>
              </w:rPr>
            </w:pPr>
            <w:r>
              <w:rPr>
                <w:rFonts w:ascii="Arial" w:cs="Arial" w:eastAsia="Arial" w:hAnsi="Arial"/>
                <w:sz w:val="11"/>
                <w:szCs w:val="11"/>
                <w:color w:val="auto"/>
              </w:rPr>
              <w:t>Ceiling 14.00%), 0.56% ETP, Due 12/20/24)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9,883</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9,345</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Ceiling 14.00%), 0.56% ETP, Due 12/20/24)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Canara,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4,891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4,891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1.00%</w:t>
            </w:r>
          </w:p>
        </w:tc>
        <w:tc>
          <w:tcPr>
            <w:tcW w:w="2580" w:type="dxa"/>
            <w:vAlign w:val="bottom"/>
            <w:gridSpan w:val="2"/>
          </w:tcPr>
          <w:p>
            <w:pPr>
              <w:ind w:left="20"/>
              <w:spacing w:after="0"/>
              <w:rPr>
                <w:sz w:val="20"/>
                <w:szCs w:val="20"/>
                <w:color w:val="auto"/>
              </w:rPr>
            </w:pPr>
            <w:r>
              <w:rPr>
                <w:rFonts w:ascii="Arial" w:cs="Arial" w:eastAsia="Arial" w:hAnsi="Arial"/>
                <w:sz w:val="11"/>
                <w:szCs w:val="11"/>
                <w:color w:val="auto"/>
              </w:rPr>
              <w:t>ETP, Due 2/1/23)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4,890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4,890</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1.00%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2/1/23)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Kaminario,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4,948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4,948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580" w:type="dxa"/>
            <w:vAlign w:val="bottom"/>
            <w:gridSpan w:val="2"/>
          </w:tcPr>
          <w:p>
            <w:pPr>
              <w:ind w:left="20"/>
              <w:spacing w:after="0"/>
              <w:rPr>
                <w:sz w:val="20"/>
                <w:szCs w:val="20"/>
                <w:color w:val="auto"/>
              </w:rPr>
            </w:pPr>
            <w:r>
              <w:rPr>
                <w:rFonts w:ascii="Arial" w:cs="Arial" w:eastAsia="Arial" w:hAnsi="Arial"/>
                <w:sz w:val="11"/>
                <w:szCs w:val="11"/>
                <w:color w:val="auto"/>
              </w:rPr>
              <w:t>ETP, Due 1/1/23)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3.00%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4,863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4,863</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580" w:type="dxa"/>
            <w:vAlign w:val="bottom"/>
            <w:gridSpan w:val="2"/>
          </w:tcPr>
          <w:p>
            <w:pPr>
              <w:ind w:left="20"/>
              <w:spacing w:after="0"/>
              <w:rPr>
                <w:sz w:val="20"/>
                <w:szCs w:val="20"/>
                <w:color w:val="auto"/>
              </w:rPr>
            </w:pPr>
            <w:r>
              <w:rPr>
                <w:rFonts w:ascii="Arial" w:cs="Arial" w:eastAsia="Arial" w:hAnsi="Arial"/>
                <w:sz w:val="11"/>
                <w:szCs w:val="11"/>
                <w:color w:val="auto"/>
              </w:rPr>
              <w:t>ETP, Due 7/1/23)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IgnitionOne, Inc. (2)(12)(14)</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88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(10.39% cash (Libor + 10.23%; Floor 10.23%),</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1,873</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1,789</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1,789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5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4/1/22)</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3"/>
          </w:tcPr>
          <w:p>
            <w:pPr>
              <w:spacing w:after="0" w:line="112" w:lineRule="exact"/>
              <w:rPr>
                <w:sz w:val="20"/>
                <w:szCs w:val="20"/>
                <w:color w:val="auto"/>
              </w:rPr>
            </w:pPr>
            <w:r>
              <w:rPr>
                <w:rFonts w:ascii="Arial" w:cs="Arial" w:eastAsia="Arial" w:hAnsi="Arial"/>
                <w:sz w:val="11"/>
                <w:szCs w:val="11"/>
                <w:color w:val="auto"/>
              </w:rPr>
              <w:t>Term Loan (10.39% cash (Libor + 10.23%; Floor 10.23%),</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1,873</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r>
      <w:tr>
        <w:trPr>
          <w:trHeight w:val="136"/>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580" w:type="dxa"/>
            <w:vAlign w:val="bottom"/>
            <w:gridSpan w:val="2"/>
          </w:tcPr>
          <w:p>
            <w:pPr>
              <w:ind w:left="20"/>
              <w:spacing w:after="0"/>
              <w:rPr>
                <w:sz w:val="20"/>
                <w:szCs w:val="20"/>
                <w:color w:val="auto"/>
              </w:rPr>
            </w:pPr>
            <w:r>
              <w:rPr>
                <w:rFonts w:ascii="Arial" w:cs="Arial" w:eastAsia="Arial" w:hAnsi="Arial"/>
                <w:sz w:val="11"/>
                <w:szCs w:val="11"/>
                <w:color w:val="auto"/>
              </w:rPr>
              <w:t>ETP, Due 4/1/22)</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Sector</w:t>
            </w:r>
          </w:p>
        </w:tc>
        <w:tc>
          <w:tcPr>
            <w:tcW w:w="2860" w:type="dxa"/>
            <w:vAlign w:val="bottom"/>
            <w:gridSpan w:val="2"/>
          </w:tcPr>
          <w:p>
            <w:pPr>
              <w:ind w:left="620"/>
              <w:spacing w:after="0"/>
              <w:rPr>
                <w:sz w:val="20"/>
                <w:szCs w:val="20"/>
                <w:color w:val="auto"/>
              </w:rPr>
            </w:pPr>
            <w:r>
              <w:rPr>
                <w:rFonts w:ascii="Arial" w:cs="Arial" w:eastAsia="Arial" w:hAnsi="Arial"/>
                <w:sz w:val="11"/>
                <w:szCs w:val="11"/>
                <w:b w:val="1"/>
                <w:bCs w:val="1"/>
                <w:color w:val="auto"/>
              </w:rPr>
              <w:t>Type of Investment (4)(7)(9)(10)</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72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5"/>
              </w:rPr>
              <w:t>Term Loan (10.39% cash (Libor + 10.23%; Floor 10.23%),</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1,984</w:t>
            </w: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1,706</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1,706</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2.00% ETP, Due 4/1/22)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(10.39% cash (Libor + 10.23%; Floor 10.23%),</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1,873</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2.00% ETP, Due 4/1/22)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5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Skillshare, Inc.(2)(12)</w:t>
            </w:r>
          </w:p>
        </w:tc>
        <w:tc>
          <w:tcPr>
            <w:tcW w:w="11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(9.50% cash (Libor + 7.50%; Floor 9.50%),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2,752</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2,752</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1/1/25)</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(9.50% cash (Libor + 7.50%; Floor 9.50%),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2,951</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2,951</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ETP, Due 1/1/25)</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(9.50% cash (Libor + 7.50%; Floor 9.50%),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2,951</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2,951</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1/1/25)</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5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The NanoSteel Company, Inc. (2)(12)</w:t>
            </w:r>
          </w:p>
        </w:tc>
        <w:tc>
          <w:tcPr>
            <w:tcW w:w="1100" w:type="dxa"/>
            <w:vAlign w:val="bottom"/>
            <w:gridSpan w:val="2"/>
          </w:tcPr>
          <w:p>
            <w:pPr>
              <w:spacing w:after="0" w:line="112" w:lineRule="exact"/>
              <w:rPr>
                <w:sz w:val="20"/>
                <w:szCs w:val="20"/>
                <w:color w:val="auto"/>
              </w:rPr>
            </w:pPr>
            <w:r>
              <w:rPr>
                <w:rFonts w:ascii="Arial" w:cs="Arial" w:eastAsia="Arial" w:hAnsi="Arial"/>
                <w:sz w:val="11"/>
                <w:szCs w:val="11"/>
                <w:color w:val="auto"/>
              </w:rPr>
              <w:t>Materials</w:t>
            </w: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4,203</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4,188</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14.88% ETP, Due 6/1/22)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4,203</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4,188</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14.88% ETP, Due 6/1/22)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5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Keypath Education, LLC (2)(12)</w:t>
            </w:r>
          </w:p>
        </w:tc>
        <w:tc>
          <w:tcPr>
            <w:tcW w:w="11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3,574</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3,574</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2.50% ETP, Due 10/1/24)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3,750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3,677</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3,677</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2.50% ETP, Due 10/1/24)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2,451</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2,451</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2.50% ETP, Due 10/1/24)</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5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New Signature US, Inc. (2)(12)(13)</w:t>
            </w:r>
          </w:p>
        </w:tc>
        <w:tc>
          <w:tcPr>
            <w:tcW w:w="11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8,250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8,331</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8,195</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7/1/22)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2,750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2,727</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2,727</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3.50% ETP, Due 7/1/22)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3,024</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2,974</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2/1/23)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989</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989</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3.50% ETP, Due 2/1/23)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5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OutboundEngine, Inc. (2)(12)</w:t>
            </w:r>
          </w:p>
        </w:tc>
        <w:tc>
          <w:tcPr>
            <w:tcW w:w="11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3,939</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3,939</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3.00% ETP, Due 7/1/23)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3,500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3,447</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3,447</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3.00% ETP, Due 7/1/23)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503</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3.00% ETP, Due 7/1/23)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5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Revinate, Inc. (2)(12)</w:t>
            </w:r>
          </w:p>
        </w:tc>
        <w:tc>
          <w:tcPr>
            <w:tcW w:w="11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(9.50% cash (Libor + 7.00%; Floor 9.50%),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4,029</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3,962</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ETP, Due 11/1/23)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(9.50% cash (Libor + 7.00%; Floor 9.50%),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929</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929</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(9.50% cash (Libor + 7.00%; Floor 9.50%),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4,937</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4,937</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ETP, Due 11/1/23)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5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xAd, Inc. (2)(12)</w:t>
            </w:r>
          </w:p>
        </w:tc>
        <w:tc>
          <w:tcPr>
            <w:tcW w:w="11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3,646</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3,601</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3,601</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 ETP, Due 1/1/22)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3,646</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3,601</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3,601</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5.0% ETP, Due 1/1/22)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2,188</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2,161</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2,161</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 ETP, Due 1/1/22)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1,458</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1,441</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1,441</w:t>
            </w:r>
          </w:p>
        </w:tc>
      </w:tr>
      <w:tr>
        <w:trPr>
          <w:trHeight w:val="131"/>
        </w:trPr>
        <w:tc>
          <w:tcPr>
            <w:tcW w:w="24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5.0% ETP, Due 1/1/22)</w:t>
            </w:r>
          </w:p>
        </w:tc>
        <w:tc>
          <w:tcPr>
            <w:tcW w:w="6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115"/>
        </w:trPr>
        <w:tc>
          <w:tcPr>
            <w:tcW w:w="256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Debt Investments — Technology</w:t>
            </w: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146,027</w:t>
            </w:r>
          </w:p>
        </w:tc>
        <w:tc>
          <w:tcPr>
            <w:tcW w:w="16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144,658</w:t>
            </w:r>
          </w:p>
        </w:tc>
      </w:tr>
      <w:tr>
        <w:trPr>
          <w:trHeight w:val="115"/>
        </w:trPr>
        <w:tc>
          <w:tcPr>
            <w:tcW w:w="6520" w:type="dxa"/>
            <w:vAlign w:val="bottom"/>
            <w:gridSpan w:val="6"/>
          </w:tcPr>
          <w:p>
            <w:pPr>
              <w:ind w:left="20"/>
              <w:spacing w:after="0" w:line="115" w:lineRule="exact"/>
              <w:rPr>
                <w:sz w:val="20"/>
                <w:szCs w:val="20"/>
                <w:color w:val="auto"/>
              </w:rPr>
            </w:pPr>
            <w:r>
              <w:rPr>
                <w:rFonts w:ascii="Arial" w:cs="Arial" w:eastAsia="Arial" w:hAnsi="Arial"/>
                <w:sz w:val="11"/>
                <w:szCs w:val="11"/>
                <w:b w:val="1"/>
                <w:bCs w:val="1"/>
                <w:color w:val="auto"/>
              </w:rPr>
              <w:t>Non-Affiliate Debt Investments — Healthcare information and services — 7.3% (8)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12"/>
        </w:trPr>
        <w:tc>
          <w:tcPr>
            <w:tcW w:w="25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Kate Farms, Inc. (2)(12)</w:t>
            </w:r>
          </w:p>
        </w:tc>
        <w:tc>
          <w:tcPr>
            <w:tcW w:w="11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Other Healthcare</w:t>
            </w: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(9.75% cash (Libor + 7.45%; Floor 9.75%),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4,930</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4,930</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(9.75% cash (Libor + 7.45%; Floor 9.75%),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4,930</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4,930</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ETP, Due 10/1/23)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(9.75% cash (Libor + 7.45%; Floor 9.75%),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2,460</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2,460</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(9.75% cash (Libor + 7.45%; Floor 9.75%),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2,460</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2,460</w:t>
            </w:r>
          </w:p>
        </w:tc>
      </w:tr>
      <w:tr>
        <w:trPr>
          <w:trHeight w:val="131"/>
        </w:trPr>
        <w:tc>
          <w:tcPr>
            <w:tcW w:w="24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10/1/23)</w:t>
            </w:r>
          </w:p>
        </w:tc>
        <w:tc>
          <w:tcPr>
            <w:tcW w:w="6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115"/>
        </w:trPr>
        <w:tc>
          <w:tcPr>
            <w:tcW w:w="366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w w:val="98"/>
              </w:rPr>
              <w:t>Total Non-Affiliate Debt Investments — Healthcare information and services</w:t>
            </w:r>
          </w:p>
        </w:tc>
        <w:tc>
          <w:tcPr>
            <w:tcW w:w="2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14,780</w:t>
            </w:r>
          </w:p>
        </w:tc>
        <w:tc>
          <w:tcPr>
            <w:tcW w:w="16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14,780</w:t>
            </w:r>
          </w:p>
        </w:tc>
      </w:tr>
      <w:tr>
        <w:trPr>
          <w:trHeight w:val="115"/>
        </w:trPr>
        <w:tc>
          <w:tcPr>
            <w:tcW w:w="256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 Affiliate Debt Investments</w:t>
            </w:r>
          </w:p>
        </w:tc>
        <w:tc>
          <w:tcPr>
            <w:tcW w:w="9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346,540</w:t>
            </w:r>
          </w:p>
        </w:tc>
        <w:tc>
          <w:tcPr>
            <w:tcW w:w="1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337,390</w:t>
            </w:r>
          </w:p>
        </w:tc>
      </w:tr>
      <w:tr>
        <w:trPr>
          <w:trHeight w:val="115"/>
        </w:trPr>
        <w:tc>
          <w:tcPr>
            <w:tcW w:w="256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Warrant Investments — 5.2% (8)</w:t>
            </w: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8"/>
              </w:rPr>
              <w:t>Non-Affiliate Warrants — Life Science — 0.8% (8)</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Alpine Immune Sciences, Inc. (5)(12)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4,632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Castle Creek Pharmaceuticals,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2,428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144</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142</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Celsion Corporation (2)(5)(12)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142,568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174</w:t>
            </w: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Corvium,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661,956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53</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Emalex Biosciences, Inc. (2)(12)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73,602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w:t>
            </w: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Encore Dermatology,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1,511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113</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Espero BioPharma, Inc. (2)(12)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1,507,917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183</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LogicBio, Inc. (2)(5)(12)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7,843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Mustang Bio, Inc. (2)(5)(12)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252,161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146</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w:t>
            </w: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Rocket Pharmaceuticals Corporation (5)(12)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7,051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Palatin Technologies, Inc. (2)(5)(12)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274,725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Provivi,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123,457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147</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147</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Strongbridge U.S. Inc. (2)(5)(12)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160,714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220</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Sector</w:t>
            </w:r>
          </w:p>
        </w:tc>
        <w:tc>
          <w:tcPr>
            <w:tcW w:w="370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Investments (6)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242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Sunesis Pharmaceuticals, Inc. (5)(12)</w:t>
            </w:r>
          </w:p>
        </w:tc>
        <w:tc>
          <w:tcPr>
            <w:tcW w:w="1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Biotechnology</w:t>
            </w:r>
          </w:p>
        </w:tc>
        <w:tc>
          <w:tcPr>
            <w:tcW w:w="14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2,050 Common Stock Warrants</w:t>
            </w:r>
          </w:p>
        </w:tc>
        <w:tc>
          <w:tcPr>
            <w:tcW w:w="9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vTv Therapeutics Inc. (2)(5)(12)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95,293 Common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Titan Pharmaceuticals, Inc. (2)(5)(12)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Drug Delivery</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373,333 Common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AccuVein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1,174,881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Aerin Medical,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1,818,183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Bardy Diagnostics,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346,154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56</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55</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Ceribell,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117,521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Conventus Orthopaedics,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6,313,826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149</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CSA Medical,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1,375,727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115</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CVRx, Inc.(2)(12)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750,000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76</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Lantos Technologies,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560,832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MacuLogix,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454,460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238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92</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Magnolia Medical Technologies,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283,772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Meditrina,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221,510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78</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VERO Biotech LLC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408 Common Stock Warrants</w:t>
            </w: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53</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49</w:t>
            </w:r>
          </w:p>
        </w:tc>
      </w:tr>
      <w:tr>
        <w:trPr>
          <w:trHeight w:val="115"/>
        </w:trPr>
        <w:tc>
          <w:tcPr>
            <w:tcW w:w="258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Warrants — Life Science</w:t>
            </w:r>
          </w:p>
        </w:tc>
        <w:tc>
          <w:tcPr>
            <w:tcW w:w="9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2,604</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1,658</w:t>
            </w:r>
          </w:p>
        </w:tc>
      </w:tr>
      <w:tr>
        <w:trPr>
          <w:trHeight w:val="115"/>
        </w:trPr>
        <w:tc>
          <w:tcPr>
            <w:tcW w:w="258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Warrants — Technology — 3.9% (8)</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Intelepeer Holdings,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Communications</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3,078,084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177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104</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PebblePost,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Communications</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598,850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142</w:t>
            </w: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tcPr>
          <w:p>
            <w:pPr>
              <w:spacing w:after="0" w:line="112" w:lineRule="exact"/>
              <w:rPr>
                <w:sz w:val="20"/>
                <w:szCs w:val="20"/>
                <w:color w:val="auto"/>
              </w:rPr>
            </w:pPr>
            <w:r>
              <w:rPr>
                <w:rFonts w:ascii="Arial" w:cs="Arial" w:eastAsia="Arial" w:hAnsi="Arial"/>
                <w:sz w:val="11"/>
                <w:szCs w:val="11"/>
                <w:color w:val="auto"/>
              </w:rPr>
              <w:t>261,198 Preferred Stock Warrants</w:t>
            </w: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106</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97</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Caastle,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268,591 Preferred Stock Warrants</w:t>
            </w: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821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Le Tote,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tcPr>
          <w:p>
            <w:pPr>
              <w:spacing w:after="0" w:line="112" w:lineRule="exact"/>
              <w:rPr>
                <w:sz w:val="20"/>
                <w:szCs w:val="20"/>
                <w:color w:val="auto"/>
              </w:rPr>
            </w:pPr>
            <w:r>
              <w:rPr>
                <w:rFonts w:ascii="Arial" w:cs="Arial" w:eastAsia="Arial" w:hAnsi="Arial"/>
                <w:sz w:val="11"/>
                <w:szCs w:val="11"/>
                <w:color w:val="auto"/>
              </w:rPr>
              <w:t>202,974 Preferred Stock Warrants</w:t>
            </w: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345</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Mohawk Group Holdings, Inc. (2)(5)(12)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76,923 Common Stock Warrants</w:t>
            </w: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195</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Rhapsody International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tcPr>
          <w:p>
            <w:pPr>
              <w:spacing w:after="0" w:line="112" w:lineRule="exact"/>
              <w:rPr>
                <w:sz w:val="20"/>
                <w:szCs w:val="20"/>
                <w:color w:val="auto"/>
              </w:rPr>
            </w:pPr>
            <w:r>
              <w:rPr>
                <w:rFonts w:ascii="Arial" w:cs="Arial" w:eastAsia="Arial" w:hAnsi="Arial"/>
                <w:sz w:val="11"/>
                <w:szCs w:val="11"/>
                <w:color w:val="auto"/>
              </w:rPr>
              <w:t>852,273 Common Stock Warrants</w:t>
            </w: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164</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108,333 Common Stock Warrants</w:t>
            </w: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35</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Canara,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Data Storage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500,000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242</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417</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Silk,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Data Storage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26,816,363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216</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Global Worldwide LLC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245,810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Rocket Lawyer Incorporated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261,721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Skillshare,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138,653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162</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2,555</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The NanoSteel Company,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Materials</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818,807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Kinestral,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Power Management</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5,002,574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1,585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1,315</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Avalanche Technology,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Semiconductors</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202,602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167</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Soraa,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Semiconductors</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203,616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80</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BSI Platform Holdings, LLC (2)(12)(13)</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468,750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544</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Education Elements,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238,121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22</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Keypath Education, Inc.(2)(12)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900,000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Lotame Solutions,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288,115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22</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268</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OutboundEngine,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620,000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Revinate,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615,475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42</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Riv Data Corp.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321,428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291</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ShopKeep.com,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193,962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105</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SIGNiX, Inc. (12)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133,560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225</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Skyword, Inc. (12)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301,055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Weblinc Corporation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195,122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8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xAd, Inc. (2)(12)</w:t>
            </w:r>
          </w:p>
        </w:tc>
        <w:tc>
          <w:tcPr>
            <w:tcW w:w="108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4,343,348 Preferred Stock Warrants</w:t>
            </w: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177</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58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Technology</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4,712</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7,890</w:t>
            </w:r>
          </w:p>
        </w:tc>
      </w:tr>
      <w:tr>
        <w:trPr>
          <w:trHeight w:val="115"/>
        </w:trPr>
        <w:tc>
          <w:tcPr>
            <w:tcW w:w="258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6"/>
              </w:rPr>
              <w:t>Non-Affiliate Warrants — Sustainability — 0.0% (8)</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Tigo Energy,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Energy Efficiency</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804,604 Preferred Stock Warrants</w:t>
            </w: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58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Warrants — Sustainability</w:t>
            </w:r>
          </w:p>
        </w:tc>
        <w:tc>
          <w:tcPr>
            <w:tcW w:w="9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66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4"/>
              </w:rPr>
              <w:t>Non-Affiliate Warrants — Healthcare information and services — 0.5% (8)</w:t>
            </w: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ProterixBio,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Diagnostics</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2,676 Common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Kate Farms,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Healthcare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82,965 Preferred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91</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Watermark Medical,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Other Healthcare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27,373 Preferred Stock Warrants</w:t>
            </w: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Ontrak, Inc. (2)(5)(12)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51,185 Common Stock Warrants</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681</w:t>
            </w:r>
          </w:p>
        </w:tc>
      </w:tr>
      <w:tr>
        <w:trPr>
          <w:trHeight w:val="122"/>
        </w:trPr>
        <w:tc>
          <w:tcPr>
            <w:tcW w:w="258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Medsphere Systems Corporation (2)(12)</w:t>
            </w:r>
          </w:p>
        </w:tc>
        <w:tc>
          <w:tcPr>
            <w:tcW w:w="108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7,097,792 Preferred Stock Warrants</w:t>
            </w: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60</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188</w:t>
            </w:r>
          </w:p>
        </w:tc>
      </w:tr>
      <w:tr>
        <w:trPr>
          <w:trHeight w:val="115"/>
        </w:trPr>
        <w:tc>
          <w:tcPr>
            <w:tcW w:w="366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Healthcare information and services</w:t>
            </w: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470</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960</w:t>
            </w:r>
          </w:p>
        </w:tc>
      </w:tr>
      <w:tr>
        <w:trPr>
          <w:trHeight w:val="115"/>
        </w:trPr>
        <w:tc>
          <w:tcPr>
            <w:tcW w:w="258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Warrants</w:t>
            </w:r>
          </w:p>
        </w:tc>
        <w:tc>
          <w:tcPr>
            <w:tcW w:w="9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7,886</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10,508</w:t>
            </w:r>
          </w:p>
        </w:tc>
      </w:tr>
      <w:tr>
        <w:trPr>
          <w:trHeight w:val="115"/>
        </w:trPr>
        <w:tc>
          <w:tcPr>
            <w:tcW w:w="2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Other Investments — 0.3% (8)</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ZetrOZ, Inc. (12)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Royalty Agreement</w:t>
            </w: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33</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500</w:t>
            </w:r>
          </w:p>
        </w:tc>
      </w:tr>
      <w:tr>
        <w:trPr>
          <w:trHeight w:val="115"/>
        </w:trPr>
        <w:tc>
          <w:tcPr>
            <w:tcW w:w="258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Other Investments</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33</w:t>
            </w:r>
          </w:p>
        </w:tc>
        <w:tc>
          <w:tcPr>
            <w:tcW w:w="16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500</w:t>
            </w: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Principal</w:t>
            </w:r>
          </w:p>
        </w:tc>
        <w:tc>
          <w:tcPr>
            <w:tcW w:w="120" w:type="dxa"/>
            <w:vAlign w:val="bottom"/>
          </w:tcPr>
          <w:p>
            <w:pPr>
              <w:spacing w:after="0"/>
              <w:rPr>
                <w:sz w:val="10"/>
                <w:szCs w:val="10"/>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 of</w:t>
            </w:r>
          </w:p>
        </w:tc>
        <w:tc>
          <w:tcPr>
            <w:tcW w:w="100" w:type="dxa"/>
            <w:vAlign w:val="bottom"/>
          </w:tcPr>
          <w:p>
            <w:pPr>
              <w:spacing w:after="0"/>
              <w:rPr>
                <w:sz w:val="10"/>
                <w:szCs w:val="10"/>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b w:val="1"/>
                <w:bCs w:val="1"/>
                <w:color w:val="auto"/>
              </w:rPr>
              <w:t>Fair</w:t>
            </w:r>
          </w:p>
        </w:tc>
      </w:tr>
      <w:tr>
        <w:trPr>
          <w:trHeight w:val="135"/>
        </w:trPr>
        <w:tc>
          <w:tcPr>
            <w:tcW w:w="3200" w:type="dxa"/>
            <w:vAlign w:val="bottom"/>
            <w:gridSpan w:val="3"/>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980" w:type="dxa"/>
            <w:vAlign w:val="bottom"/>
            <w:gridSpan w:val="2"/>
          </w:tcPr>
          <w:p>
            <w:pPr>
              <w:ind w:left="300"/>
              <w:spacing w:after="0"/>
              <w:rPr>
                <w:sz w:val="20"/>
                <w:szCs w:val="20"/>
                <w:color w:val="auto"/>
              </w:rPr>
            </w:pPr>
            <w:r>
              <w:rPr>
                <w:rFonts w:ascii="Arial" w:cs="Arial" w:eastAsia="Arial" w:hAnsi="Arial"/>
                <w:sz w:val="11"/>
                <w:szCs w:val="11"/>
                <w:b w:val="1"/>
                <w:bCs w:val="1"/>
                <w:color w:val="auto"/>
              </w:rPr>
              <w:t>Sector</w:t>
            </w:r>
          </w:p>
        </w:tc>
        <w:tc>
          <w:tcPr>
            <w:tcW w:w="2760" w:type="dxa"/>
            <w:vAlign w:val="bottom"/>
            <w:gridSpan w:val="2"/>
          </w:tcPr>
          <w:p>
            <w:pPr>
              <w:ind w:left="580"/>
              <w:spacing w:after="0"/>
              <w:rPr>
                <w:sz w:val="20"/>
                <w:szCs w:val="20"/>
                <w:color w:val="auto"/>
              </w:rPr>
            </w:pPr>
            <w:r>
              <w:rPr>
                <w:rFonts w:ascii="Arial" w:cs="Arial" w:eastAsia="Arial" w:hAnsi="Arial"/>
                <w:sz w:val="11"/>
                <w:szCs w:val="11"/>
                <w:b w:val="1"/>
                <w:bCs w:val="1"/>
                <w:color w:val="auto"/>
              </w:rPr>
              <w:t>Type of Investment (4)(7)(9)(10)</w:t>
            </w:r>
          </w:p>
        </w:tc>
        <w:tc>
          <w:tcPr>
            <w:tcW w:w="60" w:type="dxa"/>
            <w:vAlign w:val="bottom"/>
          </w:tcPr>
          <w:p>
            <w:pPr>
              <w:spacing w:after="0"/>
              <w:rPr>
                <w:sz w:val="11"/>
                <w:szCs w:val="11"/>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Amount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w w:val="99"/>
              </w:rPr>
              <w:t>Investments (6)</w:t>
            </w:r>
          </w:p>
        </w:tc>
        <w:tc>
          <w:tcPr>
            <w:tcW w:w="100" w:type="dxa"/>
            <w:vAlign w:val="bottom"/>
          </w:tcPr>
          <w:p>
            <w:pPr>
              <w:spacing w:after="0"/>
              <w:rPr>
                <w:sz w:val="11"/>
                <w:szCs w:val="11"/>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w w:val="95"/>
              </w:rPr>
              <w:t>Value</w:t>
            </w:r>
          </w:p>
        </w:tc>
      </w:tr>
      <w:tr>
        <w:trPr>
          <w:trHeight w:val="115"/>
        </w:trPr>
        <w:tc>
          <w:tcPr>
            <w:tcW w:w="3100" w:type="dxa"/>
            <w:vAlign w:val="bottom"/>
            <w:tcBorders>
              <w:top w:val="single" w:sz="8" w:color="auto"/>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Equity — 0.2% (8)</w:t>
            </w: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r>
      <w:tr>
        <w:trPr>
          <w:trHeight w:val="122"/>
        </w:trPr>
        <w:tc>
          <w:tcPr>
            <w:tcW w:w="320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Sunesis Pharmaceuticals, Inc. (5)</w:t>
            </w:r>
          </w:p>
        </w:tc>
        <w:tc>
          <w:tcPr>
            <w:tcW w:w="9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Biotechnology</w:t>
            </w:r>
          </w:p>
        </w:tc>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13,082 Common Stock</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r>
      <w:tr>
        <w:trPr>
          <w:trHeight w:val="112"/>
        </w:trPr>
        <w:tc>
          <w:tcPr>
            <w:tcW w:w="3200" w:type="dxa"/>
            <w:vAlign w:val="bottom"/>
            <w:gridSpan w:val="3"/>
            <w:shd w:val="clear" w:color="auto" w:fill="CCEEFF"/>
          </w:tcPr>
          <w:p>
            <w:pPr>
              <w:ind w:left="20"/>
              <w:spacing w:after="0" w:line="112" w:lineRule="exact"/>
              <w:rPr>
                <w:sz w:val="20"/>
                <w:szCs w:val="20"/>
                <w:color w:val="auto"/>
              </w:rPr>
            </w:pPr>
            <w:r>
              <w:rPr>
                <w:rFonts w:ascii="Arial" w:cs="Arial" w:eastAsia="Arial" w:hAnsi="Arial"/>
                <w:sz w:val="11"/>
                <w:szCs w:val="11"/>
                <w:color w:val="auto"/>
              </w:rPr>
              <w:t>SnagAJob.com, Inc. (12)</w:t>
            </w:r>
          </w:p>
        </w:tc>
        <w:tc>
          <w:tcPr>
            <w:tcW w:w="9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Consumer-related</w:t>
            </w:r>
          </w:p>
        </w:tc>
        <w:tc>
          <w:tcPr>
            <w:tcW w:w="27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82,974 Common Stock</w:t>
            </w: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83</w:t>
            </w:r>
          </w:p>
        </w:tc>
      </w:tr>
      <w:tr>
        <w:trPr>
          <w:trHeight w:val="131"/>
        </w:trPr>
        <w:tc>
          <w:tcPr>
            <w:tcW w:w="2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Technologies</w:t>
            </w:r>
          </w:p>
        </w:tc>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22"/>
        </w:trPr>
        <w:tc>
          <w:tcPr>
            <w:tcW w:w="3200" w:type="dxa"/>
            <w:vAlign w:val="bottom"/>
            <w:gridSpan w:val="3"/>
          </w:tcPr>
          <w:p>
            <w:pPr>
              <w:ind w:left="20"/>
              <w:spacing w:after="0" w:line="122" w:lineRule="exact"/>
              <w:rPr>
                <w:sz w:val="20"/>
                <w:szCs w:val="20"/>
                <w:color w:val="auto"/>
              </w:rPr>
            </w:pPr>
            <w:r>
              <w:rPr>
                <w:rFonts w:ascii="Arial" w:cs="Arial" w:eastAsia="Arial" w:hAnsi="Arial"/>
                <w:sz w:val="11"/>
                <w:szCs w:val="11"/>
                <w:color w:val="auto"/>
              </w:rPr>
              <w:t>Zeta Global Holdings Corp. (2)(12)</w:t>
            </w:r>
          </w:p>
        </w:tc>
        <w:tc>
          <w:tcPr>
            <w:tcW w:w="9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Internet and Media</w:t>
            </w:r>
          </w:p>
        </w:tc>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18,405 Common Stock</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r>
      <w:tr>
        <w:trPr>
          <w:trHeight w:val="122"/>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Formetrix, Inc. (2)(12)</w:t>
            </w:r>
          </w:p>
        </w:tc>
        <w:tc>
          <w:tcPr>
            <w:tcW w:w="9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Materials</w:t>
            </w:r>
          </w:p>
        </w:tc>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74,286 Common Stock</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r>
      <w:tr>
        <w:trPr>
          <w:trHeight w:val="122"/>
        </w:trPr>
        <w:tc>
          <w:tcPr>
            <w:tcW w:w="320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Clarabridge, Inc. (12)</w:t>
            </w:r>
          </w:p>
        </w:tc>
        <w:tc>
          <w:tcPr>
            <w:tcW w:w="98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Software</w:t>
            </w:r>
          </w:p>
        </w:tc>
        <w:tc>
          <w:tcPr>
            <w:tcW w:w="276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17,142 Common Stock</w:t>
            </w: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35</w:t>
            </w:r>
          </w:p>
        </w:tc>
      </w:tr>
      <w:tr>
        <w:trPr>
          <w:trHeight w:val="115"/>
        </w:trPr>
        <w:tc>
          <w:tcPr>
            <w:tcW w:w="320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Equity</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420</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436</w:t>
            </w:r>
          </w:p>
        </w:tc>
      </w:tr>
      <w:tr>
        <w:trPr>
          <w:trHeight w:val="155"/>
        </w:trPr>
        <w:tc>
          <w:tcPr>
            <w:tcW w:w="3200" w:type="dxa"/>
            <w:vAlign w:val="bottom"/>
            <w:tcBorders>
              <w:bottom w:val="single" w:sz="8" w:color="CCEEFF"/>
            </w:tcBorders>
            <w:gridSpan w:val="3"/>
          </w:tcPr>
          <w:p>
            <w:pPr>
              <w:ind w:left="20"/>
              <w:spacing w:after="0" w:line="115" w:lineRule="exact"/>
              <w:rPr>
                <w:sz w:val="20"/>
                <w:szCs w:val="20"/>
                <w:color w:val="auto"/>
              </w:rPr>
            </w:pPr>
            <w:r>
              <w:rPr>
                <w:rFonts w:ascii="Arial" w:cs="Arial" w:eastAsia="Arial" w:hAnsi="Arial"/>
                <w:sz w:val="11"/>
                <w:szCs w:val="11"/>
                <w:b w:val="1"/>
                <w:bCs w:val="1"/>
                <w:color w:val="auto"/>
              </w:rPr>
              <w:t>Total Non-Affiliate Portfolio Investment Assets</w:t>
            </w: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354,879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348,834</w:t>
            </w:r>
          </w:p>
        </w:tc>
      </w:tr>
      <w:tr>
        <w:trPr>
          <w:trHeight w:val="102"/>
        </w:trPr>
        <w:tc>
          <w:tcPr>
            <w:tcW w:w="3200" w:type="dxa"/>
            <w:vAlign w:val="bottom"/>
            <w:gridSpan w:val="3"/>
            <w:shd w:val="clear" w:color="auto" w:fill="CCEEFF"/>
          </w:tcPr>
          <w:p>
            <w:pPr>
              <w:ind w:left="20"/>
              <w:spacing w:after="0" w:line="102" w:lineRule="exact"/>
              <w:rPr>
                <w:sz w:val="20"/>
                <w:szCs w:val="20"/>
                <w:color w:val="auto"/>
              </w:rPr>
            </w:pPr>
            <w:r>
              <w:rPr>
                <w:rFonts w:ascii="Arial" w:cs="Arial" w:eastAsia="Arial" w:hAnsi="Arial"/>
                <w:sz w:val="11"/>
                <w:szCs w:val="11"/>
                <w:b w:val="1"/>
                <w:bCs w:val="1"/>
                <w:color w:val="auto"/>
              </w:rPr>
              <w:t>Non-controlled Affiliate Investments — 3.5% (8)</w:t>
            </w: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r>
      <w:tr>
        <w:trPr>
          <w:trHeight w:val="122"/>
        </w:trPr>
        <w:tc>
          <w:tcPr>
            <w:tcW w:w="32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89"/>
              </w:rPr>
              <w:t>Non-controlled Affiliate Debt Investments — Technology — 2.6% (8)</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12"/>
        </w:trPr>
        <w:tc>
          <w:tcPr>
            <w:tcW w:w="3200" w:type="dxa"/>
            <w:vAlign w:val="bottom"/>
            <w:gridSpan w:val="3"/>
            <w:shd w:val="clear" w:color="auto" w:fill="CCEEFF"/>
          </w:tcPr>
          <w:p>
            <w:pPr>
              <w:ind w:left="20"/>
              <w:spacing w:after="0" w:line="112" w:lineRule="exact"/>
              <w:rPr>
                <w:sz w:val="20"/>
                <w:szCs w:val="20"/>
                <w:color w:val="auto"/>
              </w:rPr>
            </w:pPr>
            <w:r>
              <w:rPr>
                <w:rFonts w:ascii="Arial" w:cs="Arial" w:eastAsia="Arial" w:hAnsi="Arial"/>
                <w:sz w:val="11"/>
                <w:szCs w:val="11"/>
                <w:color w:val="auto"/>
              </w:rPr>
              <w:t>Decisyon, Inc. (12)</w:t>
            </w:r>
          </w:p>
        </w:tc>
        <w:tc>
          <w:tcPr>
            <w:tcW w:w="9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Software</w:t>
            </w:r>
          </w:p>
        </w:tc>
        <w:tc>
          <w:tcPr>
            <w:tcW w:w="27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4"/>
              </w:rPr>
              <w:t>Term Loan (12.50% cash (Libor + 12.308%; Floor 12.50%),</w:t>
            </w:r>
          </w:p>
        </w:tc>
        <w:tc>
          <w:tcPr>
            <w:tcW w:w="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1,182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1,182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1,021</w:t>
            </w:r>
          </w:p>
        </w:tc>
      </w:tr>
      <w:tr>
        <w:trPr>
          <w:trHeight w:val="131"/>
        </w:trPr>
        <w:tc>
          <w:tcPr>
            <w:tcW w:w="2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12.00% ETP, Due 6/1/21)</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12"/>
        </w:trPr>
        <w:tc>
          <w:tcPr>
            <w:tcW w:w="2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gridSpan w:val="2"/>
          </w:tcPr>
          <w:p>
            <w:pPr>
              <w:spacing w:after="0" w:line="112" w:lineRule="exact"/>
              <w:rPr>
                <w:sz w:val="20"/>
                <w:szCs w:val="20"/>
                <w:color w:val="auto"/>
              </w:rPr>
            </w:pPr>
            <w:r>
              <w:rPr>
                <w:rFonts w:ascii="Arial" w:cs="Arial" w:eastAsia="Arial" w:hAnsi="Arial"/>
                <w:sz w:val="11"/>
                <w:szCs w:val="11"/>
                <w:color w:val="auto"/>
                <w:w w:val="94"/>
              </w:rPr>
              <w:t>Term Loan (12.50% cash (Libor + 12.308%; Floor 12.50%),</w:t>
            </w:r>
          </w:p>
        </w:tc>
        <w:tc>
          <w:tcPr>
            <w:tcW w:w="6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1"/>
                <w:szCs w:val="11"/>
                <w:color w:val="auto"/>
              </w:rPr>
              <w:t>646</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633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1"/>
                <w:szCs w:val="11"/>
                <w:color w:val="auto"/>
              </w:rPr>
              <w:t>547</w:t>
            </w:r>
          </w:p>
        </w:tc>
      </w:tr>
      <w:tr>
        <w:trPr>
          <w:trHeight w:val="131"/>
        </w:trPr>
        <w:tc>
          <w:tcPr>
            <w:tcW w:w="2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60" w:type="dxa"/>
            <w:vAlign w:val="bottom"/>
            <w:gridSpan w:val="2"/>
          </w:tcPr>
          <w:p>
            <w:pPr>
              <w:spacing w:after="0"/>
              <w:rPr>
                <w:sz w:val="20"/>
                <w:szCs w:val="20"/>
                <w:color w:val="auto"/>
              </w:rPr>
            </w:pPr>
            <w:r>
              <w:rPr>
                <w:rFonts w:ascii="Arial" w:cs="Arial" w:eastAsia="Arial" w:hAnsi="Arial"/>
                <w:sz w:val="11"/>
                <w:szCs w:val="11"/>
                <w:color w:val="auto"/>
              </w:rPr>
              <w:t>12.00% ETP, Due 6/1/21)</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22"/>
        </w:trPr>
        <w:tc>
          <w:tcPr>
            <w:tcW w:w="2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(12.02% cash, Due 6/1/21)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w:t>
            </w:r>
          </w:p>
        </w:tc>
      </w:tr>
      <w:tr>
        <w:trPr>
          <w:trHeight w:val="121"/>
        </w:trPr>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Term Loan (12.03% cash, Due 6/1/21)</w:t>
            </w: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227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196</w:t>
            </w:r>
          </w:p>
        </w:tc>
      </w:tr>
      <w:tr>
        <w:trPr>
          <w:trHeight w:val="122"/>
        </w:trPr>
        <w:tc>
          <w:tcPr>
            <w:tcW w:w="2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(12.24% cash, Due 6/1/21)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592</w:t>
            </w:r>
          </w:p>
        </w:tc>
      </w:tr>
      <w:tr>
        <w:trPr>
          <w:trHeight w:val="122"/>
        </w:trPr>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Term Loan (13.08% cash, Due 6/1/21)</w:t>
            </w: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277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277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239</w:t>
            </w:r>
          </w:p>
        </w:tc>
      </w:tr>
      <w:tr>
        <w:trPr>
          <w:trHeight w:val="122"/>
        </w:trPr>
        <w:tc>
          <w:tcPr>
            <w:tcW w:w="2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(13.10% cash, Due 6/1/21)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w:t>
            </w:r>
          </w:p>
        </w:tc>
      </w:tr>
      <w:tr>
        <w:trPr>
          <w:trHeight w:val="112"/>
        </w:trPr>
        <w:tc>
          <w:tcPr>
            <w:tcW w:w="3200" w:type="dxa"/>
            <w:vAlign w:val="bottom"/>
            <w:gridSpan w:val="3"/>
          </w:tcPr>
          <w:p>
            <w:pPr>
              <w:ind w:left="20"/>
              <w:spacing w:after="0" w:line="112" w:lineRule="exact"/>
              <w:rPr>
                <w:sz w:val="20"/>
                <w:szCs w:val="20"/>
                <w:color w:val="auto"/>
              </w:rPr>
            </w:pPr>
            <w:r>
              <w:rPr>
                <w:rFonts w:ascii="Arial" w:cs="Arial" w:eastAsia="Arial" w:hAnsi="Arial"/>
                <w:sz w:val="11"/>
                <w:szCs w:val="11"/>
                <w:color w:val="auto"/>
              </w:rPr>
              <w:t>StereoVision Imaging, Inc. (2)(12)</w:t>
            </w:r>
          </w:p>
        </w:tc>
        <w:tc>
          <w:tcPr>
            <w:tcW w:w="9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Software</w:t>
            </w:r>
          </w:p>
        </w:tc>
        <w:tc>
          <w:tcPr>
            <w:tcW w:w="2760" w:type="dxa"/>
            <w:vAlign w:val="bottom"/>
            <w:gridSpan w:val="2"/>
          </w:tcPr>
          <w:p>
            <w:pPr>
              <w:spacing w:after="0" w:line="112" w:lineRule="exact"/>
              <w:rPr>
                <w:sz w:val="20"/>
                <w:szCs w:val="20"/>
                <w:color w:val="auto"/>
              </w:rPr>
            </w:pPr>
            <w:r>
              <w:rPr>
                <w:rFonts w:ascii="Arial" w:cs="Arial" w:eastAsia="Arial" w:hAnsi="Arial"/>
                <w:sz w:val="11"/>
                <w:szCs w:val="11"/>
                <w:color w:val="auto"/>
              </w:rPr>
              <w:t>Term Loan (8.50% Cash (Libor + 7.03%; Floor 8.50%),</w:t>
            </w:r>
          </w:p>
        </w:tc>
        <w:tc>
          <w:tcPr>
            <w:tcW w:w="6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1"/>
                <w:szCs w:val="11"/>
                <w:color w:val="auto"/>
              </w:rPr>
              <w:t>2,783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r>
      <w:tr>
        <w:trPr>
          <w:trHeight w:val="131"/>
        </w:trPr>
        <w:tc>
          <w:tcPr>
            <w:tcW w:w="224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7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14.06% ETP, Due 1/1/22)</w:t>
            </w:r>
          </w:p>
        </w:tc>
        <w:tc>
          <w:tcPr>
            <w:tcW w:w="6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r>
        <w:trPr>
          <w:trHeight w:val="115"/>
        </w:trPr>
        <w:tc>
          <w:tcPr>
            <w:tcW w:w="320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Non-controlled Affiliate Debt Investments — Technology</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5,797</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5,332</w:t>
            </w:r>
          </w:p>
        </w:tc>
      </w:tr>
      <w:tr>
        <w:trPr>
          <w:trHeight w:val="115"/>
        </w:trPr>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2"/>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Non-controlled Affiliate Warrants — Technology — 0.0% (8)</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22"/>
        </w:trPr>
        <w:tc>
          <w:tcPr>
            <w:tcW w:w="320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98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Software</w:t>
            </w:r>
          </w:p>
        </w:tc>
        <w:tc>
          <w:tcPr>
            <w:tcW w:w="276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82,967 Common Stock Warrants</w:t>
            </w: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320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Non-controlled Affiliate Warrants — Technology</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20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Non-controlled Affiliate Equity — Technology — 0.9% (8)</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1"/>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9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Software</w:t>
            </w:r>
          </w:p>
        </w:tc>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45,365,936 Common Stock</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2"/>
        </w:trPr>
        <w:tc>
          <w:tcPr>
            <w:tcW w:w="320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StereoVision Imaging, Inc. (2)(12)</w:t>
            </w:r>
          </w:p>
        </w:tc>
        <w:tc>
          <w:tcPr>
            <w:tcW w:w="98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Software</w:t>
            </w:r>
          </w:p>
        </w:tc>
        <w:tc>
          <w:tcPr>
            <w:tcW w:w="276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1,943,572 Common Stock</w:t>
            </w: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791</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1,639</w:t>
            </w:r>
          </w:p>
        </w:tc>
      </w:tr>
      <w:tr>
        <w:trPr>
          <w:trHeight w:val="115"/>
        </w:trPr>
        <w:tc>
          <w:tcPr>
            <w:tcW w:w="320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Equity</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976</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1,714</w:t>
            </w:r>
          </w:p>
        </w:tc>
      </w:tr>
      <w:tr>
        <w:trPr>
          <w:trHeight w:val="115"/>
        </w:trPr>
        <w:tc>
          <w:tcPr>
            <w:tcW w:w="3200" w:type="dxa"/>
            <w:vAlign w:val="bottom"/>
            <w:tcBorders>
              <w:bottom w:val="single" w:sz="8" w:color="CCEEFF"/>
            </w:tcBorders>
            <w:gridSpan w:val="3"/>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Portfolio Investment Assets</w:t>
            </w: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6,819</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7,046</w:t>
            </w:r>
          </w:p>
        </w:tc>
      </w:tr>
      <w:tr>
        <w:trPr>
          <w:trHeight w:val="115"/>
        </w:trPr>
        <w:tc>
          <w:tcPr>
            <w:tcW w:w="2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62"/>
        </w:trPr>
        <w:tc>
          <w:tcPr>
            <w:tcW w:w="320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b w:val="1"/>
                <w:bCs w:val="1"/>
                <w:color w:val="auto"/>
              </w:rPr>
              <w:t>Total Portfolio Investment Assets — 176.8% (8)</w:t>
            </w: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361,698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w w:val="90"/>
              </w:rPr>
              <w:t>355,880</w:t>
            </w:r>
          </w:p>
        </w:tc>
      </w:tr>
      <w:tr>
        <w:trPr>
          <w:trHeight w:val="102"/>
        </w:trPr>
        <w:tc>
          <w:tcPr>
            <w:tcW w:w="2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r>
      <w:tr>
        <w:trPr>
          <w:trHeight w:val="122"/>
        </w:trPr>
        <w:tc>
          <w:tcPr>
            <w:tcW w:w="32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4"/>
              </w:rPr>
              <w:t>Short Term Investments — Unrestricted Investments — 7.2% (8)</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1"/>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14,499</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14,499</w:t>
            </w:r>
          </w:p>
        </w:tc>
      </w:tr>
      <w:tr>
        <w:trPr>
          <w:trHeight w:val="155"/>
        </w:trPr>
        <w:tc>
          <w:tcPr>
            <w:tcW w:w="3200" w:type="dxa"/>
            <w:vAlign w:val="bottom"/>
            <w:tcBorders>
              <w:bottom w:val="single" w:sz="8" w:color="CCEEFF"/>
            </w:tcBorders>
            <w:gridSpan w:val="3"/>
          </w:tcPr>
          <w:p>
            <w:pPr>
              <w:ind w:left="20"/>
              <w:spacing w:after="0" w:line="115" w:lineRule="exact"/>
              <w:rPr>
                <w:sz w:val="20"/>
                <w:szCs w:val="20"/>
                <w:color w:val="auto"/>
              </w:rPr>
            </w:pPr>
            <w:r>
              <w:rPr>
                <w:rFonts w:ascii="Arial" w:cs="Arial" w:eastAsia="Arial" w:hAnsi="Arial"/>
                <w:sz w:val="11"/>
                <w:szCs w:val="11"/>
                <w:b w:val="1"/>
                <w:bCs w:val="1"/>
                <w:color w:val="auto"/>
              </w:rPr>
              <w:t>Total Short Term Investments —Unrestricted Investments</w:t>
            </w:r>
          </w:p>
        </w:tc>
        <w:tc>
          <w:tcPr>
            <w:tcW w:w="8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14,499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14,499</w:t>
            </w:r>
          </w:p>
        </w:tc>
      </w:tr>
      <w:tr>
        <w:trPr>
          <w:trHeight w:val="102"/>
        </w:trPr>
        <w:tc>
          <w:tcPr>
            <w:tcW w:w="22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r>
      <w:tr>
        <w:trPr>
          <w:trHeight w:val="122"/>
        </w:trPr>
        <w:tc>
          <w:tcPr>
            <w:tcW w:w="32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9"/>
              </w:rPr>
              <w:t>Short Term Investments — Restricted Investments—0.6% (8)</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1"/>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1,189</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1,189</w:t>
            </w:r>
          </w:p>
        </w:tc>
      </w:tr>
      <w:tr>
        <w:trPr>
          <w:trHeight w:val="115"/>
        </w:trPr>
        <w:tc>
          <w:tcPr>
            <w:tcW w:w="320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Total Short Term Investments —Restricted Investments</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1,189</w:t>
            </w:r>
          </w:p>
        </w:tc>
        <w:tc>
          <w:tcPr>
            <w:tcW w:w="10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1,189</w:t>
            </w:r>
          </w:p>
        </w:tc>
      </w:tr>
      <w:tr>
        <w:trPr>
          <w:trHeight w:val="20"/>
        </w:trPr>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r>
    </w:tbl>
    <w:p>
      <w:pPr>
        <w:spacing w:after="0" w:line="76" w:lineRule="exact"/>
        <w:rPr>
          <w:sz w:val="20"/>
          <w:szCs w:val="20"/>
          <w:color w:val="auto"/>
        </w:rPr>
      </w:pPr>
    </w:p>
    <w:p>
      <w:pPr>
        <w:ind w:left="300" w:right="79" w:hanging="250"/>
        <w:spacing w:after="0" w:line="251"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investments of the Company are in entities which are organized under the laws of the United States and have a principal place of business in the United States.</w:t>
      </w:r>
    </w:p>
    <w:p>
      <w:pPr>
        <w:jc w:val="both"/>
        <w:ind w:left="300" w:right="59" w:hanging="250"/>
        <w:spacing w:after="0" w:line="231"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Has been pledged as collateral under the revolving credit facility (the “Key Facility”) with KeyBank National Association (“Key”), the Note Funding Agreement (the “NYL Facility”) with several entities owned or affiliated with New York Life Insurance Company (“Noteholders”) and/or the term debt securitization in connection with which an affiliate of the Company made an offering of $100.0 million in aggregate principal amount of fixed rate asset-backed notes that were issued in conjunction with the $160.0 million securitization of secured loans the Company completed on August 13, 2019 (“the Asset-Backed Notes”).</w:t>
      </w:r>
    </w:p>
    <w:p>
      <w:pPr>
        <w:spacing w:after="0" w:line="1" w:lineRule="exact"/>
        <w:rPr>
          <w:rFonts w:ascii="Arial" w:cs="Arial" w:eastAsia="Arial" w:hAnsi="Arial"/>
          <w:sz w:val="14"/>
          <w:szCs w:val="14"/>
          <w:color w:val="auto"/>
        </w:rPr>
      </w:pPr>
    </w:p>
    <w:p>
      <w:pPr>
        <w:jc w:val="both"/>
        <w:ind w:left="300" w:right="59" w:hanging="250"/>
        <w:spacing w:after="0" w:line="229"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8" w:lineRule="exact"/>
        <w:rPr>
          <w:rFonts w:ascii="Arial" w:cs="Arial" w:eastAsia="Arial" w:hAnsi="Arial"/>
          <w:sz w:val="14"/>
          <w:szCs w:val="14"/>
          <w:color w:val="auto"/>
        </w:rPr>
      </w:pPr>
    </w:p>
    <w:p>
      <w:pPr>
        <w:jc w:val="both"/>
        <w:ind w:left="300" w:right="59" w:hanging="250"/>
        <w:spacing w:after="0" w:line="231"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June 30, 2020 is provided.</w:t>
      </w:r>
    </w:p>
    <w:p>
      <w:pPr>
        <w:spacing w:after="0" w:line="8"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spacing w:after="0" w:line="21"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spacing w:after="0" w:line="21"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Warrants, Equity and Other Investments are non-income producing.</w:t>
      </w:r>
    </w:p>
    <w:p>
      <w:pPr>
        <w:spacing w:after="0" w:line="28"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Value as a percent of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p>
      <w:pPr>
        <w:jc w:val="both"/>
        <w:ind w:left="300" w:right="79" w:hanging="250"/>
        <w:spacing w:after="0" w:line="238" w:lineRule="auto"/>
        <w:tabs>
          <w:tab w:leader="none" w:pos="29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Company did not have any non-qualifying assets under Section 55(a) of the Investment Company Act of 1940, as amended (the “1940 Act) as of June 30, 2020. Under the 1940 Act, the Company may not acquire any non-qualifying assets unless, at the time the acquisition is made, qualifying assets represent at least 70% of the Company’s total assets.</w:t>
      </w:r>
    </w:p>
    <w:p>
      <w:pPr>
        <w:spacing w:after="0" w:line="7" w:lineRule="exact"/>
        <w:rPr>
          <w:sz w:val="20"/>
          <w:szCs w:val="20"/>
          <w:color w:val="auto"/>
        </w:rPr>
      </w:pPr>
    </w:p>
    <w:p>
      <w:pPr>
        <w:jc w:val="both"/>
        <w:ind w:left="300" w:right="59" w:hanging="246"/>
        <w:spacing w:after="0" w:line="233" w:lineRule="auto"/>
        <w:rPr>
          <w:sz w:val="20"/>
          <w:szCs w:val="20"/>
          <w:color w:val="auto"/>
        </w:rPr>
      </w:pPr>
      <w:r>
        <w:rPr>
          <w:rFonts w:ascii="Arial" w:cs="Arial" w:eastAsia="Arial" w:hAnsi="Arial"/>
          <w:sz w:val="14"/>
          <w:szCs w:val="14"/>
          <w:color w:val="auto"/>
        </w:rPr>
        <w:t>(10)ETPs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(11)Debt investment has a payment-in-kind (“PIK”) feature.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(12)The fair value of the investment was valued using significant unobservable inputs.</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4"/>
          <w:szCs w:val="14"/>
          <w:color w:val="auto"/>
        </w:rPr>
        <w:t>(13)New Signature US, Inc. is a subsidiary of BSI Platform Holdings, LLC.</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(14)Debt investment is on non-accrual status as of June 30, 2020.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Principal</w:t>
            </w:r>
          </w:p>
        </w:tc>
        <w:tc>
          <w:tcPr>
            <w:tcW w:w="8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Cost of</w:t>
            </w:r>
          </w:p>
        </w:tc>
        <w:tc>
          <w:tcPr>
            <w:tcW w:w="140" w:type="dxa"/>
            <w:vAlign w:val="bottom"/>
          </w:tcPr>
          <w:p>
            <w:pPr>
              <w:spacing w:after="0"/>
              <w:rPr>
                <w:sz w:val="10"/>
                <w:szCs w:val="10"/>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b w:val="1"/>
                <w:bCs w:val="1"/>
                <w:color w:val="auto"/>
              </w:rPr>
              <w:t>Fair</w:t>
            </w: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20" w:type="dxa"/>
            <w:vAlign w:val="bottom"/>
            <w:gridSpan w:val="2"/>
          </w:tcPr>
          <w:p>
            <w:pPr>
              <w:ind w:left="300"/>
              <w:spacing w:after="0"/>
              <w:rPr>
                <w:sz w:val="20"/>
                <w:szCs w:val="20"/>
                <w:color w:val="auto"/>
              </w:rPr>
            </w:pPr>
            <w:r>
              <w:rPr>
                <w:rFonts w:ascii="Arial" w:cs="Arial" w:eastAsia="Arial" w:hAnsi="Arial"/>
                <w:sz w:val="11"/>
                <w:szCs w:val="11"/>
                <w:b w:val="1"/>
                <w:bCs w:val="1"/>
                <w:color w:val="auto"/>
              </w:rPr>
              <w:t>Sector</w:t>
            </w:r>
          </w:p>
        </w:tc>
        <w:tc>
          <w:tcPr>
            <w:tcW w:w="288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100" w:type="dxa"/>
            <w:vAlign w:val="bottom"/>
          </w:tcPr>
          <w:p>
            <w:pPr>
              <w:spacing w:after="0"/>
              <w:rPr>
                <w:sz w:val="11"/>
                <w:szCs w:val="11"/>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140" w:type="dxa"/>
            <w:vAlign w:val="bottom"/>
          </w:tcPr>
          <w:p>
            <w:pPr>
              <w:spacing w:after="0"/>
              <w:rPr>
                <w:sz w:val="11"/>
                <w:szCs w:val="11"/>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24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Investments — 160.0% (8)</w:t>
            </w:r>
          </w:p>
        </w:tc>
        <w:tc>
          <w:tcPr>
            <w:tcW w:w="1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153.5% (8)</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1"/>
        </w:trPr>
        <w:tc>
          <w:tcPr>
            <w:tcW w:w="360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Life Science — 55.9% (8)</w:t>
            </w:r>
          </w:p>
        </w:tc>
        <w:tc>
          <w:tcPr>
            <w:tcW w:w="2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Celsion Corporation (2)(5)(12)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(9.98% cash (Libor + 7.63%; Floor 9.63%), 4.00%</w:t>
            </w:r>
          </w:p>
        </w:tc>
        <w:tc>
          <w:tcPr>
            <w:tcW w:w="100" w:type="dxa"/>
            <w:vAlign w:val="bottom"/>
          </w:tcPr>
          <w:p>
            <w:pPr>
              <w:jc w:val="right"/>
              <w:spacing w:after="0" w:line="112"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tcPr>
          <w:p>
            <w:pPr>
              <w:spacing w:after="0"/>
              <w:rPr>
                <w:sz w:val="9"/>
                <w:szCs w:val="9"/>
                <w:color w:val="auto"/>
              </w:rPr>
            </w:pPr>
          </w:p>
        </w:tc>
        <w:tc>
          <w:tcPr>
            <w:tcW w:w="80" w:type="dxa"/>
            <w:vAlign w:val="bottom"/>
          </w:tcPr>
          <w:p>
            <w:pPr>
              <w:jc w:val="right"/>
              <w:spacing w:after="0" w:line="112" w:lineRule="exact"/>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2,464</w:t>
            </w:r>
          </w:p>
        </w:tc>
        <w:tc>
          <w:tcPr>
            <w:tcW w:w="140" w:type="dxa"/>
            <w:vAlign w:val="bottom"/>
          </w:tcPr>
          <w:p>
            <w:pPr>
              <w:spacing w:after="0"/>
              <w:rPr>
                <w:sz w:val="9"/>
                <w:szCs w:val="9"/>
                <w:color w:val="auto"/>
              </w:rPr>
            </w:pPr>
          </w:p>
        </w:tc>
        <w:tc>
          <w:tcPr>
            <w:tcW w:w="140" w:type="dxa"/>
            <w:vAlign w:val="bottom"/>
          </w:tcPr>
          <w:p>
            <w:pPr>
              <w:jc w:val="right"/>
              <w:ind w:right="31"/>
              <w:spacing w:after="0" w:line="112"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2,464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(9.98% cash (Libor + 7.63%; Floor 9.63%),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Encore Dermatology,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4,929</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4,929</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3.00% ETP, Due 4/1/23)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4,929</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3.00% ETP, Due 4/1/23)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Espero BioPharma,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5.10% ETP, Due 3/31/20) (11)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5.10% ETP, Due 3/31/20) (11)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LogicBio, Inc.(2)(5)(12)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4"/>
              </w:rPr>
              <w:t>Term Loan (8.75 % cash (Libor + 6.25%; Floor 8.75%), 4.50%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4,970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4,970</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6/1/24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Mustang Bio, Inc. (2)(5)(12)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4,827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4,827</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4,924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4,924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10/1/22)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vTv Therapeutics Inc. (2)(5)(12)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(11.69% cash (Libor + 10.00%; Floor 10.50%),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1,042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1,034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6.00% ETP, Due 5/1/20)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(11.69% cash (Libor + 10.00%; Floor 10.50%),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1,406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1,393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1,393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6.00% ETP, Due 10/1/20)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Titan Pharmaceuticals, Inc. (2)(5)(12)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Drug Delivery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(10.09% cash (Libor + 8.40%; Floor 9.50%),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1,600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1,533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1,533</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6/1/22)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Conventus Orthopaedics,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(9.69% cash (Libor + 8.00%; Floor 9.25%), 8.33%</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5,311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5,233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5,233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(9.69% cash (Libor + 8.00%; Floor 9.25%), 8.33%</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5,311</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5,233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5,233</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CSA Medical,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3,637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3,637</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5.00% ETP, Due 1/1/24)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1/1/24)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CVRx,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3.50% ETP, Due 4/1/24)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4/1/24)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3.50% ETP, Due 4/1/24)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4/1/24)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Lantos Technologies,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(10.12% cash (Libor + 8.43%;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3,433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3,143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3,143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10.00% ETP, Due 4/1/21)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MacuLogix, Inc. (2)(12)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7,500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7,356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7,356</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4.00% ETP, Due 10/1/23)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4,050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3,993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3,993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4.00% ETP, Due 10/1/23)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Meditrina, Inc. (2)(12)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(9.70% cash (Libor + 7.10%; Floor 9.70%),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2,966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2,966</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5/1/20)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VERO Biotech LLC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(9.69% cash (Libor + 8.00%; Floor 9.25%),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3,967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3,967</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(10.35% cash (Libor + 8.00%; Floor 9.25%),</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3,967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3,967</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1/1/22)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r>
      <w:tr>
        <w:trPr>
          <w:trHeight w:val="115"/>
        </w:trPr>
        <w:tc>
          <w:tcPr>
            <w:tcW w:w="258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Debt Investments — Life Science</w:t>
            </w:r>
          </w:p>
        </w:tc>
        <w:tc>
          <w:tcPr>
            <w:tcW w:w="8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102,799</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102,799</w:t>
            </w:r>
          </w:p>
        </w:tc>
      </w:tr>
      <w:tr>
        <w:trPr>
          <w:trHeight w:val="115"/>
        </w:trPr>
        <w:tc>
          <w:tcPr>
            <w:tcW w:w="360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Debt Investments — Technology — 84.8% (8)</w:t>
            </w:r>
          </w:p>
        </w:tc>
        <w:tc>
          <w:tcPr>
            <w:tcW w:w="2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Audacy Corporation (2)(12)(15)</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Communications</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(9.59% cash (Libor + 7.90%; Floor 9.50%),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3,641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3,580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1,300</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9"/>
              </w:rPr>
              <w:t>Term Loan (9.59% cash (Libor + 7.90%; Floor 9.50%), Due</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550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550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1"/>
                <w:szCs w:val="11"/>
                <w:color w:val="auto"/>
              </w:rPr>
              <w:t>2/1/20)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4,115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4,115</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tcPr>
          <w:p>
            <w:pPr>
              <w:spacing w:after="0"/>
              <w:rPr>
                <w:sz w:val="20"/>
                <w:szCs w:val="20"/>
                <w:color w:val="auto"/>
              </w:rPr>
            </w:pPr>
            <w:r>
              <w:rPr>
                <w:rFonts w:ascii="Arial" w:cs="Arial" w:eastAsia="Arial" w:hAnsi="Arial"/>
                <w:sz w:val="11"/>
                <w:szCs w:val="11"/>
                <w:color w:val="auto"/>
              </w:rPr>
              <w:t>4.50% ETP, Due 9/1/23)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4,182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4,182</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4.50% ETP, Due 9/1/23)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Mohawk Group Holdings, Inc. (2)(5)(12)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4,914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Ceiling 14.00%),0.56% ETP, Due 12/20/24)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6"/>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Ceiling 14.00%), 0.56% ETP, Due 12/20/24)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62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Sector</w:t>
            </w:r>
          </w:p>
        </w:tc>
        <w:tc>
          <w:tcPr>
            <w:tcW w:w="300" w:type="dxa"/>
            <w:vAlign w:val="bottom"/>
          </w:tcPr>
          <w:p>
            <w:pPr>
              <w:spacing w:after="0"/>
              <w:rPr>
                <w:sz w:val="11"/>
                <w:szCs w:val="11"/>
                <w:color w:val="auto"/>
              </w:rPr>
            </w:pPr>
          </w:p>
        </w:tc>
        <w:tc>
          <w:tcPr>
            <w:tcW w:w="2600" w:type="dxa"/>
            <w:vAlign w:val="bottom"/>
            <w:gridSpan w:val="2"/>
          </w:tcPr>
          <w:p>
            <w:pPr>
              <w:ind w:left="360"/>
              <w:spacing w:after="0"/>
              <w:rPr>
                <w:sz w:val="20"/>
                <w:szCs w:val="20"/>
                <w:color w:val="auto"/>
              </w:rPr>
            </w:pPr>
            <w:r>
              <w:rPr>
                <w:rFonts w:ascii="Arial" w:cs="Arial" w:eastAsia="Arial" w:hAnsi="Arial"/>
                <w:sz w:val="11"/>
                <w:szCs w:val="11"/>
                <w:b w:val="1"/>
                <w:bCs w:val="1"/>
                <w:color w:val="auto"/>
              </w:rPr>
              <w:t>Type of Investment (4)(7)(9)(10)</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Investments (6)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gridSpan w:val="2"/>
            <w:shd w:val="clear" w:color="auto" w:fill="CCEEFF"/>
          </w:tcPr>
          <w:p>
            <w:pPr>
              <w:spacing w:after="0" w:line="105" w:lineRule="exact"/>
              <w:rPr>
                <w:sz w:val="20"/>
                <w:szCs w:val="20"/>
                <w:color w:val="auto"/>
              </w:rPr>
            </w:pPr>
            <w:r>
              <w:rPr>
                <w:rFonts w:ascii="Arial" w:cs="Arial" w:eastAsia="Arial" w:hAnsi="Arial"/>
                <w:sz w:val="11"/>
                <w:szCs w:val="11"/>
                <w:color w:val="auto"/>
                <w:w w:val="98"/>
              </w:rPr>
              <w:t>Term Loan (11.50% cash (Prime + 5.75%; Floor 11.50%,</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10,000</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9,870</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9,870</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Ceiling 14.00%), 0.56% ETP, Due 12/20/24)</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Canara,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4,868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4,868</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1.00%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2/1/23)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4,868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4,868</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1.00%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2/1/23)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Kaminario,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4,840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4,840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IgnitionOne,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2,911</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2,911</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2,812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2,812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Skillshare, Inc.(2)(12)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(9.50% cash (Libor + 7.50%; Floor 9.50%),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2,747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2,747</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1/1/25)</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(9.50% cash (Libor + 7.50%; Floor 9.50%),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2,946</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2,946</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1/1/25)</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(9.50% cash (Libor + 7.50%; Floor 9.50%),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2,946</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2,946</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1/1/25)</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Verve Wireless,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Internet and Media</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(15.80% cash (Libor + 8.80%; Floor 10.80%),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2,400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2,320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2,320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3.33%</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9/1/21)</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The NanoSteel Company,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Materials</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4,205</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4,205</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6/1/22)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4,205</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4,205</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4.00%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6/1/22)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Kinestral Technologies, Inc.(2)(12)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Power</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(9.95% cash (Libor + 7.75%; Floor 9.95%),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5,442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5,442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Management</w:t>
            </w: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12/1/22)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(9.95% cash (Libor + 7.75%; Floor 9.95%),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6,000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5,765</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5,765</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12/1/22)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Bridge2 Solutions, LLC.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+ 8.40%;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6,250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6,120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6,120</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6/1/23)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+ 8.40%;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6,250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6,120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6,120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6/1/23)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+ 8.40%;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1,926</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1,926</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9/1/23)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New Signature US, Inc. (2)(12)(13)</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2,750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2,721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2,721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3.50%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7/1/22)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3.50%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2/1/23)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OutboundEngine,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3,929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3,929</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7/1/23)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3,500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3,438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3,438</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7/1/23)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Revinate,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(9.50% cash (Libor + 7.00%; Floor 9.50%),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928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928</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6/1/23)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(9.50% cash (Libor + 7.00%; Floor 9.50%),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SIGNiX, Inc. (12)(15)</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(12.69% cash (Libor + 11.00%; Floor 11.50%),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1,571</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1,569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8.67%</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2/1/20)</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xAd,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4,583</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4,533</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4,533</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4.75%</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4,583</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4,533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4,533</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4.75%</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2,720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2,720</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4.75%</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1,833</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1,813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1,813</w:t>
            </w:r>
          </w:p>
        </w:tc>
      </w:tr>
      <w:tr>
        <w:trPr>
          <w:trHeight w:val="131"/>
        </w:trPr>
        <w:tc>
          <w:tcPr>
            <w:tcW w:w="24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w w:val="89"/>
              </w:rPr>
              <w:t>4.75%</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Debt Investments — Technology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159,751</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156,052</w:t>
            </w:r>
          </w:p>
        </w:tc>
      </w:tr>
      <w:tr>
        <w:trPr>
          <w:trHeight w:val="115"/>
        </w:trPr>
        <w:tc>
          <w:tcPr>
            <w:tcW w:w="3920" w:type="dxa"/>
            <w:vAlign w:val="bottom"/>
            <w:gridSpan w:val="5"/>
          </w:tcPr>
          <w:p>
            <w:pPr>
              <w:ind w:left="20"/>
              <w:spacing w:after="0" w:line="115" w:lineRule="exact"/>
              <w:rPr>
                <w:sz w:val="20"/>
                <w:szCs w:val="20"/>
                <w:color w:val="auto"/>
              </w:rPr>
            </w:pPr>
            <w:r>
              <w:rPr>
                <w:rFonts w:ascii="Arial" w:cs="Arial" w:eastAsia="Arial" w:hAnsi="Arial"/>
                <w:sz w:val="11"/>
                <w:szCs w:val="11"/>
                <w:b w:val="1"/>
                <w:bCs w:val="1"/>
                <w:color w:val="auto"/>
                <w:w w:val="89"/>
              </w:rPr>
              <w:t>Non-Affiliate Debt Investments — Healthcare information and services — 12.8% (8)</w:t>
            </w:r>
          </w:p>
        </w:tc>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Kate Farms,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Other Healthcare</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(9.75% cash (Libor + 7.45%; Floor 9.75%),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10/1/23)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(9.75% cash (Libor + 7.45%; Floor 9.75%),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4,919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4,919</w:t>
            </w:r>
          </w:p>
        </w:tc>
      </w:tr>
      <w:tr>
        <w:trPr>
          <w:trHeight w:val="136"/>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10/1/23)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62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Sector</w:t>
            </w:r>
          </w:p>
        </w:tc>
        <w:tc>
          <w:tcPr>
            <w:tcW w:w="2900" w:type="dxa"/>
            <w:vAlign w:val="bottom"/>
            <w:gridSpan w:val="2"/>
          </w:tcPr>
          <w:p>
            <w:pPr>
              <w:ind w:left="660"/>
              <w:spacing w:after="0"/>
              <w:rPr>
                <w:sz w:val="20"/>
                <w:szCs w:val="20"/>
                <w:color w:val="auto"/>
              </w:rPr>
            </w:pPr>
            <w:r>
              <w:rPr>
                <w:rFonts w:ascii="Arial" w:cs="Arial" w:eastAsia="Arial" w:hAnsi="Arial"/>
                <w:sz w:val="11"/>
                <w:szCs w:val="11"/>
                <w:b w:val="1"/>
                <w:bCs w:val="1"/>
                <w:color w:val="auto"/>
              </w:rPr>
              <w:t>Type of Investment (4)(7)(9)(10)</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Investments (6)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60" w:type="dxa"/>
            <w:vAlign w:val="bottom"/>
            <w:tcBorders>
              <w:top w:val="single" w:sz="8" w:color="auto"/>
            </w:tcBorders>
            <w:shd w:val="clear" w:color="auto" w:fill="CCEEFF"/>
          </w:tcPr>
          <w:p>
            <w:pPr>
              <w:ind w:left="20"/>
              <w:spacing w:after="0" w:line="105" w:lineRule="exact"/>
              <w:rPr>
                <w:sz w:val="20"/>
                <w:szCs w:val="20"/>
                <w:color w:val="auto"/>
              </w:rPr>
            </w:pPr>
            <w:r>
              <w:rPr>
                <w:rFonts w:ascii="Arial" w:cs="Arial" w:eastAsia="Arial" w:hAnsi="Arial"/>
                <w:sz w:val="11"/>
                <w:szCs w:val="11"/>
                <w:color w:val="auto"/>
              </w:rPr>
              <w:t>HealthEdge Software, Inc. (2)(12)</w:t>
            </w: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Software</w:t>
            </w:r>
          </w:p>
        </w:tc>
        <w:tc>
          <w:tcPr>
            <w:tcW w:w="14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1"/>
              </w:rPr>
              <w:t>Term Loan (9.94% cash (Libor + 8.25%; Floor 9.25%), 3.00%</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3,571</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3,533</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3,533</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(9.94% cash (Libor + 8.25%; Floor 9.25%), 3.00%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3,214</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3,180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3,180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(9.94% cash (Libor + 8.25%; Floor 9.25%), 3.00%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3,482</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3,444</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3,444</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4/1/23)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(9.94% cash (Libor + 8.25%; Floor 9.25%), 3.00%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3,707</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3,707</w:t>
            </w:r>
          </w:p>
        </w:tc>
      </w:tr>
      <w:tr>
        <w:trPr>
          <w:trHeight w:val="131"/>
        </w:trPr>
        <w:tc>
          <w:tcPr>
            <w:tcW w:w="24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1/1/24)</w:t>
            </w:r>
          </w:p>
        </w:tc>
        <w:tc>
          <w:tcPr>
            <w:tcW w:w="6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5"/>
        </w:trPr>
        <w:tc>
          <w:tcPr>
            <w:tcW w:w="36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w w:val="97"/>
              </w:rPr>
              <w:t>Total Non-Affiliate Debt Investments — Healthcare information and services</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23,635</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23,635</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 Affiliate Debt Investments</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286,185</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282,486</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Warrant Investments — 5.9% (8)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Warrants — Life Science — 0.7%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Alpine Immune Sciences, Inc. (5)(12)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4,632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Celsion Corporation (2)(5)(12)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95,057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Corvium,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661,956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Encore Dermatology,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1,510,878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Espero BioPharma,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1,507,917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LogicBio, Inc. (2)(5)(12)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7,843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Mustang Bio,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216,138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Rocket Pharmaceuticals Corporation (5)(12)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7,051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Palatin Technologies,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274,725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Revance Therapeutics, Inc. (5)(12)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34,113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Strongbridge U.S.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160,714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Sunesis Pharmaceuticals, Inc. (5)(12)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2,050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vTv Therapeutics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95,293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Titan Pharmaceuticals, Inc. (2)(5)(12)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Drug Delivery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373,333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AccuVein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1,174,881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Aerin Medical,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1,818,183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69</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Conventus Orthopaedics,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1,145,000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CSA Medical, Inc. (12)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1,260,345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146</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CVRx, Inc.(2)(12)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750,000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Lantos Technologies,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560,832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253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MacuLogix,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454,460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238</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Meditrina,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221,510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85</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NinePoint Medical,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29,102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r>
      <w:tr>
        <w:trPr>
          <w:trHeight w:val="121"/>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VERO Biotech LLC (2)(12)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408 Common Stock Warrants</w:t>
            </w:r>
          </w:p>
        </w:tc>
        <w:tc>
          <w:tcPr>
            <w:tcW w:w="6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53</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55</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Life Science</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2,127</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1,215</w:t>
            </w:r>
          </w:p>
        </w:tc>
      </w:tr>
      <w:tr>
        <w:trPr>
          <w:trHeight w:val="115"/>
        </w:trPr>
        <w:tc>
          <w:tcPr>
            <w:tcW w:w="26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Non-Affiliate Warrants — Technology — 4.8%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Audacy Corporation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Communications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1,545,575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Intelepeer Holdings,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Communications</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2,134,617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PebblePost,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Communications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598,850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248,210 Preferred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101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104</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Caastle,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268,591 Preferred Stock Warrants</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832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Le Tote,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202,974 Preferred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361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Mohawk Group Holdings,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76,923 Common Stock Warrants</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195</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Rhapsody International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852,273 Common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164</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108,333 Common Stock Warrants</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Canara,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Data Storage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500,000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242</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288</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Kaminario,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Data Storage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18,616,925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272</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Global Worldwide LLC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245,810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IgnitionOne,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262,910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Rocket Lawyer Incorporated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261,721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91</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Skillshare,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173,717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Verve Wireless,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112,805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121</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The NanoSteel Company,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Materials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467,277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Kinestral,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Power</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3,454,774 Preferred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606</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606</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Management</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Avalanche Technology,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Semiconductors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202,602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170</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Soraa,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Semiconductors</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203,616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80</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Bridge2 Solutions,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172,958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768</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2,230</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BSI Platform Holdings, LLC (2)(12)(13)</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187,500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Clarabridge,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53,486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106</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Education Elements,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238,121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Lotame Solutions,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288,115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280</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OutboundEngine,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600,000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Revinate,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459,770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w:t>
            </w:r>
          </w:p>
        </w:tc>
      </w:tr>
      <w:tr>
        <w:trPr>
          <w:trHeight w:val="136"/>
        </w:trPr>
        <w:tc>
          <w:tcPr>
            <w:tcW w:w="2620" w:type="dxa"/>
            <w:vAlign w:val="bottom"/>
            <w:gridSpan w:val="2"/>
          </w:tcPr>
          <w:p>
            <w:pPr>
              <w:ind w:left="20"/>
              <w:spacing w:after="0"/>
              <w:rPr>
                <w:sz w:val="20"/>
                <w:szCs w:val="20"/>
                <w:color w:val="auto"/>
              </w:rPr>
            </w:pPr>
            <w:r>
              <w:rPr>
                <w:rFonts w:ascii="Arial" w:cs="Arial" w:eastAsia="Arial" w:hAnsi="Arial"/>
                <w:sz w:val="11"/>
                <w:szCs w:val="11"/>
                <w:color w:val="auto"/>
              </w:rPr>
              <w:t>Riv Data Corp. (2)(12)</w:t>
            </w:r>
          </w:p>
        </w:tc>
        <w:tc>
          <w:tcPr>
            <w:tcW w:w="1000" w:type="dxa"/>
            <w:vAlign w:val="bottom"/>
            <w:gridSpan w:val="2"/>
          </w:tcPr>
          <w:p>
            <w:pPr>
              <w:spacing w:after="0"/>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rPr>
                <w:sz w:val="20"/>
                <w:szCs w:val="20"/>
                <w:color w:val="auto"/>
              </w:rPr>
            </w:pPr>
            <w:r>
              <w:rPr>
                <w:rFonts w:ascii="Arial" w:cs="Arial" w:eastAsia="Arial" w:hAnsi="Arial"/>
                <w:sz w:val="11"/>
                <w:szCs w:val="11"/>
                <w:color w:val="auto"/>
              </w:rPr>
              <w:t>321,428 Preferred Stock Warrants</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253</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Principal</w:t>
            </w:r>
          </w:p>
        </w:tc>
        <w:tc>
          <w:tcPr>
            <w:tcW w:w="12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 of</w:t>
            </w:r>
          </w:p>
        </w:tc>
        <w:tc>
          <w:tcPr>
            <w:tcW w:w="12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62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Sector</w:t>
            </w:r>
          </w:p>
        </w:tc>
        <w:tc>
          <w:tcPr>
            <w:tcW w:w="2900" w:type="dxa"/>
            <w:vAlign w:val="bottom"/>
            <w:gridSpan w:val="2"/>
          </w:tcPr>
          <w:p>
            <w:pPr>
              <w:ind w:left="660"/>
              <w:spacing w:after="0"/>
              <w:rPr>
                <w:sz w:val="20"/>
                <w:szCs w:val="20"/>
                <w:color w:val="auto"/>
              </w:rPr>
            </w:pPr>
            <w:r>
              <w:rPr>
                <w:rFonts w:ascii="Arial" w:cs="Arial" w:eastAsia="Arial" w:hAnsi="Arial"/>
                <w:sz w:val="11"/>
                <w:szCs w:val="11"/>
                <w:b w:val="1"/>
                <w:bCs w:val="1"/>
                <w:color w:val="auto"/>
              </w:rPr>
              <w:t>Type of Investment (4)(7)(9)(10)</w:t>
            </w:r>
          </w:p>
        </w:tc>
        <w:tc>
          <w:tcPr>
            <w:tcW w:w="100" w:type="dxa"/>
            <w:vAlign w:val="bottom"/>
          </w:tcPr>
          <w:p>
            <w:pPr>
              <w:spacing w:after="0"/>
              <w:rPr>
                <w:sz w:val="11"/>
                <w:szCs w:val="11"/>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Investments (6)</w:t>
            </w:r>
          </w:p>
        </w:tc>
        <w:tc>
          <w:tcPr>
            <w:tcW w:w="12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246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ShopKeep.com, Inc. (2)(12)</w:t>
            </w:r>
          </w:p>
        </w:tc>
        <w:tc>
          <w:tcPr>
            <w:tcW w:w="1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Software</w:t>
            </w:r>
          </w:p>
        </w:tc>
        <w:tc>
          <w:tcPr>
            <w:tcW w:w="140" w:type="dxa"/>
            <w:vAlign w:val="bottom"/>
            <w:tcBorders>
              <w:top w:val="single" w:sz="8" w:color="CCEEFF"/>
            </w:tcBorders>
            <w:shd w:val="clear" w:color="auto" w:fill="CCEEFF"/>
          </w:tcPr>
          <w:p>
            <w:pPr>
              <w:spacing w:after="0"/>
              <w:rPr>
                <w:sz w:val="10"/>
                <w:szCs w:val="10"/>
                <w:color w:val="auto"/>
              </w:rPr>
            </w:pPr>
          </w:p>
        </w:tc>
        <w:tc>
          <w:tcPr>
            <w:tcW w:w="2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193,962 Preferred Stock Warrants</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118</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116</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SIGNiX, Inc. (12)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133,560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225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Skyword,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301,056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Sys-Tech Solutions,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375,000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2,331</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Weblinc Corporation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195,122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xAd, Inc. (2)(12)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4,343,348 Preferred Stock Warrants</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177</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249</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Technology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5,510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8,891</w:t>
            </w:r>
          </w:p>
        </w:tc>
      </w:tr>
      <w:tr>
        <w:trPr>
          <w:trHeight w:val="115"/>
        </w:trPr>
        <w:tc>
          <w:tcPr>
            <w:tcW w:w="26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7"/>
              </w:rPr>
              <w:t>Non-Affiliate Warrants — Sustainability — 0.1%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Tigo Energy,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Energy Efficiency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804,604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Warrants — Sustainability</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6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3"/>
              </w:rPr>
              <w:t>Non-Affiliate Warrants — Healthcare information and services — 0.4% (8)</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ProterixBio,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Diagnostics</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2,676 Common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Kate Farms,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Healthcare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69,137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Watermark Medical,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Other Healthcare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27,373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Catasys,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51,185 Common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304</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HealthEdge Software,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205,481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73</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Medsphere Systems Corporation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7,097,792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197</w:t>
            </w:r>
          </w:p>
        </w:tc>
      </w:tr>
      <w:tr>
        <w:trPr>
          <w:trHeight w:val="115"/>
        </w:trPr>
        <w:tc>
          <w:tcPr>
            <w:tcW w:w="362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color w:val="auto"/>
              </w:rPr>
              <w:t>Total Non-Affiliate Warrants — Healthcare information and services</w:t>
            </w: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539</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723</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Warrants</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8,276</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10,829</w:t>
            </w:r>
          </w:p>
        </w:tc>
      </w:tr>
      <w:tr>
        <w:trPr>
          <w:trHeight w:val="115"/>
        </w:trPr>
        <w:tc>
          <w:tcPr>
            <w:tcW w:w="26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Non-Affiliate Other Investments — 0.3%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ZetrOZ,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Royalty Agreement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61</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500</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Other Investments</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500</w:t>
            </w:r>
          </w:p>
        </w:tc>
      </w:tr>
      <w:tr>
        <w:trPr>
          <w:trHeight w:val="115"/>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Equity — 0.3%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Palatin Technologies, Inc. (2)(5)</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5,249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Revance Therapeutics, Inc.(5)</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5,125 Common Stock</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Sunesis Pharmaceuticals, Inc. (5)</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13,082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SnagAJob.com, Inc. (12)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82,974 Common Stock</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84</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Verve Wireless,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100,598 Preferred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Zeta Global Holdings Corp.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18,405 Common Stock</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Formetrix,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Materials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74,286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Equity</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734</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489</w:t>
            </w:r>
          </w:p>
        </w:tc>
      </w:tr>
      <w:tr>
        <w:trPr>
          <w:trHeight w:val="115"/>
        </w:trPr>
        <w:tc>
          <w:tcPr>
            <w:tcW w:w="262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Portfolio Investment Assets</w:t>
            </w:r>
          </w:p>
        </w:tc>
        <w:tc>
          <w:tcPr>
            <w:tcW w:w="8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295,256</w:t>
            </w: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294,304</w:t>
            </w: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02"/>
        </w:trPr>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Non-controlled Affiliate Investments — 4.7% (8)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36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Non-controlled Affiliate Debt Investments — Technology — 3.2% (8)</w:t>
            </w: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Decisyon, Inc. (12)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9"/>
              </w:rPr>
              <w:t>Term Loan (13.998% cash (Libor + 12.31%; Floor 12.50%),</w:t>
            </w:r>
          </w:p>
        </w:tc>
        <w:tc>
          <w:tcPr>
            <w:tcW w:w="1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1,206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1,206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1,206</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12.00% ETP, Due 6/1/21)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Term Loan (14.41% cash (Libor + 12.31%; Floor 12.50%),</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660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639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639</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2"/>
          </w:tcPr>
          <w:p>
            <w:pPr>
              <w:spacing w:after="0"/>
              <w:rPr>
                <w:sz w:val="20"/>
                <w:szCs w:val="20"/>
                <w:color w:val="auto"/>
              </w:rPr>
            </w:pPr>
            <w:r>
              <w:rPr>
                <w:rFonts w:ascii="Arial" w:cs="Arial" w:eastAsia="Arial" w:hAnsi="Arial"/>
                <w:sz w:val="11"/>
                <w:szCs w:val="11"/>
                <w:color w:val="auto"/>
              </w:rPr>
              <w:t>12.00% ETP, Due 6/1/21)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1"/>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(12.02% cash, Due 6/1/21)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r>
      <w:tr>
        <w:trPr>
          <w:trHeight w:val="122"/>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Term Loan (12.03% cash, Due 6/1/21)</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r>
      <w:tr>
        <w:trPr>
          <w:trHeight w:val="121"/>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(12.24% cash, Due 6/1/21)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r>
      <w:tr>
        <w:trPr>
          <w:trHeight w:val="122"/>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Term Loan (13.08% cash, Due 6/1/21)</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r>
      <w:tr>
        <w:trPr>
          <w:trHeight w:val="122"/>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(13.10% cash, Due 6/1/21)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StereoVision Imaging, Inc. (12)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(8.72% Cash (Libor + 7.03%; Floor 8.50%), 8.50%</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2,783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r>
      <w:tr>
        <w:trPr>
          <w:trHeight w:val="131"/>
        </w:trPr>
        <w:tc>
          <w:tcPr>
            <w:tcW w:w="24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9/1/21) (11)</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r>
        <w:trPr>
          <w:trHeight w:val="115"/>
        </w:trPr>
        <w:tc>
          <w:tcPr>
            <w:tcW w:w="36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Non-controlled Affiliate Debt Investments — Technology</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5,869</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5,869</w:t>
            </w:r>
          </w:p>
        </w:tc>
      </w:tr>
      <w:tr>
        <w:trPr>
          <w:trHeight w:val="115"/>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1"/>
        </w:trPr>
        <w:tc>
          <w:tcPr>
            <w:tcW w:w="362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Non-controlled Affiliate Warrants — Technology — 0.0% (8)</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82,967 Common Stock Warrants</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46</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w w:val="99"/>
              </w:rPr>
              <w:t>Total Non-controlled Affiliate Warrants — Technology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620" w:type="dxa"/>
            <w:vAlign w:val="bottom"/>
            <w:gridSpan w:val="4"/>
          </w:tcPr>
          <w:p>
            <w:pPr>
              <w:ind w:left="20"/>
              <w:spacing w:after="0" w:line="115" w:lineRule="exact"/>
              <w:rPr>
                <w:sz w:val="20"/>
                <w:szCs w:val="20"/>
                <w:color w:val="auto"/>
              </w:rPr>
            </w:pPr>
            <w:r>
              <w:rPr>
                <w:rFonts w:ascii="Arial" w:cs="Arial" w:eastAsia="Arial" w:hAnsi="Arial"/>
                <w:sz w:val="11"/>
                <w:szCs w:val="11"/>
                <w:b w:val="1"/>
                <w:bCs w:val="1"/>
                <w:color w:val="auto"/>
              </w:rPr>
              <w:t>Non-controlled Affiliate Equity — Technology — 1.5% (8)</w:t>
            </w: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45,365,936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185</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StereoVision Imaging, Inc. (12)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1,943,572 Common Stock</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791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2,653</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Equity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976</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2,728</w:t>
            </w:r>
          </w:p>
        </w:tc>
      </w:tr>
      <w:tr>
        <w:trPr>
          <w:trHeight w:val="115"/>
        </w:trPr>
        <w:tc>
          <w:tcPr>
            <w:tcW w:w="362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Portfolio Investment Assets</w:t>
            </w: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6,891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8,597</w:t>
            </w:r>
          </w:p>
        </w:tc>
      </w:tr>
      <w:tr>
        <w:trPr>
          <w:trHeight w:val="115"/>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Controlled Affiliate Investments — 9.0%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w w:val="99"/>
              </w:rPr>
              <w:t>Controlled Affiliate Equity — Financial — 9.0% (8)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Horizon Secured Loan Fund I LLC (12)(14)</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Investment funds</w:t>
            </w: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16,684</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16,650</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Controlled Affiliate Equity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16,684</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16,650</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93"/>
              </w:rPr>
              <w:t>Total Controlled Affiliate Portfolio Investment Assets</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16,684</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16,650</w:t>
            </w:r>
          </w:p>
        </w:tc>
      </w:tr>
      <w:tr>
        <w:trPr>
          <w:trHeight w:val="115"/>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Total Portfolio Investment Assets — 173.7%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318,831</w:t>
            </w: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319,551</w:t>
            </w: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Cost of</w:t>
            </w:r>
          </w:p>
        </w:tc>
        <w:tc>
          <w:tcPr>
            <w:tcW w:w="140" w:type="dxa"/>
            <w:vAlign w:val="bottom"/>
          </w:tcPr>
          <w:p>
            <w:pPr>
              <w:spacing w:after="0"/>
              <w:rPr>
                <w:sz w:val="10"/>
                <w:szCs w:val="10"/>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b w:val="1"/>
                <w:bCs w:val="1"/>
                <w:color w:val="auto"/>
              </w:rPr>
              <w:t>Fair</w:t>
            </w:r>
          </w:p>
        </w:tc>
      </w:tr>
      <w:tr>
        <w:trPr>
          <w:trHeight w:val="135"/>
        </w:trPr>
        <w:tc>
          <w:tcPr>
            <w:tcW w:w="286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Sector</w:t>
            </w:r>
          </w:p>
        </w:tc>
        <w:tc>
          <w:tcPr>
            <w:tcW w:w="368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8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140" w:type="dxa"/>
            <w:vAlign w:val="bottom"/>
          </w:tcPr>
          <w:p>
            <w:pPr>
              <w:spacing w:after="0"/>
              <w:rPr>
                <w:sz w:val="11"/>
                <w:szCs w:val="11"/>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3460" w:type="dxa"/>
            <w:vAlign w:val="bottom"/>
            <w:tcBorders>
              <w:top w:val="single" w:sz="8" w:color="auto"/>
            </w:tcBorders>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Short Term Investments — Unrestricted Investments — 5.3% (8)</w:t>
            </w:r>
          </w:p>
        </w:tc>
        <w:tc>
          <w:tcPr>
            <w:tcW w:w="14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r>
      <w:tr>
        <w:trPr>
          <w:trHeight w:val="122"/>
        </w:trPr>
        <w:tc>
          <w:tcPr>
            <w:tcW w:w="286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6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9,787</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9,787</w:t>
            </w:r>
          </w:p>
        </w:tc>
      </w:tr>
      <w:tr>
        <w:trPr>
          <w:trHeight w:val="115"/>
        </w:trPr>
        <w:tc>
          <w:tcPr>
            <w:tcW w:w="286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3"/>
              </w:rPr>
              <w:t>Total Short Term Investments —Unrestricted Investments</w:t>
            </w:r>
          </w:p>
        </w:tc>
        <w:tc>
          <w:tcPr>
            <w:tcW w:w="6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9,787</w:t>
            </w: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9,787</w:t>
            </w: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122"/>
        </w:trPr>
        <w:tc>
          <w:tcPr>
            <w:tcW w:w="28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w w:val="89"/>
              </w:rPr>
              <w:t>Short Term Investments — Restricted Investments—0.6% (8)</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22"/>
        </w:trPr>
        <w:tc>
          <w:tcPr>
            <w:tcW w:w="286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6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1,133</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1,133</w:t>
            </w:r>
          </w:p>
        </w:tc>
      </w:tr>
      <w:tr>
        <w:trPr>
          <w:trHeight w:val="115"/>
        </w:trPr>
        <w:tc>
          <w:tcPr>
            <w:tcW w:w="286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7"/>
              </w:rPr>
              <w:t>Total Short Term Investments —Restricted Investments</w:t>
            </w:r>
          </w:p>
        </w:tc>
        <w:tc>
          <w:tcPr>
            <w:tcW w:w="6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1,133</w:t>
            </w: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1,133</w:t>
            </w: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0"/>
        </w:trPr>
        <w:tc>
          <w:tcPr>
            <w:tcW w:w="224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170" w:lineRule="exact"/>
        <w:rPr>
          <w:sz w:val="20"/>
          <w:szCs w:val="20"/>
          <w:color w:val="auto"/>
        </w:rPr>
      </w:pPr>
    </w:p>
    <w:p>
      <w:pPr>
        <w:jc w:val="both"/>
        <w:ind w:left="260" w:right="79" w:hanging="202"/>
        <w:spacing w:after="0" w:line="253" w:lineRule="auto"/>
        <w:rPr>
          <w:sz w:val="20"/>
          <w:szCs w:val="20"/>
          <w:color w:val="auto"/>
        </w:rPr>
      </w:pPr>
      <w:r>
        <w:rPr>
          <w:rFonts w:ascii="Arial" w:cs="Arial" w:eastAsia="Arial" w:hAnsi="Arial"/>
          <w:sz w:val="13"/>
          <w:szCs w:val="13"/>
          <w:color w:val="auto"/>
        </w:rPr>
        <w:t>(1</w:t>
      </w:r>
      <w:r>
        <w:rPr>
          <w:rFonts w:ascii="Arial" w:cs="Arial" w:eastAsia="Arial" w:hAnsi="Arial"/>
          <w:sz w:val="14"/>
          <w:szCs w:val="14"/>
          <w:color w:val="auto"/>
        </w:rPr>
        <w:t>) All investments of the Company are in entities which are organized under the laws of the United States and have a principal place of business in the</w:t>
      </w:r>
      <w:r>
        <w:rPr>
          <w:rFonts w:ascii="Arial" w:cs="Arial" w:eastAsia="Arial" w:hAnsi="Arial"/>
          <w:sz w:val="13"/>
          <w:szCs w:val="13"/>
          <w:color w:val="auto"/>
        </w:rPr>
        <w:t xml:space="preserve"> </w:t>
      </w:r>
      <w:r>
        <w:rPr>
          <w:rFonts w:ascii="Arial" w:cs="Arial" w:eastAsia="Arial" w:hAnsi="Arial"/>
          <w:sz w:val="14"/>
          <w:szCs w:val="14"/>
          <w:color w:val="auto"/>
        </w:rPr>
        <w:t>United States.</w:t>
      </w:r>
    </w:p>
    <w:p>
      <w:pPr>
        <w:spacing w:after="0" w:line="52" w:lineRule="exact"/>
        <w:rPr>
          <w:sz w:val="20"/>
          <w:szCs w:val="20"/>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Has been pledged as collateral under the Key Facility and/or the the Asset-Backed Notes.</w:t>
      </w:r>
    </w:p>
    <w:p>
      <w:pPr>
        <w:spacing w:after="0" w:line="82" w:lineRule="exact"/>
        <w:rPr>
          <w:rFonts w:ascii="Arial" w:cs="Arial" w:eastAsia="Arial" w:hAnsi="Arial"/>
          <w:sz w:val="14"/>
          <w:szCs w:val="14"/>
          <w:color w:val="auto"/>
        </w:rPr>
      </w:pPr>
    </w:p>
    <w:p>
      <w:pPr>
        <w:jc w:val="both"/>
        <w:ind w:left="260" w:right="79" w:hanging="210"/>
        <w:spacing w:after="0" w:line="231"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62" w:lineRule="exact"/>
        <w:rPr>
          <w:rFonts w:ascii="Arial" w:cs="Arial" w:eastAsia="Arial" w:hAnsi="Arial"/>
          <w:sz w:val="14"/>
          <w:szCs w:val="14"/>
          <w:color w:val="auto"/>
        </w:rPr>
      </w:pPr>
    </w:p>
    <w:p>
      <w:pPr>
        <w:jc w:val="both"/>
        <w:ind w:left="260" w:right="79" w:hanging="210"/>
        <w:spacing w:after="0" w:line="231"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6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spacing w:after="0" w:line="8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spacing w:after="0" w:line="8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Warrants, Equity and Other Investments are non-income producing.</w:t>
      </w:r>
    </w:p>
    <w:p>
      <w:pPr>
        <w:spacing w:after="0" w:line="8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Value as a percent of net assets.</w:t>
      </w:r>
    </w:p>
    <w:p>
      <w:pPr>
        <w:spacing w:after="0" w:line="82" w:lineRule="exact"/>
        <w:rPr>
          <w:rFonts w:ascii="Arial" w:cs="Arial" w:eastAsia="Arial" w:hAnsi="Arial"/>
          <w:sz w:val="14"/>
          <w:szCs w:val="14"/>
          <w:color w:val="auto"/>
        </w:rPr>
      </w:pPr>
    </w:p>
    <w:p>
      <w:pPr>
        <w:jc w:val="both"/>
        <w:ind w:left="260" w:right="79" w:hanging="210"/>
        <w:spacing w:after="0" w:line="238"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December 31, 2019, 4.9% and 4.8% of the Company’s total assets on a cost and fair value basis, respectively, are in non-qualifying assets. Under the 1940 Act, the Company may not acquire any non-qualifying assets unless, at the time the acquisition is made, qualifying assets represent at least 70% of the Company’s total assets.</w:t>
      </w:r>
    </w:p>
    <w:p>
      <w:pPr>
        <w:spacing w:after="0" w:line="61" w:lineRule="exact"/>
        <w:rPr>
          <w:rFonts w:ascii="Arial" w:cs="Arial" w:eastAsia="Arial" w:hAnsi="Arial"/>
          <w:sz w:val="14"/>
          <w:szCs w:val="14"/>
          <w:color w:val="auto"/>
        </w:rPr>
      </w:pPr>
    </w:p>
    <w:p>
      <w:pPr>
        <w:jc w:val="both"/>
        <w:ind w:left="260" w:right="59" w:hanging="210"/>
        <w:spacing w:after="0" w:line="233" w:lineRule="auto"/>
        <w:tabs>
          <w:tab w:leader="none" w:pos="335" w:val="left"/>
        </w:tabs>
        <w:numPr>
          <w:ilvl w:val="0"/>
          <w:numId w:val="5"/>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49" w:lineRule="exact"/>
        <w:rPr>
          <w:rFonts w:ascii="Arial" w:cs="Arial" w:eastAsia="Arial" w:hAnsi="Arial"/>
          <w:sz w:val="14"/>
          <w:szCs w:val="14"/>
          <w:color w:val="auto"/>
        </w:rPr>
      </w:pPr>
    </w:p>
    <w:p>
      <w:pPr>
        <w:ind w:left="340" w:hanging="290"/>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Debt investment has a PIK feature.</w:t>
      </w:r>
    </w:p>
    <w:p>
      <w:pPr>
        <w:spacing w:after="0" w:line="82" w:lineRule="exact"/>
        <w:rPr>
          <w:rFonts w:ascii="Arial" w:cs="Arial" w:eastAsia="Arial" w:hAnsi="Arial"/>
          <w:sz w:val="14"/>
          <w:szCs w:val="14"/>
          <w:color w:val="auto"/>
        </w:rPr>
      </w:pPr>
    </w:p>
    <w:p>
      <w:pPr>
        <w:ind w:left="340" w:hanging="290"/>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spacing w:after="0" w:line="82" w:lineRule="exact"/>
        <w:rPr>
          <w:rFonts w:ascii="Arial" w:cs="Arial" w:eastAsia="Arial" w:hAnsi="Arial"/>
          <w:sz w:val="14"/>
          <w:szCs w:val="14"/>
          <w:color w:val="auto"/>
        </w:rPr>
      </w:pPr>
    </w:p>
    <w:p>
      <w:pPr>
        <w:ind w:left="340" w:hanging="290"/>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68" w:lineRule="exact"/>
        <w:rPr>
          <w:rFonts w:ascii="Arial" w:cs="Arial" w:eastAsia="Arial" w:hAnsi="Arial"/>
          <w:sz w:val="14"/>
          <w:szCs w:val="14"/>
          <w:color w:val="auto"/>
        </w:rPr>
      </w:pPr>
    </w:p>
    <w:p>
      <w:pPr>
        <w:jc w:val="both"/>
        <w:ind w:left="260" w:right="59" w:hanging="210"/>
        <w:spacing w:after="0" w:line="229" w:lineRule="auto"/>
        <w:tabs>
          <w:tab w:leader="none" w:pos="335"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June 1, 2018, the Company entered into an agreement with Arena Sunset SPV, LLC (“Arena”) to co-invest through Horizon Secured Loan Fund I LLC (“HSLFI”), a joint venture, which is expected to make investments, either directly or indirectly through subsidiaries, primarily in the form of secured loans to development-stage companies in the technology, life science, healthcare information and services and sustainability industries. All HSLFI investment decisions require unanimous approval of a quorum of HSLFI’s board of managers, which consists of two representatives of the Company and Arena. Although the Company owns more than 25% of the voting securities of HSLFI, the Company does not have sole control over significant actions of HSLFI for purposes of the 1940 Act or otherwise.</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4"/>
          <w:szCs w:val="14"/>
          <w:color w:val="auto"/>
        </w:rPr>
        <w:t>(15)Debt investment is on non-accrual status as of December 31, 2019.</w:t>
      </w:r>
    </w:p>
    <w:p>
      <w:pPr>
        <w:spacing w:after="0" w:line="8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sustainability industries. All of the Company’s debt investments consist of loans secured by all of, or a portion of, the applicable debtor company’s tangible and intangible assets.</w:t>
      </w:r>
    </w:p>
    <w:p>
      <w:pPr>
        <w:spacing w:after="0" w:line="16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7"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The Company formed Horizon Funding 2019-1 LLC (“2019-1 LLC”) as a Delaware limited liability company on May 2, 2019 and Horizon Funding Trust 2019-1 on May 15, 2019 (“2019-1 Trust” and, together with the 2019-1 LLC, the “2019-1 Entities”). The 2019-1 Entities are special purpose bankruptcy remote entities and are separate legal entities from the Company. The Company formed the 2019-1 Entities for purposes of securitizing the Asset-Backed Notes.</w:t>
      </w:r>
    </w:p>
    <w:p>
      <w:pPr>
        <w:spacing w:after="0" w:line="15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formed Horizon Funding I, LLC (“HFI”) as a Delaware limited liability company on May 9, 2018, with HSLFI as its sole member. HFI is a special purpose bankruptcy-remote entity and is a separate legal entity from HSLFI. Any assets conveyed to HFI are not available to creditors of HSLFI or any other entity other than HFI’s lenders.</w:t>
      </w:r>
    </w:p>
    <w:p>
      <w:pPr>
        <w:spacing w:after="0" w:line="14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April 21, 2020, the Company purchased all of the limited liability company interests of Arena in HSLFI, including, without limitation, undistributed amounts owed to Arena and interest accrued and unpaid on the debt investments of HSLFI through the date of purchase. As of April 21, 2020, HSLFI and its subsidiary, HFI, are consolidated by the Company.The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consisting soley of normal recurring accruals, that are necessary for the fair presentation of financial results as of and for the periods presented. All</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2019.</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Although the Company owned more than 25% of the voting securities of HSLFI through April 21, 2020, the Company did not have sole control over significant actions of HSLFI for purposes of the 1940 Act or otherwise, and thus did not consolidate its interest prior to April 21, 2020.</w:t>
      </w:r>
    </w:p>
    <w:p>
      <w:pPr>
        <w:spacing w:after="0" w:line="17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Assets related to transactions that do not meet ASC Topic 860 requirements for accounting sale treatment are reflected in the Company’s Consolidated Statements of Assets and Liabilites as investments. Those assets are owned by special purpose entities, including 2019-1 Entities, that are consolidated in the Company’s consolidated financial statements. The creditors of the special purpose entities have received security interests in such assets and such assets are not intended to be available to the creditors of the Company (or any affiliate of the Company).</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Company has determined that it has a single reporting segment and operating unit structure. The Company lends to and invests in portfolio companies in various technology, life science, healthcare information and services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sustainability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Investments are recorded at fair value. The Company’s board of directors (the “Board”) determines the fair value of the Company’s portfolio investments. The Company has the intent to hold its debt investments for the foreseeable future or until maturity or payoff.</w:t>
      </w:r>
    </w:p>
    <w:p>
      <w:pPr>
        <w:spacing w:after="0" w:line="184"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June 30, 2020, there were three debt investments on non-accrual status with a cost of $20.6 million and a fair value of $14.2 million. As of December 31, 2019, there were two investments on non-accrual status with a cost of $5.7 million and a fair value of $2.0 million. For the three and six months ended June 30, 2020, the Company recognized, as interest income, payments of $0.03 million received from one portfolio company whose debt investment was on non-accrual status. For the three and six months ended June 30, 2019, the Company did not recognize any interest income from debt investments on non-accrual status.</w:t>
      </w:r>
    </w:p>
    <w:p>
      <w:pPr>
        <w:spacing w:after="0" w:line="168"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96"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three months ended June 30, 2020 and 2019 was 5.6%. The proportion of the Company’s total investment income that resulted from the portion of ETPs not received in cash for the six months ended June 30, 2020 and 2019 was 6.4% and 6.7%, respectively.</w:t>
      </w:r>
    </w:p>
    <w:p>
      <w:pPr>
        <w:spacing w:after="0" w:line="177"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Distributions from HSLFI were evaluated at the time of distribution to determine if the distribution should be recorded as dividend income or a return of capital. Generally, the Company did not record distributions from HSLFI as dividend income unless there was sufficient accumulated tax-basis earnings and profit in HSLFI prior to distribution. Distributions that were classified as a return of capital were recorded as a reduction in the cost basis of the investment. For the period January 1, 2020 through April 21, 2020, HSLFI made no distributions classified as dividend income or a return of capital to the Company. For the three and six months ended June 30, 2019, HSLFI distributed $0.3 million and $0.5 million, respectively, classified as dividend income to the Company.</w:t>
      </w:r>
    </w:p>
    <w:p>
      <w:pPr>
        <w:spacing w:after="0" w:line="17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Debt issuance costs are fees and other direct incremental costs incurred by the Company in obtaining debt financing from its lenders and issuing debt securities. The unamortized balance of debt issuance costs as of June 30, 2020 and December 31, 2019 was $3.6 million and $3.3 million, respectively. These amounts are amortized and included in interest expense in the consolidated statements of operations over the life of the borrowings. The accumulated amortization balances as of June 30, 2020 and December 31, 2019 were $3.7 million and $3.1 million, respectively. The amortization expense for the three months ended June 30, 2020 and 2019 was $0.4 million and $0.2 million, respectively. The amortization expense for the six months ended June 30, 2020 and 2019 was $0.6 million and $0.3 million,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w:t>
      </w:r>
      <w:r>
        <w:rPr>
          <w:rFonts w:ascii="Arial" w:cs="Arial" w:eastAsia="Arial" w:hAnsi="Arial"/>
          <w:sz w:val="16"/>
          <w:szCs w:val="16"/>
          <w:i w:val="1"/>
          <w:iCs w:val="1"/>
          <w:color w:val="auto"/>
        </w:rPr>
        <w:t>Investment Companies</w:t>
      </w:r>
      <w:r>
        <w:rPr>
          <w:rFonts w:ascii="Arial" w:cs="Arial" w:eastAsia="Arial" w:hAnsi="Arial"/>
          <w:sz w:val="16"/>
          <w:szCs w:val="16"/>
          <w:color w:val="auto"/>
        </w:rPr>
        <w:t>, as amended, of the Financial Accounting Standards Board’s (“FASB’s”),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2019, the Company reclassified $0.2 million to paid-in capital from distributions in excess of net investment income, which related to excise taxes payable.</w:t>
      </w:r>
    </w:p>
    <w:p>
      <w:pPr>
        <w:spacing w:after="0" w:line="17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three and six months ended June 30, 2020 and 2019, there was no U.S. federal excise tax recorded.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June 30, 2020 and December 31, 2019. The Company’s income tax returns for the 2018, 2017 and 2016 tax years remain subject to examination by U.S. federal and state tax authorities.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8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issue new shares or purchase shares in the open market to fulfill its obligations under the plan.</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On March 26, 2019, the Company completed a follow-on public offering of 2,000,000 shares of its common stock at a public offering price of $12.14 per share, for total net proceeds to the Company of $23.1 million, after deducting underwriting commission and discounts and other offering expenses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August 2, 2019 the Company entered into an At-The-Market (“ATM”) sales agreement (the “Equity Distribution Agreement”), with Goldman Sachs &amp; Co. LLC and B. Riley FBR, Inc. (each a “Sales Agent” and, collectively, the “Sales Agents”). The Equity Distribution Agreement provides that Horizon may offer and sell its shares from time to time through the Sales Agents up to $50.0 million worth of its common stock, in amounts and at times to be determined by the Company. Sales of the Company’s common stock, if any, may be made in negotiated transactions or transactions that are deemed to be “at-the-market,” as defined in Rule 415 under the Securities Act, including sales made directly on the NASDAQ or similar securities exchange or sales made to or through a market maker other than on an exchange, at prices related to the prevailing market prices or at negotiated prices.</w:t>
      </w:r>
    </w:p>
    <w:p>
      <w:pPr>
        <w:spacing w:after="0" w:line="178"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During the three months ended June 30, 2020, the Company sold 432,491 shares of common stock under the Equity Distribution Agreement. For the same period, the Company received total accumulated net proceeds of approximately $5.0 million, including $0.1 million of offering expenses, from these sales.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six months ended June 30, 2020, the Company sold 1,717,901 shares of common stock under the Equity Distribution Agreement. For the same period, the Company received total accumulated net proceeds of approximately $21.1 million, including $0.5 million of offering expenses, from these sales.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generally uses net proceeds from these offerings to make investments, to pay down liabilities and for general corporate purposes. As of June 30, 2020, shares representing approximately $3.8 million of its common stock remain available for issuance and sale under the Equity Distribution Agreement.</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On April 24, 2020, the Board extended a previously authorized stock repurchase program which allows the Company to repurchase up to $5.0 million of its common stock at prices below the Company’s net asset value per share as reported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2021 or the repurchase of $5.0 million of the Company’s common stock. During the three and six months ended June 30, 2020 and 2019, the Company did not make any repurchases of its common stock. From the inception of the stock repurchase program through June 30, 2020, the Company repurchased 167,465 shares of its common stock at an average price of $11.22 on the open market at a total cost of $1.9 million.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6"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w:t>
      </w:r>
    </w:p>
    <w:p>
      <w:pPr>
        <w:spacing w:after="0" w:line="2" w:lineRule="exact"/>
        <w:rPr>
          <w:sz w:val="20"/>
          <w:szCs w:val="20"/>
          <w:color w:val="auto"/>
        </w:rPr>
      </w:pPr>
    </w:p>
    <w:p>
      <w:pPr>
        <w:ind w:left="60" w:right="79" w:hanging="10"/>
        <w:spacing w:after="0" w:line="290" w:lineRule="auto"/>
        <w:tabs>
          <w:tab w:leader="none" w:pos="307"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agreement that both entitles and obligates the transferor to repurchase or redeem the assets before maturity or (b) the ability to unilaterally cause the holder to return specific assets, other than through a cleanup call.</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Recently issued accounting pronouncement</w:t>
      </w:r>
    </w:p>
    <w:p>
      <w:pPr>
        <w:spacing w:after="0" w:line="22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March 2020, the FASB issued Accounting Standards Update No. 2020-04, Reference Rate Reform (Topic 848): Facilitation of the Effects of Reference Rate Reform on Financial Reporting (“ASU 2020-04”). ASU 2020-04 provides optional expedients and exceptions for applying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assessing the impact of ASU 2020-04 and the LIBOR transition on its consolidated financial statements.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At a special meeting of the stockholders on October 30, 2018, the stockholders approved a new Investment Management Agreement which became effective on March 7, 2019. The new Investment Management Agreement replaced the previously effective Amended and Restated Investment Management Agreement dated as of October 28, 2010 and amended effective July 1, 2014.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6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SEC. The Advisor receives fees for providing services to the Company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the Investment Management Agreement, consisting of two components, a base management fee and an incentive fee.</w:t>
      </w:r>
    </w:p>
    <w:p>
      <w:pPr>
        <w:spacing w:after="0" w:line="24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Through October 30, 2018, the base management fee was calculated at an annual rate of 2.00% of the Company’s gross assets (less cash and cash equivalents) including any assets acquired with the proceeds of leverage. From and after October 31, 2018, the first date on which the reduced asset coverage requirements in Section 61(a)(2) of the 1940 Act applied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66"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base management fee payable at June 30, 2020 and December 31, 2019 was $0.6 million and $0.5 million, respectively. The base management fee expense was $1.7 million and $1.4 million for the three months ended June 30, 2020 and 2019, respectively. The base management fee expense was $3.2 million and $2.7 million for the six months ended June 30, 2020 and 2019, respectively.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adjusted for any share issuances or repurchases during the relevant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82"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67" w:lineRule="auto"/>
        <w:rPr>
          <w:sz w:val="20"/>
          <w:szCs w:val="20"/>
          <w:color w:val="auto"/>
        </w:rPr>
      </w:pPr>
      <w:r>
        <w:rPr>
          <w:rFonts w:ascii="Arial" w:cs="Arial" w:eastAsia="Arial" w:hAnsi="Arial"/>
          <w:sz w:val="17"/>
          <w:szCs w:val="17"/>
          <w:color w:val="auto"/>
        </w:rPr>
        <w:t>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18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81"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On March 5, 2019, the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and six months ended June 30, 2019, the Advisor waived performance based incentive fees of $0.7 million and $1.8 million, respectively, which the Advisor would have otherwise been paid by the Company.</w:t>
      </w:r>
    </w:p>
    <w:p>
      <w:pPr>
        <w:spacing w:after="0" w:line="1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net performance based incentive fee expense was $1.7 million and $1.3 million, respectively, for the three months ended June 30, 2020 and 2019, respectively. The net performance based incentive fee expense was $2.7 million and $2.1 million for the six months ended June 30, 2020 and 2019, respectively. The performance based incentive fee payable as of June 30, 2020 and December 31, 2019 was $1.7 million and $1.6 million, respectively. The entire incentive fee payable as of June 30, 2020 and December 31, 2019 represented part one of the incentive fee.</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$0.3 million and $0.2 million for the three months ended June 30, 2020 and 2019, respectively.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administrative fee expense was $0.5 million and $0.4 million for the six months ended June 30, 2020 and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investments as of June 30, 2020 and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ind w:left="3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680" w:type="dxa"/>
            <w:vAlign w:val="bottom"/>
            <w:gridSpan w:val="4"/>
          </w:tcPr>
          <w:p>
            <w:pPr>
              <w:jc w:val="right"/>
              <w:ind w:right="233"/>
              <w:spacing w:after="0"/>
              <w:rPr>
                <w:sz w:val="20"/>
                <w:szCs w:val="20"/>
                <w:color w:val="auto"/>
              </w:rPr>
            </w:pPr>
            <w:r>
              <w:rPr>
                <w:rFonts w:ascii="Arial" w:cs="Arial" w:eastAsia="Arial" w:hAnsi="Arial"/>
                <w:sz w:val="14"/>
                <w:szCs w:val="14"/>
                <w:b w:val="1"/>
                <w:bCs w:val="1"/>
                <w:color w:val="auto"/>
              </w:rPr>
              <w:t>December 31, 2019</w:t>
            </w:r>
          </w:p>
        </w:tc>
      </w:tr>
      <w:tr>
        <w:trPr>
          <w:trHeight w:val="142"/>
        </w:trPr>
        <w:tc>
          <w:tcPr>
            <w:tcW w:w="5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129"/>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4"/>
          </w:tcPr>
          <w:p>
            <w:pPr>
              <w:jc w:val="right"/>
              <w:ind w:right="375"/>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Debt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352,337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342,722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292,054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288,355</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r>
      <w:tr>
        <w:trPr>
          <w:trHeight w:val="216"/>
        </w:trPr>
        <w:tc>
          <w:tcPr>
            <w:tcW w:w="5140" w:type="dxa"/>
            <w:vAlign w:val="bottom"/>
          </w:tcPr>
          <w:p>
            <w:pPr>
              <w:ind w:left="120"/>
              <w:spacing w:after="0"/>
              <w:rPr>
                <w:sz w:val="20"/>
                <w:szCs w:val="20"/>
                <w:color w:val="auto"/>
              </w:rPr>
            </w:pPr>
            <w:r>
              <w:rPr>
                <w:rFonts w:ascii="Arial" w:cs="Arial" w:eastAsia="Arial" w:hAnsi="Arial"/>
                <w:sz w:val="18"/>
                <w:szCs w:val="18"/>
                <w:color w:val="auto"/>
              </w:rPr>
              <w:t>Equity interest in HSLFI</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16,650</w:t>
            </w:r>
          </w:p>
        </w:tc>
      </w:tr>
      <w:tr>
        <w:trPr>
          <w:trHeight w:val="209"/>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361,698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355,880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318,831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319,551</w:t>
            </w: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the Company’s investments by industry sector as of June 30, 2020 and December 31, 2019:</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December 31, 2019</w:t>
            </w:r>
          </w:p>
        </w:tc>
      </w:tr>
      <w:tr>
        <w:trPr>
          <w:trHeight w:val="142"/>
        </w:trPr>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28"/>
        </w:trPr>
        <w:tc>
          <w:tcPr>
            <w:tcW w:w="3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Biotechnology</w:t>
            </w:r>
          </w:p>
        </w:tc>
        <w:tc>
          <w:tcPr>
            <w:tcW w:w="10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92,498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85,615</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42,886</w:t>
            </w:r>
          </w:p>
        </w:tc>
        <w:tc>
          <w:tcPr>
            <w:tcW w:w="18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42,265</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Drug Delivery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Medical Device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92,952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60,807</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1,734</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Consumer-Related</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44,196</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Data Storage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25,012</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Internet and Media</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22,992</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Materials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8,491</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 Management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Semiconductors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Sustainability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Energy Efficiency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Healthcare Information and Services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Diagnostics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14,871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9,920</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Investment funds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HSLFI</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r>
      <w:tr>
        <w:trPr>
          <w:trHeight w:val="209"/>
        </w:trPr>
        <w:tc>
          <w:tcPr>
            <w:tcW w:w="3420" w:type="dxa"/>
            <w:vAlign w:val="bottom"/>
          </w:tcPr>
          <w:p>
            <w:pPr>
              <w:spacing w:after="0"/>
              <w:rPr>
                <w:sz w:val="20"/>
                <w:szCs w:val="20"/>
                <w:color w:val="auto"/>
              </w:rPr>
            </w:pPr>
            <w:r>
              <w:rPr>
                <w:rFonts w:ascii="Arial" w:cs="Arial" w:eastAsia="Arial" w:hAnsi="Arial"/>
                <w:sz w:val="18"/>
                <w:szCs w:val="18"/>
                <w:color w:val="auto"/>
              </w:rPr>
              <w:t>Total investments</w:t>
            </w:r>
          </w:p>
        </w:tc>
        <w:tc>
          <w:tcPr>
            <w:tcW w:w="8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361,698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355,880</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318,831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319,551</w:t>
            </w:r>
          </w:p>
        </w:tc>
      </w:tr>
      <w:tr>
        <w:trPr>
          <w:trHeight w:val="20"/>
        </w:trPr>
        <w:tc>
          <w:tcPr>
            <w:tcW w:w="3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Horizon Secured Loan Fund I LLC</w:t>
      </w:r>
    </w:p>
    <w:p>
      <w:pPr>
        <w:spacing w:after="0" w:line="22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sustainability industries. HSLFI was formed as a Delaware limited liability company and was not consolidated by either the Company or Arena for financial reporting purposes. On April 21, 2020,</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purchased all of the limited liability company interests of Arena in HSLFI, including, without limitation, undistributed amounts owed to Arena and interest accrued and unpaid on the debt investments of HSLFI through the date of purchase, for $17.1 million. In addition, Arena received 50% of the warrants held by HSLFI or HFI at closing. HSLFI is now wholly-owned by the Company and in future reporting periods, the assets and liabilities of HSLFI and HFI will be consolidated with the assets and liabilities of the Company. The transaction is accounted for as an asset acquisition under GAAP.</w:t>
      </w:r>
    </w:p>
    <w:p>
      <w:pPr>
        <w:spacing w:after="0" w:line="19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Investments held by HSLFI were measured at fair value using the same valuation methodology as described in Note 6. As of December 31, 2019, HSLFI had total assets of $48.3 million. HSLFI’s portfolio consisted of debt investments in eight portfolio companies as of December 31, 2019. As of December 31, 2019, the largest investment in a single portfolio company in the HSLFI’s portfolio in aggregate principal amount was $11.3 million and the five largest investments in portfolio companies in the HSLFI totaled $30.3 million. As of December 31, 2019, HSLFI had no investments on non-accrual status. HSLFI invested in portfolio companies in the same industries in which the Company may directly invest.</w:t>
      </w:r>
    </w:p>
    <w:p>
      <w:pPr>
        <w:spacing w:after="0" w:line="164"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invested cash or securities in portfolio companies in HSLFI in exchange for limited liability company equity interests in HSLFI. As of December 31, 2019, the Company and Arena each owned 50.0% of the equity interests of HSLFI. The Company had an original commitment to fund $25.0 million of equity interests in HSLFI. As of December 31, 2019, $9.8 million was unfunded. The Company’s investment in HSLFI consisted of an equity contribution of $15.2 million as of December 31, 2019. During the period January 1, 2020 through April 21, 2020, there were no distributions from HSLFI. During the three and six months ended June 30, 2019, HSLFI distributed $0.6 million and $1.1 million, respectively.</w:t>
      </w:r>
    </w:p>
    <w:p>
      <w:pPr>
        <w:spacing w:after="0" w:line="195"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and Arena each appointed two members to HSLFI’s four-person board of managers. All material decisions with respect to HSLFI, including those involving its investment portfolio, required unanimous approval of a quorum of the board of managers. Quorum was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9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HFI entered into the NYL Facility with the Noteholders for an aggregate purchase price of up to $100.0 million, with an accordion feature of up to $200.0 million at the mutual discretion and agreement of HSLFI and the Noteholders. The Note Funding Agreement’s investment period has ended. On June 1, 2018, HSLFI sold or contributed to HFI certain secured loans made to certain portfolio companies pursuant to a sale and servicing agreement with HFI, as Issuer, and the Company, as Servicer (the “Sale and Servicing Agreement”), as amended by that certain Amendment No. 1 to the Sale and Servicing Agreement, dated June 19, 2019 (the “Amendment No. 1”). Any notes issued by HFI were collateralized by all investments held by HFI and permitted an advance rate of up to 67% of the aggregate principal amount of eligible debt investments. The notes were issued pursuant to that certain indenture by and between HFI and U.S. Bank National Association, dated as of June 1, 2018 (the “Indenture”). The interest rate on the notes issued under the NYL Facility was based on the three year USD mid-market swap rate plus a margin of between 2.75% and 3.25% depending on the rating of such notes at the time of issuance. There were $15.0 million in advances made by the Noteholders as of December 31, 2019 at an interest rate of 4.98%.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HSLFI’s investments as of December 31, 2019:</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Principal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Cost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80" w:type="dxa"/>
            <w:vAlign w:val="bottom"/>
            <w:gridSpan w:val="3"/>
          </w:tcPr>
          <w:p>
            <w:pPr>
              <w:ind w:left="20"/>
              <w:spacing w:after="0" w:line="154" w:lineRule="exact"/>
              <w:rPr>
                <w:sz w:val="20"/>
                <w:szCs w:val="20"/>
                <w:color w:val="auto"/>
              </w:rPr>
            </w:pPr>
            <w:r>
              <w:rPr>
                <w:rFonts w:ascii="Arial" w:cs="Arial" w:eastAsia="Arial" w:hAnsi="Arial"/>
                <w:sz w:val="12"/>
                <w:szCs w:val="12"/>
                <w:b w:val="1"/>
                <w:bCs w:val="1"/>
                <w:color w:val="auto"/>
              </w:rPr>
              <w:t xml:space="preserve">Portfolio Company </w:t>
            </w:r>
            <w:r>
              <w:rPr>
                <w:rFonts w:ascii="Arial" w:cs="Arial" w:eastAsia="Arial" w:hAnsi="Arial"/>
                <w:sz w:val="17"/>
                <w:szCs w:val="17"/>
                <w:b w:val="1"/>
                <w:bCs w:val="1"/>
                <w:color w:val="auto"/>
                <w:vertAlign w:val="superscript"/>
              </w:rPr>
              <w:t>(1)</w:t>
            </w:r>
          </w:p>
        </w:tc>
        <w:tc>
          <w:tcPr>
            <w:tcW w:w="1100" w:type="dxa"/>
            <w:vAlign w:val="bottom"/>
          </w:tcPr>
          <w:p>
            <w:pPr>
              <w:ind w:left="420"/>
              <w:spacing w:after="0"/>
              <w:rPr>
                <w:sz w:val="20"/>
                <w:szCs w:val="20"/>
                <w:color w:val="auto"/>
              </w:rPr>
            </w:pPr>
            <w:r>
              <w:rPr>
                <w:rFonts w:ascii="Arial" w:cs="Arial" w:eastAsia="Arial" w:hAnsi="Arial"/>
                <w:sz w:val="13"/>
                <w:szCs w:val="13"/>
                <w:b w:val="1"/>
                <w:bCs w:val="1"/>
                <w:color w:val="auto"/>
              </w:rPr>
              <w:t>Sector</w:t>
            </w:r>
          </w:p>
        </w:tc>
        <w:tc>
          <w:tcPr>
            <w:tcW w:w="2800" w:type="dxa"/>
            <w:vAlign w:val="bottom"/>
          </w:tcPr>
          <w:p>
            <w:pPr>
              <w:ind w:left="820"/>
              <w:spacing w:after="0" w:line="154" w:lineRule="exact"/>
              <w:rPr>
                <w:sz w:val="20"/>
                <w:szCs w:val="20"/>
                <w:color w:val="auto"/>
              </w:rPr>
            </w:pPr>
            <w:r>
              <w:rPr>
                <w:rFonts w:ascii="Arial" w:cs="Arial" w:eastAsia="Arial" w:hAnsi="Arial"/>
                <w:sz w:val="12"/>
                <w:szCs w:val="12"/>
                <w:b w:val="1"/>
                <w:bCs w:val="1"/>
                <w:color w:val="auto"/>
              </w:rPr>
              <w:t xml:space="preserve">Type of Investment </w:t>
            </w:r>
            <w:r>
              <w:rPr>
                <w:rFonts w:ascii="Arial" w:cs="Arial" w:eastAsia="Arial" w:hAnsi="Arial"/>
                <w:sz w:val="17"/>
                <w:szCs w:val="17"/>
                <w:b w:val="1"/>
                <w:bCs w:val="1"/>
                <w:color w:val="auto"/>
                <w:vertAlign w:val="superscript"/>
              </w:rPr>
              <w:t>(2)(3)(4)</w:t>
            </w:r>
          </w:p>
        </w:tc>
        <w:tc>
          <w:tcPr>
            <w:tcW w:w="3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1000" w:type="dxa"/>
            <w:vAlign w:val="bottom"/>
            <w:gridSpan w:val="4"/>
          </w:tcPr>
          <w:p>
            <w:pPr>
              <w:jc w:val="center"/>
              <w:ind w:right="40"/>
              <w:spacing w:after="0" w:line="154" w:lineRule="exact"/>
              <w:rPr>
                <w:sz w:val="20"/>
                <w:szCs w:val="20"/>
                <w:color w:val="auto"/>
              </w:rPr>
            </w:pPr>
            <w:r>
              <w:rPr>
                <w:rFonts w:ascii="Arial" w:cs="Arial" w:eastAsia="Arial" w:hAnsi="Arial"/>
                <w:sz w:val="12"/>
                <w:szCs w:val="12"/>
                <w:b w:val="1"/>
                <w:bCs w:val="1"/>
                <w:color w:val="auto"/>
                <w:w w:val="90"/>
              </w:rPr>
              <w:t>Investments</w:t>
            </w:r>
            <w:r>
              <w:rPr>
                <w:rFonts w:ascii="Arial" w:cs="Arial" w:eastAsia="Arial" w:hAnsi="Arial"/>
                <w:sz w:val="17"/>
                <w:szCs w:val="17"/>
                <w:b w:val="1"/>
                <w:bCs w:val="1"/>
                <w:color w:val="auto"/>
                <w:w w:val="90"/>
                <w:vertAlign w:val="superscript"/>
              </w:rPr>
              <w:t>(5)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800" w:type="dxa"/>
            <w:vAlign w:val="bottom"/>
            <w:tcBorders>
              <w:top w:val="single" w:sz="8" w:color="auto"/>
            </w:tcBorders>
            <w:shd w:val="clear" w:color="auto" w:fill="CCEEFF"/>
          </w:tcPr>
          <w:p>
            <w:pPr>
              <w:ind w:left="380"/>
              <w:spacing w:after="0" w:line="129" w:lineRule="exact"/>
              <w:rPr>
                <w:sz w:val="20"/>
                <w:szCs w:val="20"/>
                <w:color w:val="auto"/>
              </w:rPr>
            </w:pPr>
            <w:r>
              <w:rPr>
                <w:rFonts w:ascii="Arial" w:cs="Arial" w:eastAsia="Arial" w:hAnsi="Arial"/>
                <w:sz w:val="13"/>
                <w:szCs w:val="13"/>
                <w:b w:val="1"/>
                <w:bCs w:val="1"/>
                <w:color w:val="auto"/>
              </w:rPr>
              <w:t>(Dollars in thousands)</w:t>
            </w:r>
          </w:p>
        </w:tc>
        <w:tc>
          <w:tcPr>
            <w:tcW w:w="3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Debt Investments — Life science</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Celsion Corporation (6)(7)(8)</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3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2,500</w:t>
            </w:r>
          </w:p>
        </w:tc>
        <w:tc>
          <w:tcPr>
            <w:tcW w:w="220" w:type="dxa"/>
            <w:vAlign w:val="bottom"/>
            <w:gridSpan w:val="2"/>
            <w:shd w:val="clear" w:color="auto" w:fill="CCEEFF"/>
          </w:tcPr>
          <w:p>
            <w:pPr>
              <w:jc w:val="right"/>
              <w:ind w:right="54"/>
              <w:spacing w:after="0" w:line="12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9.63%), 4.00% ETP, Due 7/1/22)</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2,500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2,464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9.63%), 4.00% ETP, Due 7/1/22)</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Encore Dermatology,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(10.00% cash (Libor + 7.50%;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4,929</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10.00%), 3.00% ETP, Due 4/1/23)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Mustang Bio, Inc. (6)(7)(8)</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(9.00% cash (Libor + 6.50%;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4,924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4,924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9.00%), 5.00% ETP, Due 10/1/22)</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Debt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14,781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14,781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Debt Investments — Technology</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Bridge2 Solutions, LLC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(11.00% cash (Libor + 8.4%;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481</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11.00%), 2.00% ETP, Due 9/1/23)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New Signature US, Inc. (6)(7)(9)</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8,250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8,163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8,163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10.50%), 3.50% ETP, Due 7/1/22)</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2,961</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10.50%), 3.50% ETP, Due 2/1/23)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OutboundEngine,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(11.15% cash (Libor + 8.40%;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11.15%), 3.00% ETP, Due 7/1/23)</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Revinate,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(9.50% cash (Libor + 7.00%;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3,952</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9.50%), 3.00% ETP, Due 6/1/23)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w w:val="99"/>
              </w:rPr>
              <w:t>Total Debt Investments — Technology</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16,048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16,048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7"/>
              </w:rPr>
              <w:t>Debt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HealthEdge Software,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(9.94% cash (Libor + 8.25%;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3,750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3,709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9.25%), 3.00% ETP, Due 10/1/23)</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5"/>
              </w:rPr>
              <w:t>Total Debt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3,709</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Debt Investments</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34,538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34,538</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Warrant Investments — Life science</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Celsion Corporation (6)(7)(8)</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95,057 Common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color w:val="auto"/>
              </w:rPr>
              <w:t>Encore Dermatology, Inc.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503,626 Preferred Stock Warrants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Mustang Bio, Inc. (6)(7)(8)</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72,046 Common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CSA Medical, Inc. (6)(7)</w:t>
            </w:r>
          </w:p>
        </w:tc>
        <w:tc>
          <w:tcPr>
            <w:tcW w:w="11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Medical Device</w:t>
            </w:r>
          </w:p>
        </w:tc>
        <w:tc>
          <w:tcPr>
            <w:tcW w:w="280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3"/>
                <w:szCs w:val="13"/>
                <w:color w:val="auto"/>
              </w:rPr>
              <w:t>17,751 Preferred Stock Warrants</w:t>
            </w: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6"/>
              </w:rPr>
              <w:t>Total Warrant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Warrant Investments — Technology</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Intelepeer Holdings,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Communications</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2,081,934 Preferred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color w:val="auto"/>
              </w:rPr>
              <w:t>Bridge2 Solutions, LLC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2,500 Common Stock Warrants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BSI Platform Holdings, LLC (6)(7)(9)</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562,500 Preferred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color w:val="auto"/>
              </w:rPr>
              <w:t>OutboundEngine, Inc.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40,000 Preferred Stock Warrants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Revinate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216,362 Preferred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w w:val="97"/>
              </w:rPr>
              <w:t>Total Warrant Investments — Technology</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2"/>
              </w:rPr>
              <w:t>Warrant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HealthEdge Software, Inc. (6)(7)</w:t>
            </w:r>
          </w:p>
        </w:tc>
        <w:tc>
          <w:tcPr>
            <w:tcW w:w="11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3"/>
                <w:szCs w:val="13"/>
                <w:color w:val="auto"/>
              </w:rPr>
              <w:t>47,418 Preferred Stock Warrants</w:t>
            </w: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0"/>
              </w:rPr>
              <w:t>Total Warrant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Warrant Investments</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357</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Total Portfolio Investment Assets</w:t>
            </w:r>
          </w:p>
        </w:tc>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34,895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34,829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28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Short Term Investments — Unrestricted Investments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11,201</w:t>
            </w:r>
          </w:p>
        </w:tc>
        <w:tc>
          <w:tcPr>
            <w:tcW w:w="1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11,201</w:t>
            </w:r>
          </w:p>
        </w:tc>
        <w:tc>
          <w:tcPr>
            <w:tcW w:w="0" w:type="dxa"/>
            <w:vAlign w:val="bottom"/>
          </w:tcPr>
          <w:p>
            <w:pPr>
              <w:spacing w:after="0"/>
              <w:rPr>
                <w:sz w:val="1"/>
                <w:szCs w:val="1"/>
                <w:color w:val="auto"/>
              </w:rPr>
            </w:pPr>
          </w:p>
        </w:tc>
      </w:tr>
      <w:tr>
        <w:trPr>
          <w:trHeight w:val="168"/>
        </w:trPr>
        <w:tc>
          <w:tcPr>
            <w:tcW w:w="3480" w:type="dxa"/>
            <w:vAlign w:val="bottom"/>
            <w:gridSpan w:val="4"/>
          </w:tcPr>
          <w:p>
            <w:pPr>
              <w:ind w:left="20"/>
              <w:spacing w:after="0" w:line="129" w:lineRule="exact"/>
              <w:rPr>
                <w:sz w:val="20"/>
                <w:szCs w:val="20"/>
                <w:color w:val="auto"/>
              </w:rPr>
            </w:pPr>
            <w:r>
              <w:rPr>
                <w:rFonts w:ascii="Arial" w:cs="Arial" w:eastAsia="Arial" w:hAnsi="Arial"/>
                <w:sz w:val="13"/>
                <w:szCs w:val="13"/>
                <w:b w:val="1"/>
                <w:bCs w:val="1"/>
                <w:color w:val="auto"/>
                <w:w w:val="95"/>
              </w:rPr>
              <w:t>Total Short Term Investments — Unrestricted Investments</w:t>
            </w: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11,201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11,201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28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4"/>
              </w:rPr>
              <w:t>Short Term Investments — Restricted Money Market Funds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1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28"/>
        </w:trPr>
        <w:tc>
          <w:tcPr>
            <w:tcW w:w="3480" w:type="dxa"/>
            <w:vAlign w:val="bottom"/>
            <w:gridSpan w:val="4"/>
          </w:tcPr>
          <w:p>
            <w:pPr>
              <w:ind w:left="20"/>
              <w:spacing w:after="0" w:line="129" w:lineRule="exact"/>
              <w:rPr>
                <w:sz w:val="20"/>
                <w:szCs w:val="20"/>
                <w:color w:val="auto"/>
              </w:rPr>
            </w:pPr>
            <w:r>
              <w:rPr>
                <w:rFonts w:ascii="Arial" w:cs="Arial" w:eastAsia="Arial" w:hAnsi="Arial"/>
                <w:sz w:val="13"/>
                <w:szCs w:val="13"/>
                <w:color w:val="auto"/>
                <w:w w:val="91"/>
              </w:rPr>
              <w:t>Total Short Term Investments — Restricted Money Market Funds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138</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30"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investments of HSLFI are in entities which are organized under the laws of the United States and have a principal place of business in the United States.</w:t>
      </w:r>
    </w:p>
    <w:p>
      <w:pPr>
        <w:jc w:val="both"/>
        <w:ind w:left="380" w:right="79" w:hanging="330"/>
        <w:spacing w:after="0" w:line="227"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jc w:val="both"/>
        <w:ind w:left="380" w:right="79" w:hanging="330"/>
        <w:spacing w:after="0" w:line="227"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Warrants are non-income producing.</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Has been pledged as collateral under the NYL Facility.</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ind w:left="380" w:hanging="330"/>
        <w:spacing w:after="0" w:line="221" w:lineRule="auto"/>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ind w:left="380" w:hanging="330"/>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196"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December 31, 2019, for the period January 1, 2020 through April 21, 2020 and for the three and six months ended June 30,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4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393"/>
              <w:spacing w:after="0"/>
              <w:rPr>
                <w:sz w:val="20"/>
                <w:szCs w:val="20"/>
                <w:color w:val="auto"/>
              </w:rPr>
            </w:pPr>
            <w:r>
              <w:rPr>
                <w:rFonts w:ascii="Arial" w:cs="Arial" w:eastAsia="Arial" w:hAnsi="Arial"/>
                <w:sz w:val="14"/>
                <w:szCs w:val="14"/>
                <w:b w:val="1"/>
                <w:bCs w:val="1"/>
                <w:color w:val="auto"/>
              </w:rPr>
              <w:t>2019</w:t>
            </w:r>
          </w:p>
        </w:tc>
      </w:tr>
      <w:tr>
        <w:trPr>
          <w:trHeight w:val="142"/>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Total investments at fair value (cost of $34,895)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34,829</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11,201</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investments in money market funds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4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48,257</w:t>
            </w:r>
          </w:p>
        </w:tc>
      </w:tr>
      <w:tr>
        <w:trPr>
          <w:trHeight w:val="197"/>
        </w:trPr>
        <w:tc>
          <w:tcPr>
            <w:tcW w:w="6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14,955</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w:t>
            </w: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33,176</w:t>
            </w:r>
          </w:p>
        </w:tc>
      </w:tr>
      <w:tr>
        <w:trPr>
          <w:trHeight w:val="209"/>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48,257</w:t>
            </w:r>
          </w:p>
        </w:tc>
      </w:tr>
      <w:tr>
        <w:trPr>
          <w:trHeight w:val="20"/>
        </w:trPr>
        <w:tc>
          <w:tcPr>
            <w:tcW w:w="60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r>
      <w:tr>
        <w:trPr>
          <w:trHeight w:val="552"/>
        </w:trPr>
        <w:tc>
          <w:tcPr>
            <w:tcW w:w="604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For the period</w:t>
            </w:r>
          </w:p>
        </w:tc>
        <w:tc>
          <w:tcPr>
            <w:tcW w:w="12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For the three</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six</w:t>
            </w: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January 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months</w:t>
            </w:r>
          </w:p>
        </w:tc>
        <w:tc>
          <w:tcPr>
            <w:tcW w:w="120" w:type="dxa"/>
            <w:vAlign w:val="bottom"/>
          </w:tcPr>
          <w:p>
            <w:pPr>
              <w:spacing w:after="0"/>
              <w:rPr>
                <w:sz w:val="12"/>
                <w:szCs w:val="12"/>
                <w:color w:val="auto"/>
              </w:rPr>
            </w:pPr>
          </w:p>
        </w:tc>
        <w:tc>
          <w:tcPr>
            <w:tcW w:w="70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0"/>
              </w:rPr>
              <w:t>months</w:t>
            </w: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7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2"/>
                <w:szCs w:val="12"/>
                <w:color w:val="auto"/>
              </w:rPr>
            </w:pPr>
          </w:p>
        </w:tc>
        <w:tc>
          <w:tcPr>
            <w:tcW w:w="7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604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April 21, 2020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r>
      <w:tr>
        <w:trPr>
          <w:trHeight w:val="128"/>
        </w:trPr>
        <w:tc>
          <w:tcPr>
            <w:tcW w:w="6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Interest income on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1,353</w:t>
            </w:r>
          </w:p>
        </w:tc>
        <w:tc>
          <w:tcPr>
            <w:tcW w:w="4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1,997</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1,229</w:t>
            </w:r>
          </w:p>
        </w:tc>
        <w:tc>
          <w:tcPr>
            <w:tcW w:w="4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848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A non-controlled affiliated company is generally a portfolio company in which the Company owns 5% or more of such portfolio company’s voting securities but not more than 25% of such portfolio company’s voting securities.</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340" w:type="dxa"/>
            <w:vAlign w:val="bottom"/>
          </w:tcPr>
          <w:p>
            <w:pPr>
              <w:ind w:left="320"/>
              <w:spacing w:after="0"/>
              <w:rPr>
                <w:sz w:val="20"/>
                <w:szCs w:val="20"/>
                <w:color w:val="auto"/>
              </w:rPr>
            </w:pPr>
            <w:r>
              <w:rPr>
                <w:rFonts w:ascii="Arial" w:cs="Arial" w:eastAsia="Arial" w:hAnsi="Arial"/>
                <w:sz w:val="18"/>
                <w:szCs w:val="18"/>
                <w:color w:val="auto"/>
                <w:w w:val="97"/>
              </w:rPr>
              <w:t>Transactions</w:t>
            </w:r>
          </w:p>
        </w:tc>
        <w:tc>
          <w:tcPr>
            <w:tcW w:w="580" w:type="dxa"/>
            <w:vAlign w:val="bottom"/>
            <w:gridSpan w:val="3"/>
          </w:tcPr>
          <w:p>
            <w:pPr>
              <w:ind w:left="60"/>
              <w:spacing w:after="0"/>
              <w:rPr>
                <w:sz w:val="20"/>
                <w:szCs w:val="20"/>
                <w:color w:val="auto"/>
              </w:rPr>
            </w:pPr>
            <w:r>
              <w:rPr>
                <w:rFonts w:ascii="Arial" w:cs="Arial" w:eastAsia="Arial" w:hAnsi="Arial"/>
                <w:sz w:val="18"/>
                <w:szCs w:val="18"/>
                <w:color w:val="auto"/>
                <w:w w:val="90"/>
              </w:rPr>
              <w:t>related</w:t>
            </w:r>
          </w:p>
        </w:tc>
        <w:tc>
          <w:tcPr>
            <w:tcW w:w="1400" w:type="dxa"/>
            <w:vAlign w:val="bottom"/>
            <w:gridSpan w:val="4"/>
          </w:tcPr>
          <w:p>
            <w:pPr>
              <w:ind w:left="120"/>
              <w:spacing w:after="0"/>
              <w:rPr>
                <w:sz w:val="20"/>
                <w:szCs w:val="20"/>
                <w:color w:val="auto"/>
              </w:rPr>
            </w:pPr>
            <w:r>
              <w:rPr>
                <w:rFonts w:ascii="Arial" w:cs="Arial" w:eastAsia="Arial" w:hAnsi="Arial"/>
                <w:sz w:val="18"/>
                <w:szCs w:val="18"/>
                <w:color w:val="auto"/>
              </w:rPr>
              <w:t>to  investments</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in</w:t>
            </w:r>
          </w:p>
        </w:tc>
        <w:tc>
          <w:tcPr>
            <w:tcW w:w="1200" w:type="dxa"/>
            <w:vAlign w:val="bottom"/>
            <w:gridSpan w:val="4"/>
          </w:tcPr>
          <w:p>
            <w:pPr>
              <w:ind w:left="60"/>
              <w:spacing w:after="0"/>
              <w:rPr>
                <w:sz w:val="20"/>
                <w:szCs w:val="20"/>
                <w:color w:val="auto"/>
              </w:rPr>
            </w:pPr>
            <w:r>
              <w:rPr>
                <w:rFonts w:ascii="Arial" w:cs="Arial" w:eastAsia="Arial" w:hAnsi="Arial"/>
                <w:sz w:val="18"/>
                <w:szCs w:val="18"/>
                <w:color w:val="auto"/>
                <w:w w:val="98"/>
              </w:rPr>
              <w:t>non-controlled</w:t>
            </w:r>
          </w:p>
        </w:tc>
        <w:tc>
          <w:tcPr>
            <w:tcW w:w="780" w:type="dxa"/>
            <w:vAlign w:val="bottom"/>
            <w:gridSpan w:val="4"/>
          </w:tcPr>
          <w:p>
            <w:pPr>
              <w:ind w:left="80"/>
              <w:spacing w:after="0"/>
              <w:rPr>
                <w:sz w:val="20"/>
                <w:szCs w:val="20"/>
                <w:color w:val="auto"/>
              </w:rPr>
            </w:pPr>
            <w:r>
              <w:rPr>
                <w:rFonts w:ascii="Arial" w:cs="Arial" w:eastAsia="Arial" w:hAnsi="Arial"/>
                <w:sz w:val="18"/>
                <w:szCs w:val="18"/>
                <w:color w:val="auto"/>
              </w:rPr>
              <w:t>affiliated</w:t>
            </w:r>
          </w:p>
        </w:tc>
        <w:tc>
          <w:tcPr>
            <w:tcW w:w="8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8"/>
                <w:szCs w:val="18"/>
                <w:color w:val="auto"/>
                <w:w w:val="89"/>
              </w:rPr>
              <w:t>companies</w:t>
            </w:r>
          </w:p>
        </w:tc>
        <w:tc>
          <w:tcPr>
            <w:tcW w:w="2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94"/>
              </w:rPr>
              <w:t>for</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the</w:t>
            </w:r>
          </w:p>
        </w:tc>
        <w:tc>
          <w:tcPr>
            <w:tcW w:w="360" w:type="dxa"/>
            <w:vAlign w:val="bottom"/>
            <w:gridSpan w:val="2"/>
          </w:tcPr>
          <w:p>
            <w:pPr>
              <w:ind w:left="80"/>
              <w:spacing w:after="0"/>
              <w:rPr>
                <w:sz w:val="20"/>
                <w:szCs w:val="20"/>
                <w:color w:val="auto"/>
              </w:rPr>
            </w:pPr>
            <w:r>
              <w:rPr>
                <w:rFonts w:ascii="Arial" w:cs="Arial" w:eastAsia="Arial" w:hAnsi="Arial"/>
                <w:sz w:val="18"/>
                <w:szCs w:val="18"/>
                <w:color w:val="auto"/>
              </w:rPr>
              <w:t>six</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w w:val="94"/>
              </w:rPr>
              <w:t>months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79"/>
              </w:rPr>
              <w:t>ended</w:t>
            </w:r>
          </w:p>
        </w:tc>
        <w:tc>
          <w:tcPr>
            <w:tcW w:w="0" w:type="dxa"/>
            <w:vAlign w:val="bottom"/>
          </w:tcPr>
          <w:p>
            <w:pPr>
              <w:spacing w:after="0"/>
              <w:rPr>
                <w:sz w:val="1"/>
                <w:szCs w:val="1"/>
                <w:color w:val="auto"/>
              </w:rPr>
            </w:pPr>
          </w:p>
        </w:tc>
      </w:tr>
      <w:tr>
        <w:trPr>
          <w:trHeight w:val="230"/>
        </w:trPr>
        <w:tc>
          <w:tcPr>
            <w:tcW w:w="2560" w:type="dxa"/>
            <w:vAlign w:val="bottom"/>
            <w:gridSpan w:val="5"/>
          </w:tcPr>
          <w:p>
            <w:pPr>
              <w:spacing w:after="0"/>
              <w:rPr>
                <w:sz w:val="20"/>
                <w:szCs w:val="20"/>
                <w:color w:val="auto"/>
              </w:rPr>
            </w:pPr>
            <w:r>
              <w:rPr>
                <w:rFonts w:ascii="Arial" w:cs="Arial" w:eastAsia="Arial" w:hAnsi="Arial"/>
                <w:sz w:val="18"/>
                <w:szCs w:val="18"/>
                <w:color w:val="auto"/>
              </w:rPr>
              <w:t>June 30, 2020 were as follows: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Fair value at</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12"/>
          </w:tcPr>
          <w:p>
            <w:pPr>
              <w:ind w:left="320"/>
              <w:spacing w:after="0"/>
              <w:rPr>
                <w:sz w:val="20"/>
                <w:szCs w:val="20"/>
                <w:color w:val="auto"/>
              </w:rPr>
            </w:pPr>
            <w:r>
              <w:rPr>
                <w:rFonts w:ascii="Arial" w:cs="Arial" w:eastAsia="Arial" w:hAnsi="Arial"/>
                <w:sz w:val="14"/>
                <w:szCs w:val="14"/>
                <w:b w:val="1"/>
                <w:bCs w:val="1"/>
                <w:color w:val="auto"/>
              </w:rPr>
              <w:t>Six months ended June 30, 2020</w:t>
            </w:r>
          </w:p>
        </w:tc>
        <w:tc>
          <w:tcPr>
            <w:tcW w:w="20" w:type="dxa"/>
            <w:vAlign w:val="bottom"/>
          </w:tcPr>
          <w:p>
            <w:pPr>
              <w:spacing w:after="0"/>
              <w:rPr>
                <w:sz w:val="24"/>
                <w:szCs w:val="2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 at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Portfolio</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Transfers</w:t>
            </w: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Discount</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52"/>
              <w:spacing w:after="0" w:line="119"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40" w:type="dxa"/>
            <w:vAlign w:val="bottom"/>
          </w:tcPr>
          <w:p>
            <w:pPr>
              <w:spacing w:after="0"/>
              <w:rPr>
                <w:sz w:val="10"/>
                <w:szCs w:val="1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48"/>
        </w:trPr>
        <w:tc>
          <w:tcPr>
            <w:tcW w:w="13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7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4"/>
              </w:rPr>
              <w:t>Purchases</w:t>
            </w:r>
          </w:p>
        </w:tc>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4"/>
              </w:rPr>
              <w:t>in/(out) at</w:t>
            </w:r>
          </w:p>
        </w:tc>
        <w:tc>
          <w:tcPr>
            <w:tcW w:w="16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4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760" w:type="dxa"/>
            <w:vAlign w:val="bottom"/>
            <w:gridSpan w:val="3"/>
            <w:vMerge w:val="continue"/>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4"/>
                <w:szCs w:val="14"/>
                <w:b w:val="1"/>
                <w:bCs w:val="1"/>
                <w:color w:val="auto"/>
                <w:w w:val="87"/>
              </w:rPr>
              <w:t>Payments</w:t>
            </w:r>
          </w:p>
        </w:tc>
        <w:tc>
          <w:tcPr>
            <w:tcW w:w="1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4"/>
              </w:rPr>
              <w:t>fair value</w:t>
            </w:r>
          </w:p>
        </w:tc>
        <w:tc>
          <w:tcPr>
            <w:tcW w:w="780" w:type="dxa"/>
            <w:vAlign w:val="bottom"/>
            <w:gridSpan w:val="4"/>
          </w:tcPr>
          <w:p>
            <w:pPr>
              <w:ind w:left="140"/>
              <w:spacing w:after="0"/>
              <w:rPr>
                <w:sz w:val="20"/>
                <w:szCs w:val="20"/>
                <w:color w:val="auto"/>
              </w:rPr>
            </w:pPr>
            <w:r>
              <w:rPr>
                <w:rFonts w:ascii="Arial" w:cs="Arial" w:eastAsia="Arial" w:hAnsi="Arial"/>
                <w:sz w:val="14"/>
                <w:szCs w:val="14"/>
                <w:b w:val="1"/>
                <w:bCs w:val="1"/>
                <w:color w:val="auto"/>
                <w:w w:val="99"/>
              </w:rPr>
              <w:t>accretion</w:t>
            </w:r>
          </w:p>
        </w:tc>
        <w:tc>
          <w:tcPr>
            <w:tcW w:w="8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gain/(loss)</w:t>
            </w:r>
          </w:p>
        </w:tc>
        <w:tc>
          <w:tcPr>
            <w:tcW w:w="82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gain/(loss)</w:t>
            </w:r>
          </w:p>
        </w:tc>
        <w:tc>
          <w:tcPr>
            <w:tcW w:w="4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Decisyon, Inc.</w:t>
            </w:r>
          </w:p>
        </w:tc>
        <w:tc>
          <w:tcPr>
            <w:tcW w:w="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3"/>
              </w:rPr>
              <w:t>StereoVision, Inc.</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2,382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1,639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1680" w:type="dxa"/>
            <w:vAlign w:val="bottom"/>
            <w:tcBorders>
              <w:top w:val="single" w:sz="8" w:color="CCEEFF"/>
            </w:tcBorders>
            <w:gridSpan w:val="3"/>
            <w:shd w:val="clear" w:color="auto" w:fill="CCEEFF"/>
          </w:tcPr>
          <w:p>
            <w:pPr>
              <w:spacing w:after="0" w:line="168" w:lineRule="exact"/>
              <w:rPr>
                <w:sz w:val="20"/>
                <w:szCs w:val="20"/>
                <w:color w:val="auto"/>
              </w:rPr>
            </w:pPr>
            <w:r>
              <w:rPr>
                <w:rFonts w:ascii="Arial" w:cs="Arial" w:eastAsia="Arial" w:hAnsi="Arial"/>
                <w:sz w:val="18"/>
                <w:szCs w:val="18"/>
                <w:color w:val="auto"/>
              </w:rPr>
              <w:t>Total non-controlled</w:t>
            </w:r>
          </w:p>
        </w:tc>
        <w:tc>
          <w:tcPr>
            <w:tcW w:w="2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(1,475)</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7,046</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Transactions related to investments in non-controlled affiliated companies for the year ended December 31, 2019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w w:val="92"/>
              </w:rPr>
              <w:t>Year ended December 31, 2019</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10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Transfers</w:t>
            </w:r>
          </w:p>
        </w:tc>
        <w:tc>
          <w:tcPr>
            <w:tcW w:w="12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Discount</w:t>
            </w:r>
          </w:p>
        </w:tc>
        <w:tc>
          <w:tcPr>
            <w:tcW w:w="160" w:type="dxa"/>
            <w:vAlign w:val="bottom"/>
          </w:tcPr>
          <w:p>
            <w:pPr>
              <w:spacing w:after="0"/>
              <w:rPr>
                <w:sz w:val="10"/>
                <w:szCs w:val="10"/>
                <w:color w:val="auto"/>
              </w:rPr>
            </w:pPr>
          </w:p>
        </w:tc>
        <w:tc>
          <w:tcPr>
            <w:tcW w:w="500" w:type="dxa"/>
            <w:vAlign w:val="bottom"/>
          </w:tcPr>
          <w:p>
            <w:pPr>
              <w:jc w:val="right"/>
              <w:ind w:right="132"/>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48"/>
        </w:trPr>
        <w:tc>
          <w:tcPr>
            <w:tcW w:w="152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Purchases</w:t>
            </w:r>
          </w:p>
        </w:tc>
        <w:tc>
          <w:tcPr>
            <w:tcW w:w="820" w:type="dxa"/>
            <w:vAlign w:val="bottom"/>
            <w:gridSpan w:val="3"/>
            <w:vMerge w:val="continue"/>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in/(out) at</w:t>
            </w: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vMerge w:val="continue"/>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tcPr>
          <w:p>
            <w:pPr>
              <w:ind w:left="2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Payments</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accretion</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20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gain/(loss)</w:t>
            </w: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ind w:left="20"/>
              <w:spacing w:after="0" w:line="142" w:lineRule="exact"/>
              <w:rPr>
                <w:sz w:val="20"/>
                <w:szCs w:val="20"/>
                <w:color w:val="auto"/>
              </w:rPr>
            </w:pPr>
            <w:r>
              <w:rPr>
                <w:rFonts w:ascii="Arial" w:cs="Arial" w:eastAsia="Arial" w:hAnsi="Arial"/>
                <w:sz w:val="14"/>
                <w:szCs w:val="14"/>
                <w:color w:val="auto"/>
                <w:w w:val="89"/>
              </w:rPr>
              <w:t>(In thousands)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Decisyon,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99"/>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StereoVision, Inc.</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52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non-</w:t>
            </w: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controlled</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4"/>
              </w:rPr>
              <w:t>(1,013)</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17</w:t>
            </w:r>
          </w:p>
        </w:tc>
        <w:tc>
          <w:tcPr>
            <w:tcW w:w="16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2,019</w:t>
            </w:r>
          </w:p>
        </w:tc>
        <w:tc>
          <w:tcPr>
            <w:tcW w:w="14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14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affiliates</w:t>
            </w:r>
          </w:p>
        </w:tc>
        <w:tc>
          <w:tcPr>
            <w:tcW w:w="2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 Transactions related to investments in controlled affiliated companies for the six months ended June 30, 2020 were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w w:val="89"/>
              </w:rPr>
              <w:t>Six months ended June 30,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1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Fair value at</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Transfers</w:t>
            </w:r>
          </w:p>
        </w:tc>
        <w:tc>
          <w:tcPr>
            <w:tcW w:w="9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Dividends</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156"/>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23"/>
                <w:szCs w:val="23"/>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Net realized</w:t>
            </w:r>
          </w:p>
        </w:tc>
        <w:tc>
          <w:tcPr>
            <w:tcW w:w="140" w:type="dxa"/>
            <w:vAlign w:val="bottom"/>
          </w:tcPr>
          <w:p>
            <w:pPr>
              <w:spacing w:after="0"/>
              <w:rPr>
                <w:sz w:val="23"/>
                <w:szCs w:val="23"/>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8"/>
        </w:trPr>
        <w:tc>
          <w:tcPr>
            <w:tcW w:w="1080" w:type="dxa"/>
            <w:vAlign w:val="bottom"/>
            <w:gridSpan w:val="2"/>
            <w:vMerge w:val="continue"/>
          </w:tcPr>
          <w:p>
            <w:pPr>
              <w:spacing w:after="0"/>
              <w:rPr>
                <w:sz w:val="12"/>
                <w:szCs w:val="12"/>
                <w:color w:val="auto"/>
              </w:rPr>
            </w:pPr>
          </w:p>
        </w:tc>
        <w:tc>
          <w:tcPr>
            <w:tcW w:w="10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Purchases</w:t>
            </w:r>
          </w:p>
        </w:tc>
        <w:tc>
          <w:tcPr>
            <w:tcW w:w="9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0"/>
              </w:rPr>
              <w:t>Distributions</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in/(out) at</w:t>
            </w:r>
          </w:p>
        </w:tc>
        <w:tc>
          <w:tcPr>
            <w:tcW w:w="9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June 30,</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1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gain/(loss)</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gain/(loss)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ind w:left="640"/>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thousands)</w:t>
            </w:r>
          </w:p>
        </w:tc>
        <w:tc>
          <w:tcPr>
            <w:tcW w:w="1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HSLFI</w:t>
            </w:r>
            <w:r>
              <w:rPr>
                <w:rFonts w:ascii="Arial" w:cs="Arial" w:eastAsia="Arial" w:hAnsi="Arial"/>
                <w:sz w:val="25"/>
                <w:szCs w:val="25"/>
                <w:color w:val="auto"/>
                <w:vertAlign w:val="superscript"/>
              </w:rPr>
              <w:t>(1)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 (16,498)</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6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controlled</w:t>
            </w:r>
          </w:p>
        </w:tc>
        <w:tc>
          <w:tcPr>
            <w:tcW w:w="32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16,650</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center"/>
              <w:ind w:left="70"/>
              <w:spacing w:after="0"/>
              <w:rPr>
                <w:sz w:val="20"/>
                <w:szCs w:val="20"/>
                <w:color w:val="auto"/>
              </w:rPr>
            </w:pPr>
            <w:r>
              <w:rPr>
                <w:rFonts w:ascii="Arial" w:cs="Arial" w:eastAsia="Arial" w:hAnsi="Arial"/>
                <w:sz w:val="18"/>
                <w:szCs w:val="18"/>
                <w:color w:val="auto"/>
                <w:w w:val="92"/>
              </w:rPr>
              <w:t>$ (16,498)</w:t>
            </w:r>
          </w:p>
        </w:tc>
        <w:tc>
          <w:tcPr>
            <w:tcW w:w="3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36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tcPr>
          <w:p>
            <w:pPr>
              <w:ind w:left="46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affiliates</w:t>
            </w:r>
          </w:p>
        </w:tc>
        <w:tc>
          <w:tcPr>
            <w:tcW w:w="3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70"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Company and Arena were the members of HSLFI, a joint venture formed as a Delaware limited liability company that was not consolidated by either member for financial reporting purposes. The members provided cash or securities in portfolio companies to HSLFI in exchange for limited liability company equity interests. All HSLFI investment decisions required unanimous approval of a quorum of HSLFI’s board of managers, which consisted of two representatives of the Company and Arena. Because management of HSLFI was shared equally between the Company and Arena, the Company did not have sole control over significant actions of HSLFI for purposes of the 1940 Act or otherwise. On April 21, 2020, the Company purchased all of the limited liability company interests of Arena in HSLFI. As of June 30, 2020, HLSFI is consolidated by the Company.</w:t>
      </w:r>
    </w:p>
    <w:p>
      <w:pPr>
        <w:spacing w:after="0" w:line="17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Transactions related to investments in controlled affiliated companies for the year ended December 31, 2019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w w:val="97"/>
              </w:rPr>
              <w:t>Year ended December 31, 2019</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10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Fair value at</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Transfers</w:t>
            </w:r>
          </w:p>
        </w:tc>
        <w:tc>
          <w:tcPr>
            <w:tcW w:w="140" w:type="dxa"/>
            <w:vAlign w:val="bottom"/>
          </w:tcPr>
          <w:p>
            <w:pPr>
              <w:spacing w:after="0"/>
              <w:rPr>
                <w:sz w:val="23"/>
                <w:szCs w:val="23"/>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Dividends</w:t>
            </w:r>
          </w:p>
        </w:tc>
        <w:tc>
          <w:tcPr>
            <w:tcW w:w="160" w:type="dxa"/>
            <w:vAlign w:val="bottom"/>
          </w:tcPr>
          <w:p>
            <w:pPr>
              <w:spacing w:after="0"/>
              <w:rPr>
                <w:sz w:val="23"/>
                <w:szCs w:val="23"/>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at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Dividend</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102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in/(out) at</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20" w:type="dxa"/>
            <w:vAlign w:val="bottom"/>
            <w:gridSpan w:val="3"/>
            <w:vMerge w:val="continue"/>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4"/>
              </w:rPr>
              <w:t>fair value</w:t>
            </w:r>
          </w:p>
        </w:tc>
        <w:tc>
          <w:tcPr>
            <w:tcW w:w="140" w:type="dxa"/>
            <w:vAlign w:val="bottom"/>
            <w:vMerge w:val="restart"/>
          </w:tcPr>
          <w:p>
            <w:pPr>
              <w:spacing w:after="0"/>
              <w:rPr>
                <w:sz w:val="20"/>
                <w:szCs w:val="20"/>
                <w:color w:val="auto"/>
              </w:rPr>
            </w:pPr>
            <w:r>
              <w:rPr>
                <w:rFonts w:ascii="Arial" w:cs="Arial" w:eastAsia="Arial" w:hAnsi="Arial"/>
                <w:sz w:val="13"/>
                <w:szCs w:val="13"/>
                <w:b w:val="1"/>
                <w:bCs w:val="1"/>
                <w:color w:val="auto"/>
                <w:w w:val="75"/>
              </w:rPr>
              <w:t>(In</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declared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vMerge w:val="continue"/>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HSLFI</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9"/>
              </w:rPr>
              <w:t>$ 1,900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$ 2,236</w:t>
            </w: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controlled</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13,243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auto"/>
                <w:w w:val="99"/>
              </w:rPr>
              <w:t>$ 1,900</w:t>
            </w:r>
          </w:p>
        </w:tc>
        <w:tc>
          <w:tcPr>
            <w:tcW w:w="160" w:type="dxa"/>
            <w:vAlign w:val="bottom"/>
          </w:tcPr>
          <w:p>
            <w:pPr>
              <w:spacing w:after="0"/>
              <w:rPr>
                <w:sz w:val="18"/>
                <w:szCs w:val="18"/>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(715)</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$ 2,236</w:t>
            </w:r>
          </w:p>
        </w:tc>
        <w:tc>
          <w:tcPr>
            <w:tcW w:w="16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w:t>
            </w:r>
          </w:p>
        </w:tc>
        <w:tc>
          <w:tcPr>
            <w:tcW w:w="32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16,650</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3"/>
              </w:rPr>
              <w:t>$ 2,236</w:t>
            </w:r>
          </w:p>
        </w:tc>
        <w:tc>
          <w:tcPr>
            <w:tcW w:w="0" w:type="dxa"/>
            <w:vAlign w:val="bottom"/>
          </w:tcPr>
          <w:p>
            <w:pPr>
              <w:spacing w:after="0"/>
              <w:rPr>
                <w:sz w:val="1"/>
                <w:szCs w:val="1"/>
                <w:color w:val="auto"/>
              </w:rPr>
            </w:pPr>
          </w:p>
        </w:tc>
      </w:tr>
      <w:tr>
        <w:trPr>
          <w:trHeight w:val="217"/>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affiliates</w:t>
            </w: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80" w:right="79" w:hanging="330"/>
        <w:spacing w:after="0" w:line="251"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Company and Arena were the members of HSLFI, a joint venture formed as a Delaware limited liability company that was not consolidated by either member for financial reporting purposes. The members provided cash or securities in portfolio companies to HSLFI in exchange for limited liability company equity interests. All HSLFI investment decisions required unanimous approval of a quorum of HSLFI’s board of managers, which consisted of two representatives of the Company and Arena. Because management of HSLFI was shared equally between the Company and Arena, the Company did not have sole control over significant actions of HSLFI for purposes of the 1940 Act or otherwise.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92"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 xml:space="preserve">The Company’s fair value measurements are classified into a fair value hierarchy in accordance with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based on the markets in which the assets and liabilities are traded and the reliability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used to determine fair value. The three categories within the hierarchy are as follows: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and liabilities.</w:t>
      </w:r>
    </w:p>
    <w:p>
      <w:pPr>
        <w:spacing w:after="0" w:line="225" w:lineRule="exact"/>
        <w:rPr>
          <w:sz w:val="20"/>
          <w:szCs w:val="20"/>
          <w:color w:val="auto"/>
        </w:rPr>
      </w:pPr>
    </w:p>
    <w:p>
      <w:pPr>
        <w:jc w:val="both"/>
        <w:ind w:left="1040" w:right="79" w:hanging="661"/>
        <w:spacing w:after="0" w:line="261"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in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0" w:lineRule="exact"/>
        <w:rPr>
          <w:sz w:val="20"/>
          <w:szCs w:val="20"/>
          <w:color w:val="auto"/>
        </w:rPr>
      </w:pPr>
    </w:p>
    <w:p>
      <w:pPr>
        <w:jc w:val="both"/>
        <w:ind w:left="1040" w:right="79" w:hanging="661"/>
        <w:spacing w:after="0" w:line="258"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8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7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recorded at fair value on a recurring basis and are categorized as Level 1 within the fair value hierarchy described above.</w:t>
      </w:r>
    </w:p>
    <w:p>
      <w:pPr>
        <w:spacing w:after="0" w:line="184" w:lineRule="exact"/>
        <w:rPr>
          <w:sz w:val="20"/>
          <w:szCs w:val="20"/>
          <w:color w:val="auto"/>
        </w:rPr>
      </w:pPr>
    </w:p>
    <w:p>
      <w:pPr>
        <w:jc w:val="both"/>
        <w:ind w:left="60" w:right="59" w:firstLine="401"/>
        <w:spacing w:after="0" w:line="263"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carrying amounts are valued at their net asset value as of the close of business on the day</w:t>
      </w:r>
      <w:r>
        <w:rPr>
          <w:rFonts w:ascii="Arial" w:cs="Arial" w:eastAsia="Arial" w:hAnsi="Arial"/>
          <w:sz w:val="18"/>
          <w:szCs w:val="18"/>
          <w:i w:val="1"/>
          <w:iCs w:val="1"/>
          <w:color w:val="auto"/>
        </w:rPr>
        <w:t xml:space="preserve"> </w:t>
      </w:r>
      <w:r>
        <w:rPr>
          <w:rFonts w:ascii="Arial" w:cs="Arial" w:eastAsia="Arial" w:hAnsi="Arial"/>
          <w:sz w:val="18"/>
          <w:szCs w:val="18"/>
          <w:color w:val="auto"/>
        </w:rPr>
        <w:t>of valuation. These financial instruments are recorded at fair value on a recurring basis and are categorized as Level 2 within the fair value hierarchy described above as these funds can be redeemed daily.</w:t>
      </w:r>
    </w:p>
    <w:p>
      <w:pPr>
        <w:spacing w:after="0" w:line="18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The fair value of debt investments is estimated by discounting the expected future cash flows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period end rates at which similar debt investments would be made to borrowers with similar credit ratings and for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same remaining maturities. At June 30, 2020 and December 31, 2019, the hypothetical market yields used ranged from 10% to 25% and 10% to 16%, respectively.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Warrant investments: </w:t>
      </w:r>
      <w:r>
        <w:rPr>
          <w:rFonts w:ascii="Arial" w:cs="Arial" w:eastAsia="Arial" w:hAnsi="Arial"/>
          <w:sz w:val="18"/>
          <w:szCs w:val="18"/>
          <w:color w:val="auto"/>
        </w:rPr>
        <w:t>The Company values its warrants using the Black-Scholes valuation model incorporating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material assumptions:</w:t>
      </w:r>
    </w:p>
    <w:p>
      <w:pPr>
        <w:spacing w:after="0" w:line="170" w:lineRule="exact"/>
        <w:rPr>
          <w:sz w:val="20"/>
          <w:szCs w:val="20"/>
          <w:color w:val="auto"/>
        </w:rPr>
      </w:pPr>
    </w:p>
    <w:p>
      <w:pPr>
        <w:jc w:val="both"/>
        <w:ind w:left="700" w:right="7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83" w:lineRule="exact"/>
        <w:rPr>
          <w:rFonts w:ascii="Arial" w:cs="Arial" w:eastAsia="Arial" w:hAnsi="Arial"/>
          <w:sz w:val="18"/>
          <w:szCs w:val="18"/>
          <w:color w:val="auto"/>
        </w:rPr>
      </w:pPr>
    </w:p>
    <w:p>
      <w:pPr>
        <w:jc w:val="both"/>
        <w:ind w:left="700" w:right="79" w:hanging="326"/>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6"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8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0" w:lineRule="exact"/>
        <w:rPr>
          <w:rFonts w:ascii="Arial" w:cs="Arial" w:eastAsia="Arial" w:hAnsi="Arial"/>
          <w:sz w:val="18"/>
          <w:szCs w:val="18"/>
          <w:color w:val="auto"/>
        </w:rPr>
      </w:pPr>
    </w:p>
    <w:p>
      <w:pPr>
        <w:jc w:val="both"/>
        <w:ind w:left="700" w:right="79" w:hanging="326"/>
        <w:spacing w:after="0" w:line="273"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7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7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invested. The Company adjusts the fair value of equity investments in private companies upon the completion of a new third-party round of equity financing. The Company may make adjustments to fair value, absent a new equity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6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Company currently 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following tables provide a summary of quantitative information about the Company’s Level 3 fair value measurements of its investments as of June 30, 2020 and December 31, 2019. In addition to the techniques and inputs noted in the table below, according to the Company’s valuation policy, the Company may also use other valuation techniques and methodologies when determining its fair value measurements.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June 30, 2020:</w:t>
      </w:r>
    </w:p>
    <w:p>
      <w:pPr>
        <w:spacing w:after="0" w:line="180" w:lineRule="exact"/>
        <w:rPr>
          <w:sz w:val="20"/>
          <w:szCs w:val="20"/>
          <w:color w:val="auto"/>
        </w:rPr>
      </w:pPr>
    </w:p>
    <w:p>
      <w:pPr>
        <w:jc w:val="center"/>
        <w:ind w:right="279"/>
        <w:spacing w:after="0"/>
        <w:rPr>
          <w:sz w:val="20"/>
          <w:szCs w:val="20"/>
          <w:color w:val="auto"/>
        </w:rPr>
      </w:pPr>
      <w:r>
        <w:rPr>
          <w:rFonts w:ascii="Arial" w:cs="Arial" w:eastAsia="Arial" w:hAnsi="Arial"/>
          <w:sz w:val="13"/>
          <w:szCs w:val="13"/>
          <w:b w:val="1"/>
          <w:bCs w:val="1"/>
          <w:color w:val="auto"/>
        </w:rPr>
        <w:t>June 30, 2020</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rPr>
              <w:t>Fair</w:t>
            </w:r>
          </w:p>
        </w:tc>
        <w:tc>
          <w:tcPr>
            <w:tcW w:w="140" w:type="dxa"/>
            <w:vAlign w:val="bottom"/>
            <w:tcBorders>
              <w:top w:val="single" w:sz="8" w:color="auto"/>
            </w:tcBorders>
          </w:tcPr>
          <w:p>
            <w:pPr>
              <w:spacing w:after="0"/>
              <w:rPr>
                <w:sz w:val="9"/>
                <w:szCs w:val="9"/>
                <w:color w:val="auto"/>
              </w:rPr>
            </w:pPr>
          </w:p>
        </w:tc>
        <w:tc>
          <w:tcPr>
            <w:tcW w:w="254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Valuation Techniques/</w:t>
            </w:r>
          </w:p>
        </w:tc>
        <w:tc>
          <w:tcPr>
            <w:tcW w:w="140" w:type="dxa"/>
            <w:vAlign w:val="bottom"/>
            <w:tcBorders>
              <w:top w:val="single" w:sz="8" w:color="auto"/>
            </w:tcBorders>
          </w:tcPr>
          <w:p>
            <w:pPr>
              <w:spacing w:after="0"/>
              <w:rPr>
                <w:sz w:val="9"/>
                <w:szCs w:val="9"/>
                <w:color w:val="auto"/>
              </w:rPr>
            </w:pPr>
          </w:p>
        </w:tc>
        <w:tc>
          <w:tcPr>
            <w:tcW w:w="1740" w:type="dxa"/>
            <w:vAlign w:val="bottom"/>
            <w:tcBorders>
              <w:top w:val="single" w:sz="8" w:color="auto"/>
            </w:tcBorders>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3"/>
              </w:rPr>
              <w:t>Unobservable</w:t>
            </w: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38"/>
              <w:spacing w:after="0" w:line="110" w:lineRule="exact"/>
              <w:rPr>
                <w:sz w:val="20"/>
                <w:szCs w:val="20"/>
                <w:color w:val="auto"/>
              </w:rPr>
            </w:pPr>
            <w:r>
              <w:rPr>
                <w:rFonts w:ascii="Arial" w:cs="Arial" w:eastAsia="Arial" w:hAnsi="Arial"/>
                <w:sz w:val="12"/>
                <w:szCs w:val="12"/>
                <w:b w:val="1"/>
                <w:bCs w:val="1"/>
                <w:color w:val="auto"/>
                <w:w w:val="96"/>
              </w:rPr>
              <w:t>Weighted</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0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 Type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3"/>
                <w:szCs w:val="13"/>
                <w:b w:val="1"/>
                <w:bCs w:val="1"/>
                <w:color w:val="auto"/>
                <w:w w:val="84"/>
              </w:rPr>
              <w:t>Methodologies</w:t>
            </w:r>
          </w:p>
        </w:tc>
        <w:tc>
          <w:tcPr>
            <w:tcW w:w="140" w:type="dxa"/>
            <w:vAlign w:val="bottom"/>
            <w:vMerge w:val="restart"/>
          </w:tcPr>
          <w:p>
            <w:pPr>
              <w:spacing w:after="0"/>
              <w:rPr>
                <w:sz w:val="20"/>
                <w:szCs w:val="20"/>
                <w:color w:val="auto"/>
              </w:rPr>
            </w:pPr>
            <w:r>
              <w:rPr>
                <w:rFonts w:ascii="Arial" w:cs="Arial" w:eastAsia="Arial" w:hAnsi="Arial"/>
                <w:sz w:val="10"/>
                <w:szCs w:val="10"/>
                <w:b w:val="1"/>
                <w:bCs w:val="1"/>
                <w:color w:val="auto"/>
                <w:w w:val="76"/>
              </w:rPr>
              <w:t>per</w:t>
            </w:r>
          </w:p>
        </w:tc>
        <w:tc>
          <w:tcPr>
            <w:tcW w:w="1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Input</w:t>
            </w:r>
          </w:p>
        </w:tc>
        <w:tc>
          <w:tcPr>
            <w:tcW w:w="900" w:type="dxa"/>
            <w:vAlign w:val="bottom"/>
          </w:tcPr>
          <w:p>
            <w:pPr>
              <w:ind w:left="280"/>
              <w:spacing w:after="0"/>
              <w:rPr>
                <w:sz w:val="20"/>
                <w:szCs w:val="20"/>
                <w:color w:val="auto"/>
              </w:rPr>
            </w:pPr>
            <w:r>
              <w:rPr>
                <w:rFonts w:ascii="Arial" w:cs="Arial" w:eastAsia="Arial" w:hAnsi="Arial"/>
                <w:sz w:val="13"/>
                <w:szCs w:val="13"/>
                <w:b w:val="1"/>
                <w:bCs w:val="1"/>
                <w:color w:val="auto"/>
              </w:rPr>
              <w:t>Range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360"/>
              <w:spacing w:after="0" w:line="154" w:lineRule="exact"/>
              <w:rPr>
                <w:sz w:val="20"/>
                <w:szCs w:val="20"/>
                <w:color w:val="auto"/>
              </w:rPr>
            </w:pPr>
            <w:r>
              <w:rPr>
                <w:rFonts w:ascii="Arial" w:cs="Arial" w:eastAsia="Arial" w:hAnsi="Arial"/>
                <w:sz w:val="12"/>
                <w:szCs w:val="12"/>
                <w:b w:val="1"/>
                <w:bCs w:val="1"/>
                <w:color w:val="auto"/>
                <w:w w:val="88"/>
              </w:rPr>
              <w:t>Average</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Borders>
              <w:top w:val="single" w:sz="8" w:color="auto"/>
            </w:tcBorders>
          </w:tcPr>
          <w:p>
            <w:pPr>
              <w:ind w:left="940"/>
              <w:spacing w:after="0" w:line="129" w:lineRule="exact"/>
              <w:rPr>
                <w:sz w:val="20"/>
                <w:szCs w:val="20"/>
                <w:color w:val="auto"/>
              </w:rPr>
            </w:pPr>
            <w:r>
              <w:rPr>
                <w:rFonts w:ascii="Arial" w:cs="Arial" w:eastAsia="Arial" w:hAnsi="Arial"/>
                <w:sz w:val="13"/>
                <w:szCs w:val="13"/>
                <w:b w:val="1"/>
                <w:bCs w:val="1"/>
                <w:color w:val="auto"/>
                <w:w w:val="87"/>
              </w:rPr>
              <w:t>(Dollars in thousands, except</w:t>
            </w:r>
          </w:p>
        </w:tc>
        <w:tc>
          <w:tcPr>
            <w:tcW w:w="140" w:type="dxa"/>
            <w:vAlign w:val="bottom"/>
            <w:vMerge w:val="continue"/>
          </w:tcPr>
          <w:p>
            <w:pPr>
              <w:spacing w:after="0"/>
              <w:rPr>
                <w:sz w:val="11"/>
                <w:szCs w:val="11"/>
                <w:color w:val="auto"/>
              </w:rPr>
            </w:pPr>
          </w:p>
        </w:tc>
        <w:tc>
          <w:tcPr>
            <w:tcW w:w="1620" w:type="dxa"/>
            <w:vAlign w:val="bottom"/>
            <w:tcBorders>
              <w:top w:val="single" w:sz="8" w:color="auto"/>
            </w:tcBorders>
          </w:tcPr>
          <w:p>
            <w:pPr>
              <w:ind w:left="60"/>
              <w:spacing w:after="0" w:line="129" w:lineRule="exact"/>
              <w:rPr>
                <w:sz w:val="20"/>
                <w:szCs w:val="20"/>
                <w:color w:val="auto"/>
              </w:rPr>
            </w:pPr>
            <w:r>
              <w:rPr>
                <w:rFonts w:ascii="Arial" w:cs="Arial" w:eastAsia="Arial" w:hAnsi="Arial"/>
                <w:sz w:val="13"/>
                <w:szCs w:val="13"/>
                <w:b w:val="1"/>
                <w:bCs w:val="1"/>
                <w:color w:val="auto"/>
              </w:rPr>
              <w:t>share data)</w:t>
            </w: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Debt investments</w:t>
            </w:r>
          </w:p>
        </w:tc>
        <w:tc>
          <w:tcPr>
            <w:tcW w:w="14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328,549</w:t>
            </w:r>
          </w:p>
        </w:tc>
        <w:tc>
          <w:tcPr>
            <w:tcW w:w="26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Discounted Expected Future Cash Flows</w:t>
            </w:r>
          </w:p>
        </w:tc>
        <w:tc>
          <w:tcPr>
            <w:tcW w:w="188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Hypothetical Market Yield</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10% – 25%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7,073</w:t>
            </w:r>
          </w:p>
        </w:tc>
        <w:tc>
          <w:tcPr>
            <w:tcW w:w="268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Liquidation Scenario</w:t>
            </w:r>
          </w:p>
        </w:tc>
        <w:tc>
          <w:tcPr>
            <w:tcW w:w="188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Probability Weighting</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84"/>
              </w:rPr>
              <w:t>100%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7,100</w:t>
            </w:r>
          </w:p>
        </w:tc>
        <w:tc>
          <w:tcPr>
            <w:tcW w:w="26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92"/>
              </w:rPr>
              <w:t>Multiple Probability Weighted Cash Flow Model</w:t>
            </w:r>
          </w:p>
        </w:tc>
        <w:tc>
          <w:tcPr>
            <w:tcW w:w="188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Probability Weighting</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15% – 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33 %</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Warrant investments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9,325</w:t>
            </w:r>
          </w:p>
        </w:tc>
        <w:tc>
          <w:tcPr>
            <w:tcW w:w="26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Black-Scholes Valuation Model</w:t>
            </w:r>
          </w:p>
        </w:tc>
        <w:tc>
          <w:tcPr>
            <w:tcW w:w="188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Price Per Share</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$0.00 – $980.00</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21.52</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8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Average Industry Volatility</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2"/>
              </w:rPr>
              <w:t>22%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Marketability Discount</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20%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8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Estimated Time to Exit</w:t>
            </w:r>
          </w:p>
        </w:tc>
        <w:tc>
          <w:tcPr>
            <w:tcW w:w="900" w:type="dxa"/>
            <w:vAlign w:val="bottom"/>
          </w:tcPr>
          <w:p>
            <w:pPr>
              <w:ind w:left="180"/>
              <w:spacing w:after="0" w:line="135" w:lineRule="exact"/>
              <w:rPr>
                <w:sz w:val="20"/>
                <w:szCs w:val="20"/>
                <w:color w:val="auto"/>
              </w:rPr>
            </w:pPr>
            <w:r>
              <w:rPr>
                <w:rFonts w:ascii="Arial" w:cs="Arial" w:eastAsia="Arial" w:hAnsi="Arial"/>
                <w:sz w:val="13"/>
                <w:szCs w:val="13"/>
                <w:color w:val="auto"/>
              </w:rPr>
              <w:t>1 to 4 years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 years</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Other investments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500</w:t>
            </w:r>
          </w:p>
        </w:tc>
        <w:tc>
          <w:tcPr>
            <w:tcW w:w="268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92"/>
              </w:rPr>
              <w:t>Multiple Probability Weighted Cash Flow Model</w:t>
            </w:r>
          </w:p>
        </w:tc>
        <w:tc>
          <w:tcPr>
            <w:tcW w:w="1880" w:type="dxa"/>
            <w:vAlign w:val="bottom"/>
            <w:gridSpan w:val="3"/>
          </w:tcPr>
          <w:p>
            <w:pPr>
              <w:ind w:left="120"/>
              <w:spacing w:after="0" w:line="135" w:lineRule="exact"/>
              <w:rPr>
                <w:sz w:val="20"/>
                <w:szCs w:val="20"/>
                <w:color w:val="auto"/>
              </w:rPr>
            </w:pPr>
            <w:r>
              <w:rPr>
                <w:rFonts w:ascii="Arial" w:cs="Arial" w:eastAsia="Arial" w:hAnsi="Arial"/>
                <w:sz w:val="13"/>
                <w:szCs w:val="13"/>
                <w:color w:val="auto"/>
              </w:rPr>
              <w:t>Discount Rate</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2"/>
              </w:rPr>
              <w:t>25%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88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Probability Weighting</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100%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Equity investments</w:t>
            </w: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2,146</w:t>
            </w:r>
          </w:p>
        </w:tc>
        <w:tc>
          <w:tcPr>
            <w:tcW w:w="268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Last Equity Financing</w:t>
            </w:r>
          </w:p>
        </w:tc>
        <w:tc>
          <w:tcPr>
            <w:tcW w:w="1880" w:type="dxa"/>
            <w:vAlign w:val="bottom"/>
            <w:gridSpan w:val="3"/>
            <w:shd w:val="clear" w:color="auto" w:fill="CCEEFF"/>
          </w:tcPr>
          <w:p>
            <w:pPr>
              <w:ind w:left="120"/>
              <w:spacing w:after="0" w:line="135" w:lineRule="exact"/>
              <w:rPr>
                <w:sz w:val="20"/>
                <w:szCs w:val="20"/>
                <w:color w:val="auto"/>
              </w:rPr>
            </w:pPr>
            <w:r>
              <w:rPr>
                <w:rFonts w:ascii="Arial" w:cs="Arial" w:eastAsia="Arial" w:hAnsi="Arial"/>
                <w:sz w:val="13"/>
                <w:szCs w:val="13"/>
                <w:color w:val="auto"/>
              </w:rPr>
              <w:t>Price Per Share</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$0.00 – $13.04</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0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Total Level 3 investments</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354,693</w:t>
            </w: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2019:</w:t>
      </w:r>
    </w:p>
    <w:p>
      <w:pPr>
        <w:spacing w:after="0" w:line="180"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auto"/>
        </w:rPr>
        <w:t>December 31, 2019</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10"/>
        </w:trPr>
        <w:tc>
          <w:tcPr>
            <w:tcW w:w="1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rPr>
              <w:t>Fair</w:t>
            </w:r>
          </w:p>
        </w:tc>
        <w:tc>
          <w:tcPr>
            <w:tcW w:w="120" w:type="dxa"/>
            <w:vAlign w:val="bottom"/>
            <w:tcBorders>
              <w:top w:val="single" w:sz="8" w:color="auto"/>
            </w:tcBorders>
          </w:tcPr>
          <w:p>
            <w:pPr>
              <w:spacing w:after="0"/>
              <w:rPr>
                <w:sz w:val="9"/>
                <w:szCs w:val="9"/>
                <w:color w:val="auto"/>
              </w:rPr>
            </w:pPr>
          </w:p>
        </w:tc>
        <w:tc>
          <w:tcPr>
            <w:tcW w:w="2680" w:type="dxa"/>
            <w:vAlign w:val="bottom"/>
            <w:tcBorders>
              <w:top w:val="single" w:sz="8" w:color="auto"/>
            </w:tcBorders>
            <w:gridSpan w:val="2"/>
          </w:tcPr>
          <w:p>
            <w:pPr>
              <w:ind w:left="680"/>
              <w:spacing w:after="0" w:line="110" w:lineRule="exact"/>
              <w:rPr>
                <w:sz w:val="20"/>
                <w:szCs w:val="20"/>
                <w:color w:val="auto"/>
              </w:rPr>
            </w:pPr>
            <w:r>
              <w:rPr>
                <w:rFonts w:ascii="Arial" w:cs="Arial" w:eastAsia="Arial" w:hAnsi="Arial"/>
                <w:sz w:val="12"/>
                <w:szCs w:val="12"/>
                <w:b w:val="1"/>
                <w:bCs w:val="1"/>
                <w:color w:val="auto"/>
              </w:rPr>
              <w:t>Valuation Techniques/</w:t>
            </w:r>
          </w:p>
        </w:tc>
        <w:tc>
          <w:tcPr>
            <w:tcW w:w="1760" w:type="dxa"/>
            <w:vAlign w:val="bottom"/>
            <w:tcBorders>
              <w:top w:val="single" w:sz="8" w:color="auto"/>
            </w:tcBorders>
            <w:gridSpan w:val="2"/>
          </w:tcPr>
          <w:p>
            <w:pPr>
              <w:ind w:left="440"/>
              <w:spacing w:after="0" w:line="110" w:lineRule="exact"/>
              <w:rPr>
                <w:sz w:val="20"/>
                <w:szCs w:val="20"/>
                <w:color w:val="auto"/>
              </w:rPr>
            </w:pPr>
            <w:r>
              <w:rPr>
                <w:rFonts w:ascii="Arial" w:cs="Arial" w:eastAsia="Arial" w:hAnsi="Arial"/>
                <w:sz w:val="12"/>
                <w:szCs w:val="12"/>
                <w:b w:val="1"/>
                <w:bCs w:val="1"/>
                <w:color w:val="auto"/>
              </w:rPr>
              <w:t>Unobservable</w:t>
            </w:r>
          </w:p>
        </w:tc>
        <w:tc>
          <w:tcPr>
            <w:tcW w:w="4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38"/>
              <w:spacing w:after="0" w:line="110" w:lineRule="exact"/>
              <w:rPr>
                <w:sz w:val="20"/>
                <w:szCs w:val="20"/>
                <w:color w:val="auto"/>
              </w:rPr>
            </w:pPr>
            <w:r>
              <w:rPr>
                <w:rFonts w:ascii="Arial" w:cs="Arial" w:eastAsia="Arial" w:hAnsi="Arial"/>
                <w:sz w:val="12"/>
                <w:szCs w:val="12"/>
                <w:b w:val="1"/>
                <w:bCs w:val="1"/>
                <w:color w:val="auto"/>
                <w:w w:val="96"/>
              </w:rPr>
              <w:t>Weighted</w:t>
            </w:r>
          </w:p>
        </w:tc>
        <w:tc>
          <w:tcPr>
            <w:tcW w:w="260" w:type="dxa"/>
            <w:vAlign w:val="bottom"/>
          </w:tcPr>
          <w:p>
            <w:pPr>
              <w:spacing w:after="0"/>
              <w:rPr>
                <w:sz w:val="9"/>
                <w:szCs w:val="9"/>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 Type</w:t>
            </w:r>
          </w:p>
        </w:tc>
        <w:tc>
          <w:tcPr>
            <w:tcW w:w="1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3"/>
                <w:szCs w:val="13"/>
                <w:color w:val="auto"/>
              </w:rPr>
            </w:pPr>
          </w:p>
        </w:tc>
        <w:tc>
          <w:tcPr>
            <w:tcW w:w="2680" w:type="dxa"/>
            <w:vAlign w:val="bottom"/>
            <w:gridSpan w:val="2"/>
          </w:tcPr>
          <w:p>
            <w:pPr>
              <w:ind w:left="880"/>
              <w:spacing w:after="0"/>
              <w:rPr>
                <w:sz w:val="20"/>
                <w:szCs w:val="20"/>
                <w:color w:val="auto"/>
              </w:rPr>
            </w:pPr>
            <w:r>
              <w:rPr>
                <w:rFonts w:ascii="Arial" w:cs="Arial" w:eastAsia="Arial" w:hAnsi="Arial"/>
                <w:sz w:val="13"/>
                <w:szCs w:val="13"/>
                <w:b w:val="1"/>
                <w:bCs w:val="1"/>
                <w:color w:val="auto"/>
              </w:rPr>
              <w:t>Methodologies</w:t>
            </w:r>
          </w:p>
        </w:tc>
        <w:tc>
          <w:tcPr>
            <w:tcW w:w="1760" w:type="dxa"/>
            <w:vAlign w:val="bottom"/>
            <w:gridSpan w:val="2"/>
          </w:tcPr>
          <w:p>
            <w:pPr>
              <w:ind w:left="660"/>
              <w:spacing w:after="0"/>
              <w:rPr>
                <w:sz w:val="20"/>
                <w:szCs w:val="20"/>
                <w:color w:val="auto"/>
              </w:rPr>
            </w:pPr>
            <w:r>
              <w:rPr>
                <w:rFonts w:ascii="Arial" w:cs="Arial" w:eastAsia="Arial" w:hAnsi="Arial"/>
                <w:sz w:val="13"/>
                <w:szCs w:val="13"/>
                <w:b w:val="1"/>
                <w:bCs w:val="1"/>
                <w:color w:val="auto"/>
              </w:rPr>
              <w:t>Input</w:t>
            </w:r>
          </w:p>
        </w:tc>
        <w:tc>
          <w:tcPr>
            <w:tcW w:w="1020" w:type="dxa"/>
            <w:vAlign w:val="bottom"/>
            <w:gridSpan w:val="3"/>
          </w:tcPr>
          <w:p>
            <w:pPr>
              <w:ind w:left="260"/>
              <w:spacing w:after="0"/>
              <w:rPr>
                <w:sz w:val="20"/>
                <w:szCs w:val="20"/>
                <w:color w:val="auto"/>
              </w:rPr>
            </w:pPr>
            <w:r>
              <w:rPr>
                <w:rFonts w:ascii="Arial" w:cs="Arial" w:eastAsia="Arial" w:hAnsi="Arial"/>
                <w:sz w:val="13"/>
                <w:szCs w:val="13"/>
                <w:b w:val="1"/>
                <w:bCs w:val="1"/>
                <w:color w:val="auto"/>
              </w:rPr>
              <w:t>Range</w:t>
            </w:r>
          </w:p>
        </w:tc>
        <w:tc>
          <w:tcPr>
            <w:tcW w:w="80" w:type="dxa"/>
            <w:vAlign w:val="bottom"/>
          </w:tcPr>
          <w:p>
            <w:pPr>
              <w:spacing w:after="0"/>
              <w:rPr>
                <w:sz w:val="13"/>
                <w:szCs w:val="13"/>
                <w:color w:val="auto"/>
              </w:rPr>
            </w:pPr>
          </w:p>
        </w:tc>
        <w:tc>
          <w:tcPr>
            <w:tcW w:w="900" w:type="dxa"/>
            <w:vAlign w:val="bottom"/>
            <w:gridSpan w:val="2"/>
          </w:tcPr>
          <w:p>
            <w:pPr>
              <w:jc w:val="right"/>
              <w:ind w:right="340"/>
              <w:spacing w:after="0" w:line="154" w:lineRule="exact"/>
              <w:rPr>
                <w:sz w:val="20"/>
                <w:szCs w:val="20"/>
                <w:color w:val="auto"/>
              </w:rPr>
            </w:pPr>
            <w:r>
              <w:rPr>
                <w:rFonts w:ascii="Arial" w:cs="Arial" w:eastAsia="Arial" w:hAnsi="Arial"/>
                <w:sz w:val="12"/>
                <w:szCs w:val="12"/>
                <w:b w:val="1"/>
                <w:bCs w:val="1"/>
                <w:color w:val="auto"/>
                <w:w w:val="88"/>
              </w:rPr>
              <w:t>Average</w:t>
            </w:r>
            <w:r>
              <w:rPr>
                <w:rFonts w:ascii="Arial" w:cs="Arial" w:eastAsia="Arial" w:hAnsi="Arial"/>
                <w:sz w:val="17"/>
                <w:szCs w:val="17"/>
                <w:b w:val="1"/>
                <w:bCs w:val="1"/>
                <w:color w:val="auto"/>
                <w:w w:val="88"/>
                <w:vertAlign w:val="superscript"/>
              </w:rPr>
              <w:t>(1)</w:t>
            </w:r>
          </w:p>
        </w:tc>
      </w:tr>
      <w:tr>
        <w:trPr>
          <w:trHeight w:val="128"/>
        </w:trPr>
        <w:tc>
          <w:tcPr>
            <w:tcW w:w="1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Borders>
              <w:top w:val="single" w:sz="8" w:color="auto"/>
            </w:tcBorders>
          </w:tcPr>
          <w:p>
            <w:pPr>
              <w:ind w:left="960"/>
              <w:spacing w:after="0" w:line="129" w:lineRule="exact"/>
              <w:rPr>
                <w:sz w:val="20"/>
                <w:szCs w:val="20"/>
                <w:color w:val="auto"/>
              </w:rPr>
            </w:pPr>
            <w:r>
              <w:rPr>
                <w:rFonts w:ascii="Arial" w:cs="Arial" w:eastAsia="Arial" w:hAnsi="Arial"/>
                <w:sz w:val="13"/>
                <w:szCs w:val="13"/>
                <w:b w:val="1"/>
                <w:bCs w:val="1"/>
                <w:color w:val="auto"/>
                <w:w w:val="86"/>
              </w:rPr>
              <w:t>(Dollars in thousands, except</w:t>
            </w:r>
          </w:p>
        </w:tc>
        <w:tc>
          <w:tcPr>
            <w:tcW w:w="140" w:type="dxa"/>
            <w:vAlign w:val="bottom"/>
          </w:tcPr>
          <w:p>
            <w:pPr>
              <w:spacing w:after="0"/>
              <w:rPr>
                <w:sz w:val="20"/>
                <w:szCs w:val="20"/>
                <w:color w:val="auto"/>
              </w:rPr>
            </w:pPr>
            <w:r>
              <w:rPr>
                <w:rFonts w:ascii="Arial" w:cs="Arial" w:eastAsia="Arial" w:hAnsi="Arial"/>
                <w:sz w:val="10"/>
                <w:szCs w:val="10"/>
                <w:b w:val="1"/>
                <w:bCs w:val="1"/>
                <w:color w:val="auto"/>
                <w:w w:val="76"/>
              </w:rPr>
              <w:t>per</w:t>
            </w:r>
          </w:p>
        </w:tc>
        <w:tc>
          <w:tcPr>
            <w:tcW w:w="16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3"/>
                <w:szCs w:val="13"/>
                <w:b w:val="1"/>
                <w:bCs w:val="1"/>
                <w:color w:val="auto"/>
              </w:rPr>
              <w:t>share data)</w:t>
            </w:r>
          </w:p>
        </w:tc>
        <w:tc>
          <w:tcPr>
            <w:tcW w:w="1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6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Debt investments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262,635</w:t>
            </w:r>
          </w:p>
        </w:tc>
        <w:tc>
          <w:tcPr>
            <w:tcW w:w="120" w:type="dxa"/>
            <w:vAlign w:val="bottom"/>
            <w:shd w:val="clear" w:color="auto" w:fill="CCEEFF"/>
          </w:tcPr>
          <w:p>
            <w:pPr>
              <w:spacing w:after="0"/>
              <w:rPr>
                <w:sz w:val="11"/>
                <w:szCs w:val="11"/>
                <w:color w:val="auto"/>
              </w:rPr>
            </w:pPr>
          </w:p>
        </w:tc>
        <w:tc>
          <w:tcPr>
            <w:tcW w:w="2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Discounted Expected Future Cash Flows</w:t>
            </w:r>
          </w:p>
        </w:tc>
        <w:tc>
          <w:tcPr>
            <w:tcW w:w="1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Hypothetical Market Yield</w:t>
            </w:r>
          </w:p>
        </w:tc>
        <w:tc>
          <w:tcPr>
            <w:tcW w:w="10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7"/>
              </w:rPr>
              <w:t>10% – 16%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12 %</w:t>
            </w: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13,864</w:t>
            </w:r>
          </w:p>
        </w:tc>
        <w:tc>
          <w:tcPr>
            <w:tcW w:w="120" w:type="dxa"/>
            <w:vAlign w:val="bottom"/>
          </w:tcPr>
          <w:p>
            <w:pPr>
              <w:spacing w:after="0"/>
              <w:rPr>
                <w:sz w:val="11"/>
                <w:szCs w:val="11"/>
                <w:color w:val="auto"/>
              </w:rPr>
            </w:pPr>
          </w:p>
        </w:tc>
        <w:tc>
          <w:tcPr>
            <w:tcW w:w="2680" w:type="dxa"/>
            <w:vAlign w:val="bottom"/>
            <w:gridSpan w:val="2"/>
          </w:tcPr>
          <w:p>
            <w:pPr>
              <w:spacing w:after="0" w:line="135" w:lineRule="exact"/>
              <w:rPr>
                <w:sz w:val="20"/>
                <w:szCs w:val="20"/>
                <w:color w:val="auto"/>
              </w:rPr>
            </w:pPr>
            <w:r>
              <w:rPr>
                <w:rFonts w:ascii="Arial" w:cs="Arial" w:eastAsia="Arial" w:hAnsi="Arial"/>
                <w:sz w:val="13"/>
                <w:szCs w:val="13"/>
                <w:color w:val="auto"/>
              </w:rPr>
              <w:t>Liquidation Scenario</w:t>
            </w:r>
          </w:p>
        </w:tc>
        <w:tc>
          <w:tcPr>
            <w:tcW w:w="1760" w:type="dxa"/>
            <w:vAlign w:val="bottom"/>
            <w:gridSpan w:val="2"/>
          </w:tcPr>
          <w:p>
            <w:pPr>
              <w:spacing w:after="0" w:line="135" w:lineRule="exact"/>
              <w:rPr>
                <w:sz w:val="20"/>
                <w:szCs w:val="20"/>
                <w:color w:val="auto"/>
              </w:rPr>
            </w:pPr>
            <w:r>
              <w:rPr>
                <w:rFonts w:ascii="Arial" w:cs="Arial" w:eastAsia="Arial" w:hAnsi="Arial"/>
                <w:sz w:val="13"/>
                <w:szCs w:val="13"/>
                <w:color w:val="auto"/>
              </w:rPr>
              <w:t>Probability Weighting</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6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 100%</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50 %</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11,856</w:t>
            </w:r>
          </w:p>
        </w:tc>
        <w:tc>
          <w:tcPr>
            <w:tcW w:w="120" w:type="dxa"/>
            <w:vAlign w:val="bottom"/>
            <w:shd w:val="clear" w:color="auto" w:fill="CCEEFF"/>
          </w:tcPr>
          <w:p>
            <w:pPr>
              <w:spacing w:after="0"/>
              <w:rPr>
                <w:sz w:val="11"/>
                <w:szCs w:val="11"/>
                <w:color w:val="auto"/>
              </w:rPr>
            </w:pPr>
          </w:p>
        </w:tc>
        <w:tc>
          <w:tcPr>
            <w:tcW w:w="2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7"/>
              </w:rPr>
              <w:t>Multiple Probability Weighted Cash Flow Model</w:t>
            </w:r>
          </w:p>
        </w:tc>
        <w:tc>
          <w:tcPr>
            <w:tcW w:w="1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Probability Weighting</w:t>
            </w:r>
          </w:p>
        </w:tc>
        <w:tc>
          <w:tcPr>
            <w:tcW w:w="10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7"/>
              </w:rPr>
              <w:t>10% – 60%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38 %</w:t>
            </w: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6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Warrant investments</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5,598</w:t>
            </w:r>
          </w:p>
        </w:tc>
        <w:tc>
          <w:tcPr>
            <w:tcW w:w="120" w:type="dxa"/>
            <w:vAlign w:val="bottom"/>
            <w:shd w:val="clear" w:color="auto" w:fill="CCEEFF"/>
          </w:tcPr>
          <w:p>
            <w:pPr>
              <w:spacing w:after="0"/>
              <w:rPr>
                <w:sz w:val="11"/>
                <w:szCs w:val="11"/>
                <w:color w:val="auto"/>
              </w:rPr>
            </w:pPr>
          </w:p>
        </w:tc>
        <w:tc>
          <w:tcPr>
            <w:tcW w:w="2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Black-Scholes Valuation Model</w:t>
            </w:r>
          </w:p>
        </w:tc>
        <w:tc>
          <w:tcPr>
            <w:tcW w:w="1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Price Per Share</w:t>
            </w:r>
          </w:p>
        </w:tc>
        <w:tc>
          <w:tcPr>
            <w:tcW w:w="10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7"/>
              </w:rPr>
              <w:t>$0.00 – $980.00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12.42</w:t>
            </w:r>
          </w:p>
        </w:tc>
        <w:tc>
          <w:tcPr>
            <w:tcW w:w="260" w:type="dxa"/>
            <w:vAlign w:val="bottom"/>
            <w:shd w:val="clear" w:color="auto" w:fill="CCEEFF"/>
          </w:tcPr>
          <w:p>
            <w:pPr>
              <w:spacing w:after="0"/>
              <w:rPr>
                <w:sz w:val="11"/>
                <w:szCs w:val="11"/>
                <w:color w:val="auto"/>
              </w:rPr>
            </w:pP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2"/>
          </w:tcPr>
          <w:p>
            <w:pPr>
              <w:spacing w:after="0" w:line="135" w:lineRule="exact"/>
              <w:rPr>
                <w:sz w:val="20"/>
                <w:szCs w:val="20"/>
                <w:color w:val="auto"/>
              </w:rPr>
            </w:pPr>
            <w:r>
              <w:rPr>
                <w:rFonts w:ascii="Arial" w:cs="Arial" w:eastAsia="Arial" w:hAnsi="Arial"/>
                <w:sz w:val="13"/>
                <w:szCs w:val="13"/>
                <w:color w:val="auto"/>
              </w:rPr>
              <w:t>Average Industry Volatility</w:t>
            </w:r>
          </w:p>
        </w:tc>
        <w:tc>
          <w:tcPr>
            <w:tcW w:w="88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92"/>
              </w:rPr>
              <w:t>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22 %</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Marketability Discount</w:t>
            </w:r>
          </w:p>
        </w:tc>
        <w:tc>
          <w:tcPr>
            <w:tcW w:w="88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2"/>
              </w:rPr>
              <w:t>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20 %</w:t>
            </w: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2"/>
          </w:tcPr>
          <w:p>
            <w:pPr>
              <w:spacing w:after="0" w:line="135" w:lineRule="exact"/>
              <w:rPr>
                <w:sz w:val="20"/>
                <w:szCs w:val="20"/>
                <w:color w:val="auto"/>
              </w:rPr>
            </w:pPr>
            <w:r>
              <w:rPr>
                <w:rFonts w:ascii="Arial" w:cs="Arial" w:eastAsia="Arial" w:hAnsi="Arial"/>
                <w:sz w:val="13"/>
                <w:szCs w:val="13"/>
                <w:color w:val="auto"/>
              </w:rPr>
              <w:t>Estimated Time to Exit</w:t>
            </w:r>
          </w:p>
        </w:tc>
        <w:tc>
          <w:tcPr>
            <w:tcW w:w="102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1 to 4 years</w:t>
            </w:r>
          </w:p>
        </w:tc>
        <w:tc>
          <w:tcPr>
            <w:tcW w:w="8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 years</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Price Per Share</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$6.22</w:t>
            </w:r>
          </w:p>
        </w:tc>
        <w:tc>
          <w:tcPr>
            <w:tcW w:w="6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 $12.90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9.48</w:t>
            </w:r>
          </w:p>
        </w:tc>
        <w:tc>
          <w:tcPr>
            <w:tcW w:w="260" w:type="dxa"/>
            <w:vAlign w:val="bottom"/>
            <w:shd w:val="clear" w:color="auto" w:fill="CCEEFF"/>
          </w:tcPr>
          <w:p>
            <w:pPr>
              <w:spacing w:after="0"/>
              <w:rPr>
                <w:sz w:val="11"/>
                <w:szCs w:val="11"/>
                <w:color w:val="auto"/>
              </w:rPr>
            </w:pP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4,561</w:t>
            </w:r>
          </w:p>
        </w:tc>
        <w:tc>
          <w:tcPr>
            <w:tcW w:w="120" w:type="dxa"/>
            <w:vAlign w:val="bottom"/>
          </w:tcPr>
          <w:p>
            <w:pPr>
              <w:spacing w:after="0"/>
              <w:rPr>
                <w:sz w:val="11"/>
                <w:szCs w:val="11"/>
                <w:color w:val="auto"/>
              </w:rPr>
            </w:pPr>
          </w:p>
        </w:tc>
        <w:tc>
          <w:tcPr>
            <w:tcW w:w="2680" w:type="dxa"/>
            <w:vAlign w:val="bottom"/>
            <w:gridSpan w:val="2"/>
          </w:tcPr>
          <w:p>
            <w:pPr>
              <w:spacing w:after="0" w:line="135" w:lineRule="exact"/>
              <w:rPr>
                <w:sz w:val="20"/>
                <w:szCs w:val="20"/>
                <w:color w:val="auto"/>
              </w:rPr>
            </w:pPr>
            <w:r>
              <w:rPr>
                <w:rFonts w:ascii="Arial" w:cs="Arial" w:eastAsia="Arial" w:hAnsi="Arial"/>
                <w:sz w:val="13"/>
                <w:szCs w:val="13"/>
                <w:color w:val="auto"/>
              </w:rPr>
              <w:t>Estimated Proceeds</w:t>
            </w:r>
          </w:p>
        </w:tc>
        <w:tc>
          <w:tcPr>
            <w:tcW w:w="1760" w:type="dxa"/>
            <w:vAlign w:val="bottom"/>
            <w:gridSpan w:val="2"/>
          </w:tcPr>
          <w:p>
            <w:pPr>
              <w:spacing w:after="0" w:line="135" w:lineRule="exact"/>
              <w:rPr>
                <w:sz w:val="20"/>
                <w:szCs w:val="20"/>
                <w:color w:val="auto"/>
              </w:rPr>
            </w:pPr>
            <w:r>
              <w:rPr>
                <w:rFonts w:ascii="Arial" w:cs="Arial" w:eastAsia="Arial" w:hAnsi="Arial"/>
                <w:sz w:val="13"/>
                <w:szCs w:val="13"/>
                <w:color w:val="auto"/>
              </w:rPr>
              <w:t>Discount Rate</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0%</w:t>
            </w:r>
          </w:p>
        </w:tc>
        <w:tc>
          <w:tcPr>
            <w:tcW w:w="6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 20%</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10 %</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35"/>
        </w:trPr>
        <w:tc>
          <w:tcPr>
            <w:tcW w:w="16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investments</w:t>
            </w: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1"/>
                <w:szCs w:val="11"/>
                <w:color w:val="auto"/>
              </w:rPr>
            </w:pPr>
          </w:p>
        </w:tc>
        <w:tc>
          <w:tcPr>
            <w:tcW w:w="2680" w:type="dxa"/>
            <w:vAlign w:val="bottom"/>
            <w:gridSpan w:val="2"/>
          </w:tcPr>
          <w:p>
            <w:pPr>
              <w:spacing w:after="0" w:line="135" w:lineRule="exact"/>
              <w:rPr>
                <w:sz w:val="20"/>
                <w:szCs w:val="20"/>
                <w:color w:val="auto"/>
              </w:rPr>
            </w:pPr>
            <w:r>
              <w:rPr>
                <w:rFonts w:ascii="Arial" w:cs="Arial" w:eastAsia="Arial" w:hAnsi="Arial"/>
                <w:sz w:val="13"/>
                <w:szCs w:val="13"/>
                <w:color w:val="auto"/>
                <w:w w:val="97"/>
              </w:rPr>
              <w:t>Multiple Probability Weighted Cash Flow Model</w:t>
            </w:r>
          </w:p>
        </w:tc>
        <w:tc>
          <w:tcPr>
            <w:tcW w:w="1760" w:type="dxa"/>
            <w:vAlign w:val="bottom"/>
            <w:gridSpan w:val="2"/>
          </w:tcPr>
          <w:p>
            <w:pPr>
              <w:spacing w:after="0" w:line="135" w:lineRule="exact"/>
              <w:rPr>
                <w:sz w:val="20"/>
                <w:szCs w:val="20"/>
                <w:color w:val="auto"/>
              </w:rPr>
            </w:pPr>
            <w:r>
              <w:rPr>
                <w:rFonts w:ascii="Arial" w:cs="Arial" w:eastAsia="Arial" w:hAnsi="Arial"/>
                <w:sz w:val="13"/>
                <w:szCs w:val="13"/>
                <w:color w:val="auto"/>
              </w:rPr>
              <w:t>Discount Rate</w:t>
            </w:r>
          </w:p>
        </w:tc>
        <w:tc>
          <w:tcPr>
            <w:tcW w:w="88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92"/>
              </w:rPr>
              <w:t>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25 %</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Probability Weighting</w:t>
            </w:r>
          </w:p>
        </w:tc>
        <w:tc>
          <w:tcPr>
            <w:tcW w:w="8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100%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100 %</w:t>
            </w: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6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investments</w:t>
            </w: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3,125</w:t>
            </w:r>
          </w:p>
        </w:tc>
        <w:tc>
          <w:tcPr>
            <w:tcW w:w="120" w:type="dxa"/>
            <w:vAlign w:val="bottom"/>
            <w:shd w:val="clear" w:color="auto" w:fill="CCEEFF"/>
          </w:tcPr>
          <w:p>
            <w:pPr>
              <w:spacing w:after="0"/>
              <w:rPr>
                <w:sz w:val="11"/>
                <w:szCs w:val="11"/>
                <w:color w:val="auto"/>
              </w:rPr>
            </w:pPr>
          </w:p>
        </w:tc>
        <w:tc>
          <w:tcPr>
            <w:tcW w:w="26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Last Equity Financing</w:t>
            </w:r>
          </w:p>
        </w:tc>
        <w:tc>
          <w:tcPr>
            <w:tcW w:w="17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Price Per Share</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$0.00</w:t>
            </w:r>
          </w:p>
        </w:tc>
        <w:tc>
          <w:tcPr>
            <w:tcW w:w="6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 $13.04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2.71</w:t>
            </w:r>
          </w:p>
        </w:tc>
        <w:tc>
          <w:tcPr>
            <w:tcW w:w="260" w:type="dxa"/>
            <w:vAlign w:val="bottom"/>
            <w:shd w:val="clear" w:color="auto" w:fill="CCEEFF"/>
          </w:tcPr>
          <w:p>
            <w:pPr>
              <w:spacing w:after="0"/>
              <w:rPr>
                <w:sz w:val="11"/>
                <w:szCs w:val="11"/>
                <w:color w:val="auto"/>
              </w:rPr>
            </w:pPr>
          </w:p>
        </w:tc>
      </w:tr>
      <w:tr>
        <w:trPr>
          <w:trHeight w:val="128"/>
        </w:trPr>
        <w:tc>
          <w:tcPr>
            <w:tcW w:w="16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Total Level 3 investments</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302,139</w:t>
            </w: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0"/>
        </w:trPr>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i w:val="1"/>
          <w:iCs w:val="1"/>
          <w:color w:val="auto"/>
        </w:rPr>
        <w:t xml:space="preserve">Borrowings: </w:t>
      </w:r>
      <w:r>
        <w:rPr>
          <w:rFonts w:ascii="Arial" w:cs="Arial" w:eastAsia="Arial" w:hAnsi="Arial"/>
          <w:sz w:val="16"/>
          <w:szCs w:val="16"/>
          <w:color w:val="auto"/>
        </w:rPr>
        <w:t>The Key Facility approximates fair value due to the variable interest rate of the Key Facility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categorized as Level 2 within the fair value hierarchy described above. The fair value of the NYL Facility also approximates its carrying value and is categorized as Level 2. Additionally, the Company considers its creditworthiness in determining the fair value of such borrowings. The fair value of the fixed-rate 2022 Notes (as defined in Note 7) is based on the closing public share price on the date of measurement. On June 30, 2020, the closing price of the 2022 Notes on the New York Stock Exchange was $24.85 per note, or $37.2 million. Therefore, the Company has categorized this borrowing as Level 1 within the fair value hierarchy described above. Based on market quotations on June 30, 2020, the Asset-Backed Notes (as defined in Note 7) were trading at par value, or $100.0 million, and are categorized as Level 3 within the fair value hierarchy described above. These borrowings are not recorded at fair value on a recurring basis.</w:t>
      </w:r>
    </w:p>
    <w:p>
      <w:pPr>
        <w:spacing w:after="0" w:line="166"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standings. Therefore, the Company has categorized these instruments as Level 3 within the fair value hierarchy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tables detail the assets that are carried at fair value and measured at fair value on a recurring basis as of June 30, 2020 and December 31, 2019 and indicate the fair value hierarchy of the valuation techniques utilized by the Company to determine the fair value:</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$ 14,499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40" w:type="dxa"/>
            <w:vAlign w:val="bottom"/>
            <w:gridSpan w:val="3"/>
            <w:vMerge w:val="restart"/>
          </w:tcPr>
          <w:p>
            <w:pPr>
              <w:ind w:left="900"/>
              <w:spacing w:after="0"/>
              <w:rPr>
                <w:sz w:val="20"/>
                <w:szCs w:val="20"/>
                <w:color w:val="auto"/>
              </w:rPr>
            </w:pPr>
            <w:r>
              <w:rPr>
                <w:rFonts w:ascii="Arial" w:cs="Arial" w:eastAsia="Arial" w:hAnsi="Arial"/>
                <w:sz w:val="18"/>
                <w:szCs w:val="18"/>
                <w:color w:val="auto"/>
                <w:w w:val="98"/>
              </w:rPr>
              <w:t>Restricted investments in money market funds</w:t>
            </w:r>
          </w:p>
        </w:tc>
        <w:tc>
          <w:tcPr>
            <w:tcW w:w="3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540" w:type="dxa"/>
            <w:vAlign w:val="bottom"/>
            <w:gridSpan w:val="3"/>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1,189</w:t>
            </w:r>
          </w:p>
        </w:tc>
        <w:tc>
          <w:tcPr>
            <w:tcW w:w="14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97"/>
        </w:trPr>
        <w:tc>
          <w:tcPr>
            <w:tcW w:w="920" w:type="dxa"/>
            <w:vAlign w:val="bottom"/>
          </w:tcPr>
          <w:p>
            <w:pPr>
              <w:spacing w:after="0"/>
              <w:rPr>
                <w:sz w:val="17"/>
                <w:szCs w:val="17"/>
                <w:color w:val="auto"/>
              </w:rPr>
            </w:pPr>
          </w:p>
        </w:tc>
        <w:tc>
          <w:tcPr>
            <w:tcW w:w="3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 investments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342,722</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342,722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Warrant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354,693</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355,880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ind w:left="360"/>
              <w:spacing w:after="0" w:line="129" w:lineRule="exact"/>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$ 9,787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540" w:type="dxa"/>
            <w:vAlign w:val="bottom"/>
            <w:gridSpan w:val="3"/>
          </w:tcPr>
          <w:p>
            <w:pPr>
              <w:ind w:left="900"/>
              <w:spacing w:after="0"/>
              <w:rPr>
                <w:sz w:val="20"/>
                <w:szCs w:val="20"/>
                <w:color w:val="auto"/>
              </w:rPr>
            </w:pPr>
            <w:r>
              <w:rPr>
                <w:rFonts w:ascii="Arial" w:cs="Arial" w:eastAsia="Arial" w:hAnsi="Arial"/>
                <w:sz w:val="18"/>
                <w:szCs w:val="18"/>
                <w:color w:val="auto"/>
                <w:w w:val="98"/>
              </w:rPr>
              <w:t>Restricted investments in money market funds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$ 1,133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197"/>
        </w:trPr>
        <w:tc>
          <w:tcPr>
            <w:tcW w:w="920" w:type="dxa"/>
            <w:vAlign w:val="bottom"/>
          </w:tcPr>
          <w:p>
            <w:pPr>
              <w:spacing w:after="0"/>
              <w:rPr>
                <w:sz w:val="17"/>
                <w:szCs w:val="17"/>
                <w:color w:val="auto"/>
              </w:rPr>
            </w:pPr>
          </w:p>
        </w:tc>
        <w:tc>
          <w:tcPr>
            <w:tcW w:w="3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 investments</w:t>
            </w:r>
          </w:p>
        </w:tc>
        <w:tc>
          <w:tcPr>
            <w:tcW w:w="4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right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288,355</w:t>
            </w: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288,355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Warrant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Equity interest in HSLFI</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right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10"/>
        </w:trPr>
        <w:tc>
          <w:tcPr>
            <w:tcW w:w="4540" w:type="dxa"/>
            <w:vAlign w:val="bottom"/>
            <w:gridSpan w:val="3"/>
          </w:tcPr>
          <w:p>
            <w:pPr>
              <w:ind w:left="900"/>
              <w:spacing w:after="0"/>
              <w:rPr>
                <w:sz w:val="20"/>
                <w:szCs w:val="20"/>
                <w:color w:val="auto"/>
              </w:rPr>
            </w:pPr>
            <w:r>
              <w:rPr>
                <w:rFonts w:ascii="Arial" w:cs="Arial" w:eastAsia="Arial" w:hAnsi="Arial"/>
                <w:sz w:val="18"/>
                <w:szCs w:val="18"/>
                <w:color w:val="auto"/>
              </w:rPr>
              <w:t>Total investments</w:t>
            </w:r>
          </w:p>
        </w:tc>
        <w:tc>
          <w:tcPr>
            <w:tcW w:w="4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302,139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319,551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17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June 30,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9"/>
          </w:tcPr>
          <w:p>
            <w:pPr>
              <w:ind w:left="60"/>
              <w:spacing w:after="0"/>
              <w:rPr>
                <w:sz w:val="20"/>
                <w:szCs w:val="20"/>
                <w:color w:val="auto"/>
              </w:rPr>
            </w:pPr>
            <w:r>
              <w:rPr>
                <w:rFonts w:ascii="Arial" w:cs="Arial" w:eastAsia="Arial" w:hAnsi="Arial"/>
                <w:sz w:val="14"/>
                <w:szCs w:val="14"/>
                <w:b w:val="1"/>
                <w:bCs w:val="1"/>
                <w:color w:val="auto"/>
              </w:rPr>
              <w:t>Three months ended June 30, 2020</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92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Debt</w:t>
            </w:r>
          </w:p>
        </w:tc>
        <w:tc>
          <w:tcPr>
            <w:tcW w:w="80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Warrant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76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Other</w:t>
            </w:r>
          </w:p>
        </w:tc>
        <w:tc>
          <w:tcPr>
            <w:tcW w:w="8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Investments</w:t>
            </w: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Investments</w:t>
            </w: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2"/>
              </w:rPr>
              <w:t>(In thousands)</w:t>
            </w:r>
          </w:p>
        </w:tc>
        <w:tc>
          <w:tcPr>
            <w:tcW w:w="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3 assets, beginning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$ 307,557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$ 317,262</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780" w:type="dxa"/>
            <w:vAlign w:val="bottom"/>
          </w:tcPr>
          <w:p>
            <w:pPr>
              <w:jc w:val="right"/>
              <w:spacing w:after="0"/>
              <w:rPr>
                <w:sz w:val="20"/>
                <w:szCs w:val="20"/>
                <w:color w:val="auto"/>
              </w:rPr>
            </w:pPr>
            <w:r>
              <w:rPr>
                <w:rFonts w:ascii="Arial" w:cs="Arial" w:eastAsia="Arial" w:hAnsi="Arial"/>
                <w:sz w:val="18"/>
                <w:szCs w:val="18"/>
                <w:color w:val="auto"/>
              </w:rPr>
              <w:t>71,406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71,406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and equity received and classified as Level 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Principal payments received on investments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(35,234)</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(35,234)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Net realized (loss) gain on investments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Unrealized appreciation (depreciation) included in earnings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Transfer of investment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500" w:type="dxa"/>
            <w:vAlign w:val="bottom"/>
          </w:tcPr>
          <w:p>
            <w:pPr>
              <w:ind w:left="20"/>
              <w:spacing w:after="0"/>
              <w:rPr>
                <w:sz w:val="20"/>
                <w:szCs w:val="20"/>
                <w:color w:val="auto"/>
              </w:rPr>
            </w:pPr>
            <w:r>
              <w:rPr>
                <w:rFonts w:ascii="Arial" w:cs="Arial" w:eastAsia="Arial" w:hAnsi="Arial"/>
                <w:sz w:val="18"/>
                <w:szCs w:val="18"/>
                <w:color w:val="auto"/>
              </w:rPr>
              <w:t>Level 3 assets, end of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$ 342,722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$ 354,693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three months ended June 30, 2020, there were no transfers in or out of Level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June 30,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jc w:val="right"/>
              <w:ind w:right="340"/>
              <w:spacing w:after="0"/>
              <w:rPr>
                <w:sz w:val="20"/>
                <w:szCs w:val="20"/>
                <w:color w:val="auto"/>
              </w:rPr>
            </w:pPr>
            <w:r>
              <w:rPr>
                <w:rFonts w:ascii="Arial" w:cs="Arial" w:eastAsia="Arial" w:hAnsi="Arial"/>
                <w:sz w:val="14"/>
                <w:szCs w:val="14"/>
                <w:b w:val="1"/>
                <w:bCs w:val="1"/>
                <w:color w:val="auto"/>
                <w:w w:val="93"/>
              </w:rPr>
              <w:t>Three months ended June 30, 2019</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9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Debt</w:t>
            </w:r>
          </w:p>
        </w:tc>
        <w:tc>
          <w:tcPr>
            <w:tcW w:w="80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Warrant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7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0"/>
                <w:szCs w:val="10"/>
                <w:color w:val="auto"/>
              </w:rPr>
            </w:pPr>
          </w:p>
        </w:tc>
        <w:tc>
          <w:tcPr>
            <w:tcW w:w="6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3 assets, beginning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$ 235,268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251,502</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780" w:type="dxa"/>
            <w:vAlign w:val="bottom"/>
          </w:tcPr>
          <w:p>
            <w:pPr>
              <w:jc w:val="right"/>
              <w:spacing w:after="0"/>
              <w:rPr>
                <w:sz w:val="20"/>
                <w:szCs w:val="20"/>
                <w:color w:val="auto"/>
              </w:rPr>
            </w:pPr>
            <w:r>
              <w:rPr>
                <w:rFonts w:ascii="Arial" w:cs="Arial" w:eastAsia="Arial" w:hAnsi="Arial"/>
                <w:sz w:val="18"/>
                <w:szCs w:val="18"/>
                <w:color w:val="auto"/>
              </w:rPr>
              <w:t>55,055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55,055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and equity received and classified as Level 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Principal payments received on investments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(46,517)</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(46,591)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Net realized (loss) gain on investments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Unrealized (depreciation) appreciation included in earnings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Transfer out of Level 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rPr>
              <w:t>Level 3 assets, end of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$ 242,287</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260,097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three months ended June 30, 2019, there was one transfer out of Level 3. The transfer out of Level 3 related to warrants held in one portfolio company with an aggregate fair value of $0.2 million that was transferred to Level 2 upon the portfolio company becoming a public company. During the three months ended June 30, 2019, there were no transfers to Level 3.</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six months ended June 30,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ind w:left="140"/>
              <w:spacing w:after="0"/>
              <w:rPr>
                <w:sz w:val="20"/>
                <w:szCs w:val="20"/>
                <w:color w:val="auto"/>
              </w:rPr>
            </w:pPr>
            <w:r>
              <w:rPr>
                <w:rFonts w:ascii="Arial" w:cs="Arial" w:eastAsia="Arial" w:hAnsi="Arial"/>
                <w:sz w:val="14"/>
                <w:szCs w:val="14"/>
                <w:b w:val="1"/>
                <w:bCs w:val="1"/>
                <w:color w:val="auto"/>
              </w:rPr>
              <w:t>Six months ended June 30, 2020</w:t>
            </w: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78"/>
              <w:spacing w:after="0" w:line="119" w:lineRule="exact"/>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0"/>
                <w:szCs w:val="10"/>
                <w:color w:val="auto"/>
              </w:rPr>
            </w:pPr>
          </w:p>
        </w:tc>
        <w:tc>
          <w:tcPr>
            <w:tcW w:w="740" w:type="dxa"/>
            <w:vAlign w:val="bottom"/>
            <w:gridSpan w:val="2"/>
          </w:tcPr>
          <w:p>
            <w:pPr>
              <w:jc w:val="right"/>
              <w:ind w:right="32"/>
              <w:spacing w:after="0" w:line="119" w:lineRule="exact"/>
              <w:rPr>
                <w:sz w:val="20"/>
                <w:szCs w:val="20"/>
                <w:color w:val="auto"/>
              </w:rPr>
            </w:pPr>
            <w:r>
              <w:rPr>
                <w:rFonts w:ascii="Arial" w:cs="Arial" w:eastAsia="Arial" w:hAnsi="Arial"/>
                <w:sz w:val="13"/>
                <w:szCs w:val="13"/>
                <w:b w:val="1"/>
                <w:bCs w:val="1"/>
                <w:color w:val="auto"/>
              </w:rPr>
              <w:t>Warrant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Other</w:t>
            </w:r>
          </w:p>
        </w:tc>
        <w:tc>
          <w:tcPr>
            <w:tcW w:w="20" w:type="dxa"/>
            <w:vAlign w:val="bottom"/>
          </w:tcPr>
          <w:p>
            <w:pPr>
              <w:spacing w:after="0"/>
              <w:rPr>
                <w:sz w:val="10"/>
                <w:szCs w:val="10"/>
                <w:color w:val="auto"/>
              </w:rPr>
            </w:pPr>
          </w:p>
        </w:tc>
        <w:tc>
          <w:tcPr>
            <w:tcW w:w="7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Investments</w:t>
            </w:r>
          </w:p>
        </w:tc>
        <w:tc>
          <w:tcPr>
            <w:tcW w:w="1000" w:type="dxa"/>
            <w:vAlign w:val="bottom"/>
            <w:gridSpan w:val="4"/>
          </w:tcPr>
          <w:p>
            <w:pPr>
              <w:ind w:left="140"/>
              <w:spacing w:after="0"/>
              <w:rPr>
                <w:sz w:val="20"/>
                <w:szCs w:val="20"/>
                <w:color w:val="auto"/>
              </w:rPr>
            </w:pPr>
            <w:r>
              <w:rPr>
                <w:rFonts w:ascii="Arial" w:cs="Arial" w:eastAsia="Arial" w:hAnsi="Arial"/>
                <w:sz w:val="14"/>
                <w:szCs w:val="14"/>
                <w:b w:val="1"/>
                <w:bCs w:val="1"/>
                <w:color w:val="auto"/>
              </w:rPr>
              <w:t>Investments</w:t>
            </w:r>
          </w:p>
        </w:tc>
        <w:tc>
          <w:tcPr>
            <w:tcW w:w="9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jc w:val="center"/>
              <w:ind w:left="2"/>
              <w:spacing w:after="0" w:line="129" w:lineRule="exact"/>
              <w:rPr>
                <w:sz w:val="20"/>
                <w:szCs w:val="20"/>
                <w:color w:val="auto"/>
              </w:rPr>
            </w:pPr>
            <w:r>
              <w:rPr>
                <w:rFonts w:ascii="Arial" w:cs="Arial" w:eastAsia="Arial" w:hAnsi="Arial"/>
                <w:sz w:val="14"/>
                <w:szCs w:val="14"/>
                <w:b w:val="1"/>
                <w:bCs w:val="1"/>
                <w:color w:val="auto"/>
                <w:w w:val="82"/>
              </w:rPr>
              <w:t>(In thousands)</w:t>
            </w:r>
          </w:p>
        </w:tc>
        <w:tc>
          <w:tcPr>
            <w:tcW w:w="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$ 288,355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10,159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$ 302,139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122,052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122,052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Warrants and equity received and classified as Level 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(61,140)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(61,168)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2"/>
              </w:rPr>
              <w:t>Unrealized (depreciation) appreciation included in earnings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Transfer of investment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$ 342,722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$ 354,693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six months ended June 30, 2020, there were no transfers in or out of Level 3.</w:t>
      </w:r>
    </w:p>
    <w:p>
      <w:pPr>
        <w:spacing w:after="0" w:line="225"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The change in unrealized depreciation included in the consolidated statement of operations attributable to Level 3 investments still held at June 30, 2020 includes $8.8 million in unrealized depreciation on debt and other investments, $2.1 million in unrealized appreciation on warrant investments and $1.0 million in unrealized depreciation on equity.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six months ended June 30,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4"/>
                <w:szCs w:val="14"/>
                <w:b w:val="1"/>
                <w:bCs w:val="1"/>
                <w:color w:val="auto"/>
                <w:w w:val="95"/>
              </w:rPr>
              <w:t>Six months ended June 30, 2019</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9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Debt</w:t>
            </w:r>
          </w:p>
        </w:tc>
        <w:tc>
          <w:tcPr>
            <w:tcW w:w="80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Warrant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7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0"/>
                <w:szCs w:val="10"/>
                <w:color w:val="auto"/>
              </w:rPr>
            </w:pPr>
          </w:p>
        </w:tc>
        <w:tc>
          <w:tcPr>
            <w:tcW w:w="6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Investments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3 assets, beginning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$ 216,401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233,962</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780" w:type="dxa"/>
            <w:vAlign w:val="bottom"/>
          </w:tcPr>
          <w:p>
            <w:pPr>
              <w:jc w:val="right"/>
              <w:spacing w:after="0"/>
              <w:rPr>
                <w:sz w:val="20"/>
                <w:szCs w:val="20"/>
                <w:color w:val="auto"/>
              </w:rPr>
            </w:pPr>
            <w:r>
              <w:rPr>
                <w:rFonts w:ascii="Arial" w:cs="Arial" w:eastAsia="Arial" w:hAnsi="Arial"/>
                <w:sz w:val="18"/>
                <w:szCs w:val="18"/>
                <w:color w:val="auto"/>
              </w:rPr>
              <w:t>93,137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93,137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and equity received and classified as Level 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Principal payments received on investments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(65,122)</w:t>
            </w: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(65,204)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Net realized gain (loss) on investments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(4,144)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Unrealized (depreciation) appreciation included in earnings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Transfer out of Level 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Arial" w:cs="Arial" w:eastAsia="Arial" w:hAnsi="Arial"/>
                <w:sz w:val="18"/>
                <w:szCs w:val="18"/>
                <w:color w:val="auto"/>
              </w:rPr>
              <w:t>Level 3 assets, end of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$ 242,287</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260,097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During the six months ended June 30, 2019, there was one transfer out of Level 3. The transfer out of Level 3 related to warrants held in one portfolio company with an aggregate fair value of $0.2 million that was transferred to Level 2 upon the portfolio company becoming a public company. During the six months ended June 30, 2019, there were no transfers to Level 3.</w:t>
      </w:r>
    </w:p>
    <w:p>
      <w:pPr>
        <w:spacing w:after="0" w:line="187" w:lineRule="exact"/>
        <w:rPr>
          <w:sz w:val="20"/>
          <w:szCs w:val="20"/>
          <w:color w:val="auto"/>
        </w:rPr>
      </w:pPr>
    </w:p>
    <w:p>
      <w:pPr>
        <w:jc w:val="both"/>
        <w:ind w:left="60" w:right="79" w:firstLine="324"/>
        <w:spacing w:after="0" w:line="259"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June 30, 2019 includes $2.9 million in unrealized depreciation on debt and other investments, $0.2 million in unrealized depreciation on warrant investments and $1.9 million in unrealized appreciation on equity investments.</w:t>
      </w:r>
    </w:p>
    <w:p>
      <w:pPr>
        <w:spacing w:after="0" w:line="18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June 30, 2020 and December 31, 2019, all of the balances of all the Company’s financial instruments were recorded at fair value, except for the Company’s borrowings, as previously described.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borrowings as of June 30, 2020 and December 31, 2019:</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left="475"/>
              <w:spacing w:after="0"/>
              <w:rPr>
                <w:sz w:val="20"/>
                <w:szCs w:val="20"/>
                <w:color w:val="auto"/>
              </w:rPr>
            </w:pPr>
            <w:r>
              <w:rPr>
                <w:rFonts w:ascii="Arial" w:cs="Arial" w:eastAsia="Arial" w:hAnsi="Arial"/>
                <w:sz w:val="14"/>
                <w:szCs w:val="14"/>
                <w:b w:val="1"/>
                <w:bCs w:val="1"/>
                <w:color w:val="auto"/>
                <w:w w:val="91"/>
              </w:rPr>
              <w:t>December 31, 2019</w:t>
            </w:r>
          </w:p>
        </w:tc>
        <w:tc>
          <w:tcPr>
            <w:tcW w:w="700" w:type="dxa"/>
            <w:vAlign w:val="bottom"/>
            <w:tcBorders>
              <w:bottom w:val="single" w:sz="8" w:color="auto"/>
            </w:tcBorders>
          </w:tcPr>
          <w:p>
            <w:pPr>
              <w:spacing w:after="0"/>
              <w:rPr>
                <w:sz w:val="14"/>
                <w:szCs w:val="14"/>
                <w:color w:val="auto"/>
              </w:rPr>
            </w:pPr>
          </w:p>
        </w:tc>
      </w:tr>
      <w:tr>
        <w:trPr>
          <w:trHeight w:val="119"/>
        </w:trPr>
        <w:tc>
          <w:tcPr>
            <w:tcW w:w="2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ind w:right="156"/>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Balance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Unused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Unused</w:t>
            </w:r>
          </w:p>
        </w:tc>
      </w:tr>
      <w:tr>
        <w:trPr>
          <w:trHeight w:val="171"/>
        </w:trPr>
        <w:tc>
          <w:tcPr>
            <w:tcW w:w="28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Commitment</w:t>
            </w:r>
          </w:p>
        </w:tc>
        <w:tc>
          <w:tcPr>
            <w:tcW w:w="16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Commitment</w:t>
            </w: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Commitment</w:t>
            </w:r>
          </w:p>
        </w:tc>
        <w:tc>
          <w:tcPr>
            <w:tcW w:w="1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Commitment</w:t>
            </w:r>
          </w:p>
        </w:tc>
      </w:tr>
      <w:tr>
        <w:trPr>
          <w:trHeight w:val="20"/>
        </w:trPr>
        <w:tc>
          <w:tcPr>
            <w:tcW w:w="2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29"/>
        </w:trPr>
        <w:tc>
          <w:tcPr>
            <w:tcW w:w="2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4"/>
          </w:tcPr>
          <w:p>
            <w:pPr>
              <w:jc w:val="right"/>
              <w:ind w:right="335"/>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108,000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NYL Facility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13,250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86,750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Asset-Backed Notes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2022 Notes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37,375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362,375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195,625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166,750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262,375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154,375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108,000</w:t>
            </w:r>
          </w:p>
        </w:tc>
      </w:tr>
      <w:tr>
        <w:trPr>
          <w:trHeight w:val="182"/>
        </w:trPr>
        <w:tc>
          <w:tcPr>
            <w:tcW w:w="2860" w:type="dxa"/>
            <w:vAlign w:val="bottom"/>
          </w:tcPr>
          <w:p>
            <w:pPr>
              <w:spacing w:after="0" w:line="182" w:lineRule="exact"/>
              <w:rPr>
                <w:sz w:val="20"/>
                <w:szCs w:val="20"/>
                <w:color w:val="auto"/>
              </w:rPr>
            </w:pPr>
            <w:r>
              <w:rPr>
                <w:rFonts w:ascii="Arial" w:cs="Arial" w:eastAsia="Arial" w:hAnsi="Arial"/>
                <w:sz w:val="18"/>
                <w:szCs w:val="18"/>
                <w:color w:val="auto"/>
              </w:rPr>
              <w:t>Unamortized debt issuance costs</w:t>
            </w: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0"/>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attributable to term borrowings</w:t>
            </w:r>
          </w:p>
        </w:tc>
        <w:tc>
          <w:tcPr>
            <w:tcW w:w="4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4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$ 362,375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193,559</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166,750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262,375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152,050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108,000</w:t>
            </w:r>
          </w:p>
        </w:tc>
      </w:tr>
      <w:tr>
        <w:trPr>
          <w:trHeight w:val="20"/>
        </w:trPr>
        <w:tc>
          <w:tcPr>
            <w:tcW w:w="2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The Company held a special meeting on October 30, 2018 during which the reduced asset coverage requirements were approved by stockholders. The reduced asset coverage requirements took effect October 31, 2018.</w:t>
      </w:r>
    </w:p>
    <w:p>
      <w:pPr>
        <w:spacing w:after="0" w:line="16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2020, with certain limited exceptions, as a BDC, the Company is only allowed to borrow amounts such that the Company’s asset coverage, as defined in the 1940 Act, is at least 150% after such borrowings. As of June 30, 2020, the asset coverage for borrowed amounts was 203%.</w:t>
      </w:r>
    </w:p>
    <w:p>
      <w:pPr>
        <w:spacing w:after="0" w:line="184"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Company entered into the Key Facility with Key effective November 4, 2013. On June 29, 2020, the Company amended the Key Facility, among other things, to amend the LIBOR floor from 0.75% to 1.00% and to extend the revolving period to September 30, 2021. The Key Facility has an accordion feature which allows for an increase in the total loan commitment to $150 million from the $125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is scheduled to mature on April 6, 2023. The interest rate is based upon the one-month LIBOR, plus a spread of 3.25%, with a LIBOR floor of 1.00%. The LIBOR rate was 0.16% and 1.76% on June 30, 2020 and December 31, 2019, respectively. The average interest rate for the three months ended June 30, 2020 and 2019 was 4.08% and 5.73%, respectively. The average interest rate for the six months ended June 30, 2020 and 2019 was 4.50% and 5.74%, respectively. The Key Facility requires the payment of an unused line fee in an amount up to 0.50% on an annualized basis of any unborrowed amount available under the facility. As of June 30, 2020 and December 31, 2019, the Company had borrowing capacity under the Key Facility of $80.0 million and $108.0 million, respectively. At June 30, 2020 and December 31, 2019, $22.7 million and $24.2 million, respectively, was available, subject to existing terms and advance rates.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June 30, 2020, the Company was in material compliance with the terms of the 2022 Notes. The 2022 Notes are listed on the New York Stock Exchange under the symbol “HTFA”.</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On August 13, 2019, the Company completed a term debt securitization in connection with which an affiliate of the Company made an offering of the Asset-Backed Notes. The Asset-Backed Notes were rated A+(sf) by Morningstar Credit Ratings, LLC on August 13, 2019. There has been no change in the rating since August 13, 2019.</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Asset-Backed Notes were issued by the 2019-1 Trust pursuant to a note purchase agreement, dated as of August 13, 2019, by and among the Company and Keybanc Capital Markets Inc. as Initial Purchaser, and are backed by a pool of loans made to certain portfolio companies of the Company and secured by certain assets of those portfolio companies and are to be serviced by the Company. Interest on the Asset-Backed Notes will be paid, to the extent of funds available, at a fixed rate of 4.21% per annum. The Asset-Backed Notes have a two-year reinvestment period and a stated maturity of September 15, 2027.</w:t>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June 30, 2020 and December 31, 2019, the Asset-Backed Notes had an outstanding principal balance of $100.0 million.</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terms of the Asset-Backed Notes, the Company is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June 30, 2020 and December 31, 2019, there was approximately $1.2 million and $1.1 million of restricted investments, respectively.</w:t>
      </w:r>
    </w:p>
    <w:p>
      <w:pPr>
        <w:spacing w:after="0" w:line="18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April 21, 2020, the Company purchased all of the limited liability company interests of Arena in HSLFI, which is a party to the NYL Facility. HFI entered into the NYL Facility with the Noteholders for an aggregate purchase price of up to $100.0 million, with an accordion feature of up to $200.0 million at the mutual discretion and agreement of HSLFI and the Noteholders. On June 1, 2018, HSLFI sold or contributed to HFI certain secured loans made to certain portfolio companies pursuant to into the Sale and Servicing Agreement. Any notes issued by HFI are collateralized by all investments held by HFI and permit an advance rate of up to 67% of the aggregate principal amount of eligible debt investments. The notes were issued pursuant to the Indenture.</w:t>
      </w:r>
    </w:p>
    <w:p>
      <w:pPr>
        <w:spacing w:after="0" w:line="177"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June 5, 2020, the Company amended the NYL Facility to extend the investment period to June 5, 2022. The investment period will be followed by a five year amortization period. The stated final payment date was extended to June 15, 2027, subject to any extension of the investment period. The interest rate on the notes issued under the NYL Facility is based on the three year USD mid-market swap rate plus a margin of between 3.55% and 5.15% with an interest rate floor, depending on the rating of such notes at the time of issuance. Any obligation to make additional advances was conditioned on the occurrence of certain conditions, which were satisfied June 26, 2020. There were $13.3 million in advances made by the Noteholders as of June 30, 2020 at an interest rate of 4.60%.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Financial instruments with off-balance-sheet risk</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balance of unfunded commitments to extend credit was $75.9 million and $49.5 million as of June 30, 2020 and December 31, 2019,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 This includes the undrawn revolver commitments discussed in Note 4.</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the Company’s unfunded commitments by portfolio company as of June 30, 2020:</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413"/>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Fair 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1"/>
              </w:rPr>
              <w:t>Unfunded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5"/>
          </w:tcPr>
          <w:p>
            <w:pPr>
              <w:jc w:val="right"/>
              <w:ind w:right="393"/>
              <w:spacing w:after="0" w:line="129"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Betabrand Corporation</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Ceribell,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Castle Creek Biosciences, Inc.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Emalex Biosciences,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Keypath Education Holdings, LLC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LogicBio,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Maculogix, Inc.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Magnolia Medical Technologies,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Provivi, Inc.</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Revinate, Inc.</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Skillshare, Inc.</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table above also provides the fair value of the Company’s unfunded commitment liability as of June 30, 2020, which totaled $0.9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Concentrations of credit risk</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Company’s debt investments consist primarily of loans to development-stage companies at various stages of development in the technology, life science, healthcare information and services and sustainability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Company’s largest debt investments may vary from period to period as new debt investments are recorded and existing debt investments are repaid. The Company’s five largest debt investments, at cost, represented 25% and 28% of total debt investments outstanding as of June 30, 2020 and December 31, 2019, respectively. No single debt investment represented more than 10% of the total debt investments as of June 30, 2020 and December 31, 2019. Investment income, consisting of interest and fees, can fluctuate significantly upon repayment of large debt investments. Interest income from the five largest debt investments accounted for 26% and 27% of total interest and fee income on investments for the three months ended June 30, 2020 and 2019, respectively. Interest income from the five largest debt investments accounted for 24% and 28% of total interest and fee income on investments for the six months ended June 30, 2020 and 2019, respectively.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Distributions</w:t>
      </w:r>
    </w:p>
    <w:p>
      <w:pPr>
        <w:spacing w:after="0" w:line="229" w:lineRule="exact"/>
        <w:rPr>
          <w:sz w:val="20"/>
          <w:szCs w:val="20"/>
          <w:color w:val="auto"/>
        </w:rPr>
      </w:pPr>
    </w:p>
    <w:p>
      <w:pPr>
        <w:jc w:val="both"/>
        <w:ind w:left="60" w:right="79" w:firstLine="324"/>
        <w:spacing w:after="0" w:line="308" w:lineRule="auto"/>
        <w:rPr>
          <w:sz w:val="20"/>
          <w:szCs w:val="20"/>
          <w:color w:val="auto"/>
        </w:rPr>
      </w:pPr>
      <w:r>
        <w:rPr>
          <w:rFonts w:ascii="Arial" w:cs="Arial" w:eastAsia="Arial" w:hAnsi="Arial"/>
          <w:sz w:val="17"/>
          <w:szCs w:val="17"/>
          <w:color w:val="auto"/>
        </w:rPr>
        <w:t>The Company’s distributions are recorded on the declaration date. The following table summarizes the Company’s distribution activity for the six months ended June 30, 2020 and for the year ended December 31, 2019:</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0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Cash</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DRIP</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8"/>
        </w:trPr>
        <w:tc>
          <w:tcPr>
            <w:tcW w:w="3800" w:type="dxa"/>
            <w:vAlign w:val="bottom"/>
            <w:gridSpan w:val="2"/>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Record Date</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7"/>
              </w:rPr>
              <w:t>Share</w:t>
            </w:r>
          </w:p>
        </w:tc>
        <w:tc>
          <w:tcPr>
            <w:tcW w:w="0" w:type="dxa"/>
            <w:vAlign w:val="bottom"/>
          </w:tcPr>
          <w:p>
            <w:pPr>
              <w:spacing w:after="0"/>
              <w:rPr>
                <w:sz w:val="1"/>
                <w:szCs w:val="1"/>
                <w:color w:val="auto"/>
              </w:rPr>
            </w:pPr>
          </w:p>
        </w:tc>
      </w:tr>
      <w:tr>
        <w:trPr>
          <w:trHeight w:val="171"/>
        </w:trPr>
        <w:tc>
          <w:tcPr>
            <w:tcW w:w="3660" w:type="dxa"/>
            <w:vAlign w:val="bottom"/>
          </w:tcPr>
          <w:p>
            <w:pPr>
              <w:ind w:left="1560"/>
              <w:spacing w:after="0"/>
              <w:rPr>
                <w:sz w:val="20"/>
                <w:szCs w:val="20"/>
                <w:color w:val="auto"/>
              </w:rPr>
            </w:pPr>
            <w:r>
              <w:rPr>
                <w:rFonts w:ascii="Arial" w:cs="Arial" w:eastAsia="Arial" w:hAnsi="Arial"/>
                <w:sz w:val="14"/>
                <w:szCs w:val="14"/>
                <w:b w:val="1"/>
                <w:bCs w:val="1"/>
                <w:color w:val="auto"/>
              </w:rPr>
              <w:t>Declared</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3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10"/>
          </w:tcPr>
          <w:p>
            <w:pPr>
              <w:jc w:val="right"/>
              <w:ind w:right="32"/>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Six Months Ended June 30, 2020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4/24/20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8/18/20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9/15/20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4/24/20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8/14/20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4/24/20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2/28/20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2/28/20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2/28/20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4/15/20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8,379</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3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2019</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10/25/19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3/16/20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1,561</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10/25/19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10/25/19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12/18/19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1/15/20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7/26/19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7/26/19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10/18/19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11/15/19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7/26/19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4/26/19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4/26/19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4/26/19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7/16/19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3/1/19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5/15/19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3/1/19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4/16/19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17,012</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15,875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July 24, 2020, the Board declared monthly distributions per share, payable as set forth in the following table:</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960" w:type="dxa"/>
            <w:vAlign w:val="bottom"/>
            <w:gridSpan w:val="2"/>
          </w:tcPr>
          <w:p>
            <w:pPr>
              <w:ind w:left="20"/>
              <w:spacing w:after="0"/>
              <w:rPr>
                <w:sz w:val="20"/>
                <w:szCs w:val="20"/>
                <w:color w:val="auto"/>
              </w:rPr>
            </w:pPr>
            <w:r>
              <w:rPr>
                <w:rFonts w:ascii="Arial" w:cs="Arial" w:eastAsia="Arial" w:hAnsi="Arial"/>
                <w:sz w:val="14"/>
                <w:szCs w:val="14"/>
                <w:b w:val="1"/>
                <w:bCs w:val="1"/>
                <w:color w:val="auto"/>
              </w:rPr>
              <w:t>Ex-Dividend Date</w:t>
            </w:r>
          </w:p>
        </w:tc>
        <w:tc>
          <w:tcPr>
            <w:tcW w:w="2200" w:type="dxa"/>
            <w:vAlign w:val="bottom"/>
            <w:gridSpan w:val="2"/>
          </w:tcPr>
          <w:p>
            <w:pPr>
              <w:ind w:left="260"/>
              <w:spacing w:after="0"/>
              <w:rPr>
                <w:sz w:val="20"/>
                <w:szCs w:val="20"/>
                <w:color w:val="auto"/>
              </w:rPr>
            </w:pPr>
            <w:r>
              <w:rPr>
                <w:rFonts w:ascii="Arial" w:cs="Arial" w:eastAsia="Arial" w:hAnsi="Arial"/>
                <w:sz w:val="14"/>
                <w:szCs w:val="14"/>
                <w:b w:val="1"/>
                <w:bCs w:val="1"/>
                <w:color w:val="auto"/>
              </w:rPr>
              <w:t>Record Date</w:t>
            </w: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Payment Date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jc w:val="right"/>
              <w:ind w:right="355"/>
              <w:spacing w:after="0"/>
              <w:rPr>
                <w:sz w:val="20"/>
                <w:szCs w:val="20"/>
                <w:color w:val="auto"/>
              </w:rPr>
            </w:pPr>
            <w:r>
              <w:rPr>
                <w:rFonts w:ascii="Arial" w:cs="Arial" w:eastAsia="Arial" w:hAnsi="Arial"/>
                <w:sz w:val="14"/>
                <w:szCs w:val="14"/>
                <w:b w:val="1"/>
                <w:bCs w:val="1"/>
                <w:color w:val="auto"/>
              </w:rPr>
              <w:t>Distributions Declared</w:t>
            </w:r>
          </w:p>
        </w:tc>
      </w:tr>
      <w:tr>
        <w:trPr>
          <w:trHeight w:val="210"/>
        </w:trPr>
        <w:tc>
          <w:tcPr>
            <w:tcW w:w="20" w:type="dxa"/>
            <w:vAlign w:val="bottom"/>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16, 2020</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September 17, 2020</w:t>
            </w: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16, 2020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October 19, 2020</w:t>
            </w:r>
          </w:p>
        </w:tc>
        <w:tc>
          <w:tcPr>
            <w:tcW w:w="2200" w:type="dxa"/>
            <w:vAlign w:val="bottom"/>
            <w:gridSpan w:val="2"/>
          </w:tcPr>
          <w:p>
            <w:pPr>
              <w:ind w:left="260"/>
              <w:spacing w:after="0"/>
              <w:rPr>
                <w:sz w:val="20"/>
                <w:szCs w:val="20"/>
                <w:color w:val="auto"/>
              </w:rPr>
            </w:pPr>
            <w:r>
              <w:rPr>
                <w:rFonts w:ascii="Arial" w:cs="Arial" w:eastAsia="Arial" w:hAnsi="Arial"/>
                <w:sz w:val="18"/>
                <w:szCs w:val="18"/>
                <w:color w:val="auto"/>
              </w:rPr>
              <w:t>October 20, 2020</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November 16, 2020</w:t>
            </w:r>
          </w:p>
        </w:tc>
        <w:tc>
          <w:tcPr>
            <w:tcW w:w="5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November 17, 2020</w:t>
            </w:r>
          </w:p>
        </w:tc>
        <w:tc>
          <w:tcPr>
            <w:tcW w:w="2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November 18, 2020</w:t>
            </w:r>
          </w:p>
        </w:tc>
        <w:tc>
          <w:tcPr>
            <w:tcW w:w="2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December 15, 2020</w:t>
            </w:r>
          </w:p>
        </w:tc>
        <w:tc>
          <w:tcPr>
            <w:tcW w:w="5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864"/>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40" w:type="dxa"/>
            <w:vAlign w:val="bottom"/>
            <w:gridSpan w:val="2"/>
          </w:tcPr>
          <w:p>
            <w:pPr>
              <w:jc w:val="right"/>
              <w:ind w:right="1750"/>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After paying distributions of $0.35 per share and earning net investment income of $0.40 per share for the quarter, the Company’s undistributed spillover income as of June 30, 2020 was $0.42 per share. Spillover income includes any ordinary income and net capital gains from the preceding tax years that were not distributed during such tax years.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Financial highlights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financial highlights for the Company:</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4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gridSpan w:val="6"/>
          </w:tcPr>
          <w:p>
            <w:pPr>
              <w:jc w:val="right"/>
              <w:ind w:right="784"/>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98"/>
              <w:spacing w:after="0" w:line="129"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top w:val="single" w:sz="8" w:color="auto"/>
              <w:bottom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w w:val="86"/>
              </w:rPr>
              <w:t>share</w:t>
            </w: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38"/>
              <w:spacing w:after="0" w:line="129"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4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60" w:type="dxa"/>
            <w:vAlign w:val="bottom"/>
            <w:gridSpan w:val="2"/>
          </w:tcPr>
          <w:p>
            <w:pPr>
              <w:jc w:val="right"/>
              <w:spacing w:after="0" w:line="115" w:lineRule="exact"/>
              <w:rPr>
                <w:sz w:val="20"/>
                <w:szCs w:val="20"/>
                <w:color w:val="auto"/>
              </w:rPr>
            </w:pPr>
            <w:r>
              <w:rPr>
                <w:rFonts w:ascii="Arial" w:cs="Arial" w:eastAsia="Arial" w:hAnsi="Arial"/>
                <w:sz w:val="13"/>
                <w:szCs w:val="13"/>
                <w:b w:val="1"/>
                <w:bCs w:val="1"/>
                <w:color w:val="auto"/>
                <w:w w:val="83"/>
              </w:rPr>
              <w:t>(In thousands, except</w:t>
            </w:r>
          </w:p>
        </w:tc>
        <w:tc>
          <w:tcPr>
            <w:tcW w:w="340" w:type="dxa"/>
            <w:vAlign w:val="bottom"/>
            <w:gridSpan w:val="2"/>
            <w:vMerge w:val="continue"/>
          </w:tcPr>
          <w:p>
            <w:pPr>
              <w:spacing w:after="0"/>
              <w:rPr>
                <w:sz w:val="10"/>
                <w:szCs w:val="10"/>
                <w:color w:val="auto"/>
              </w:rPr>
            </w:pPr>
          </w:p>
        </w:tc>
        <w:tc>
          <w:tcPr>
            <w:tcW w:w="106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w w:val="86"/>
              </w:rPr>
              <w:t>and per share data)</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Per share data:</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Net asset value at beginning of period</w:t>
            </w:r>
          </w:p>
        </w:tc>
        <w:tc>
          <w:tcPr>
            <w:tcW w:w="194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11.83</w:t>
            </w:r>
          </w:p>
        </w:tc>
        <w:tc>
          <w:tcPr>
            <w:tcW w:w="280" w:type="dxa"/>
            <w:vAlign w:val="bottom"/>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11.64</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investment income</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0.65</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0.65</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Realized gain (loss) on investments</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0.17</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(0.27)</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(depreciation) appreciation on investments</w:t>
            </w:r>
          </w:p>
        </w:tc>
        <w:tc>
          <w:tcPr>
            <w:tcW w:w="17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(0.39)</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0.22</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400" w:type="dxa"/>
            <w:vAlign w:val="bottom"/>
          </w:tcPr>
          <w:p>
            <w:pPr>
              <w:spacing w:after="0" w:line="129" w:lineRule="exact"/>
              <w:rPr>
                <w:sz w:val="20"/>
                <w:szCs w:val="20"/>
                <w:color w:val="auto"/>
              </w:rPr>
            </w:pPr>
            <w:r>
              <w:rPr>
                <w:rFonts w:ascii="Arial" w:cs="Arial" w:eastAsia="Arial" w:hAnsi="Arial"/>
                <w:sz w:val="13"/>
                <w:szCs w:val="13"/>
                <w:color w:val="auto"/>
              </w:rPr>
              <w:t>Net increase in net assets resulting from operations</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0.43</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0.60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5"/>
                <w:szCs w:val="15"/>
                <w:color w:val="auto"/>
                <w:vertAlign w:val="superscript"/>
              </w:rPr>
              <w:t>(1)</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(0.65)</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(0.60)</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ind w:left="100"/>
              <w:spacing w:after="0" w:line="135" w:lineRule="exact"/>
              <w:rPr>
                <w:sz w:val="20"/>
                <w:szCs w:val="20"/>
                <w:color w:val="auto"/>
              </w:rPr>
            </w:pPr>
            <w:r>
              <w:rPr>
                <w:rFonts w:ascii="Arial" w:cs="Arial" w:eastAsia="Arial" w:hAnsi="Arial"/>
                <w:sz w:val="13"/>
                <w:szCs w:val="13"/>
                <w:color w:val="auto"/>
              </w:rPr>
              <w:t>From net investment income</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(0.65)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(0.60)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From net realized gain on investments</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79"/>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4"/>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400" w:type="dxa"/>
            <w:vAlign w:val="bottom"/>
          </w:tcPr>
          <w:p>
            <w:pPr>
              <w:ind w:left="100"/>
              <w:spacing w:after="0" w:line="135" w:lineRule="exact"/>
              <w:rPr>
                <w:sz w:val="20"/>
                <w:szCs w:val="20"/>
                <w:color w:val="auto"/>
              </w:rPr>
            </w:pPr>
            <w:r>
              <w:rPr>
                <w:rFonts w:ascii="Arial" w:cs="Arial" w:eastAsia="Arial" w:hAnsi="Arial"/>
                <w:sz w:val="13"/>
                <w:szCs w:val="13"/>
                <w:color w:val="auto"/>
              </w:rPr>
              <w:t>Return of capital</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279"/>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44"/>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Other </w:t>
            </w:r>
            <w:r>
              <w:rPr>
                <w:rFonts w:ascii="Arial" w:cs="Arial" w:eastAsia="Arial" w:hAnsi="Arial"/>
                <w:sz w:val="15"/>
                <w:szCs w:val="15"/>
                <w:color w:val="auto"/>
                <w:vertAlign w:val="superscript"/>
              </w:rPr>
              <w:t>(2)</w:t>
            </w:r>
          </w:p>
        </w:tc>
        <w:tc>
          <w:tcPr>
            <w:tcW w:w="17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0.03</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(0.04)</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4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Net asset value at end of period</w:t>
            </w:r>
          </w:p>
        </w:tc>
        <w:tc>
          <w:tcPr>
            <w:tcW w:w="17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62"/>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11.64</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11.60</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4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Per share market value, beginning of period</w:t>
            </w:r>
          </w:p>
        </w:tc>
        <w:tc>
          <w:tcPr>
            <w:tcW w:w="17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62"/>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12.93</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11.25</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Per share market value, end of period</w:t>
            </w:r>
          </w:p>
        </w:tc>
        <w:tc>
          <w:tcPr>
            <w:tcW w:w="194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10.90</w:t>
            </w:r>
          </w:p>
        </w:tc>
        <w:tc>
          <w:tcPr>
            <w:tcW w:w="280" w:type="dxa"/>
            <w:vAlign w:val="bottom"/>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11.80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Total return based on a market value </w:t>
            </w:r>
            <w:r>
              <w:rPr>
                <w:rFonts w:ascii="Arial" w:cs="Arial" w:eastAsia="Arial" w:hAnsi="Arial"/>
                <w:sz w:val="15"/>
                <w:szCs w:val="15"/>
                <w:color w:val="auto"/>
                <w:vertAlign w:val="superscript"/>
              </w:rPr>
              <w:t>(3)</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39"/>
              <w:spacing w:after="0" w:line="135" w:lineRule="exact"/>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4"/>
              <w:spacing w:after="0" w:line="135" w:lineRule="exact"/>
              <w:rPr>
                <w:sz w:val="20"/>
                <w:szCs w:val="20"/>
                <w:color w:val="auto"/>
              </w:rPr>
            </w:pPr>
            <w:r>
              <w:rPr>
                <w:rFonts w:ascii="Arial" w:cs="Arial" w:eastAsia="Arial" w:hAnsi="Arial"/>
                <w:sz w:val="13"/>
                <w:szCs w:val="13"/>
                <w:color w:val="auto"/>
              </w:rPr>
              <w:t>10.2 %</w:t>
            </w: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Shares outstanding at end of period</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17,291,770</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13,542,873</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Ratios, net of waivers, to average net assets:</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Expenses without incentive fees</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19"/>
              <w:spacing w:after="0" w:line="135" w:lineRule="exact"/>
              <w:rPr>
                <w:sz w:val="20"/>
                <w:szCs w:val="20"/>
                <w:color w:val="auto"/>
              </w:rPr>
            </w:pPr>
            <w:r>
              <w:rPr>
                <w:rFonts w:ascii="Arial" w:cs="Arial" w:eastAsia="Arial" w:hAnsi="Arial"/>
                <w:sz w:val="11"/>
                <w:szCs w:val="11"/>
                <w:color w:val="auto"/>
              </w:rPr>
              <w:t>10.3 %</w:t>
            </w:r>
            <w:r>
              <w:rPr>
                <w:rFonts w:ascii="Arial" w:cs="Arial" w:eastAsia="Arial" w:hAnsi="Arial"/>
                <w:sz w:val="15"/>
                <w:szCs w:val="15"/>
                <w:color w:val="auto"/>
                <w:vertAlign w:val="superscript"/>
              </w:rPr>
              <w:t>(4)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Arial" w:cs="Arial" w:eastAsia="Arial" w:hAnsi="Arial"/>
                <w:sz w:val="11"/>
                <w:szCs w:val="11"/>
                <w:color w:val="auto"/>
              </w:rPr>
              <w:t>11.3 %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Incentive fees</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9"/>
              <w:spacing w:after="0" w:line="135" w:lineRule="exact"/>
              <w:rPr>
                <w:sz w:val="20"/>
                <w:szCs w:val="20"/>
                <w:color w:val="auto"/>
              </w:rPr>
            </w:pPr>
            <w:r>
              <w:rPr>
                <w:rFonts w:ascii="Arial" w:cs="Arial" w:eastAsia="Arial" w:hAnsi="Arial"/>
                <w:sz w:val="11"/>
                <w:szCs w:val="11"/>
                <w:color w:val="auto"/>
              </w:rPr>
              <w:t>2.8 %</w:t>
            </w:r>
            <w:r>
              <w:rPr>
                <w:rFonts w:ascii="Arial" w:cs="Arial" w:eastAsia="Arial" w:hAnsi="Arial"/>
                <w:sz w:val="15"/>
                <w:szCs w:val="15"/>
                <w:color w:val="auto"/>
                <w:vertAlign w:val="superscript"/>
              </w:rPr>
              <w:t>(4)</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1"/>
                <w:szCs w:val="11"/>
                <w:color w:val="auto"/>
              </w:rPr>
              <w:t>2.8 %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68"/>
        </w:trPr>
        <w:tc>
          <w:tcPr>
            <w:tcW w:w="44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Net expenses</w:t>
            </w:r>
          </w:p>
        </w:tc>
        <w:tc>
          <w:tcPr>
            <w:tcW w:w="17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13.1</w:t>
            </w:r>
          </w:p>
        </w:tc>
        <w:tc>
          <w:tcPr>
            <w:tcW w:w="280" w:type="dxa"/>
            <w:vAlign w:val="bottom"/>
            <w:tcBorders>
              <w:bottom w:val="single" w:sz="8" w:color="CCEEFF"/>
            </w:tcBorders>
          </w:tcPr>
          <w:p>
            <w:pPr>
              <w:jc w:val="right"/>
              <w:ind w:right="19"/>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14.1</w:t>
            </w:r>
          </w:p>
        </w:tc>
        <w:tc>
          <w:tcPr>
            <w:tcW w:w="2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15"/>
        </w:trPr>
        <w:tc>
          <w:tcPr>
            <w:tcW w:w="44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Net investment income with incentive fees</w:t>
            </w:r>
          </w:p>
        </w:tc>
        <w:tc>
          <w:tcPr>
            <w:tcW w:w="1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11.4</w:t>
            </w:r>
          </w:p>
        </w:tc>
        <w:tc>
          <w:tcPr>
            <w:tcW w:w="280" w:type="dxa"/>
            <w:vAlign w:val="bottom"/>
            <w:shd w:val="clear" w:color="auto" w:fill="CCEEFF"/>
          </w:tcPr>
          <w:p>
            <w:pPr>
              <w:jc w:val="right"/>
              <w:ind w:right="19"/>
              <w:spacing w:after="0" w:line="116" w:lineRule="exact"/>
              <w:rPr>
                <w:sz w:val="20"/>
                <w:szCs w:val="20"/>
                <w:color w:val="auto"/>
              </w:rPr>
            </w:pPr>
            <w:r>
              <w:rPr>
                <w:rFonts w:ascii="Arial" w:cs="Arial" w:eastAsia="Arial" w:hAnsi="Arial"/>
                <w:sz w:val="13"/>
                <w:szCs w:val="13"/>
                <w:color w:val="auto"/>
                <w:vertAlign w:val="subscript"/>
              </w:rPr>
              <w:t>%</w:t>
            </w:r>
            <w:r>
              <w:rPr>
                <w:rFonts w:ascii="Arial" w:cs="Arial" w:eastAsia="Arial" w:hAnsi="Arial"/>
                <w:sz w:val="7"/>
                <w:szCs w:val="7"/>
                <w:color w:val="auto"/>
              </w:rPr>
              <w:t>(4)</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11.0</w:t>
            </w:r>
          </w:p>
        </w:tc>
        <w:tc>
          <w:tcPr>
            <w:tcW w:w="2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vertAlign w:val="subscript"/>
              </w:rPr>
              <w:t>%</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b w:val="1"/>
                <w:bCs w:val="1"/>
                <w:color w:val="auto"/>
              </w:rPr>
              <w:t>Ratios, without waivers, to average net assets:</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Expenses without incentive fees</w:t>
            </w:r>
            <w:r>
              <w:rPr>
                <w:rFonts w:ascii="Arial" w:cs="Arial" w:eastAsia="Arial" w:hAnsi="Arial"/>
                <w:sz w:val="15"/>
                <w:szCs w:val="15"/>
                <w:color w:val="auto"/>
                <w:vertAlign w:val="superscript"/>
              </w:rPr>
              <w:t>(4)</w:t>
            </w:r>
          </w:p>
        </w:tc>
        <w:tc>
          <w:tcPr>
            <w:tcW w:w="17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9"/>
              <w:spacing w:after="0" w:line="135" w:lineRule="exact"/>
              <w:rPr>
                <w:sz w:val="20"/>
                <w:szCs w:val="20"/>
                <w:color w:val="auto"/>
              </w:rPr>
            </w:pPr>
            <w:r>
              <w:rPr>
                <w:rFonts w:ascii="Arial" w:cs="Arial" w:eastAsia="Arial" w:hAnsi="Arial"/>
                <w:sz w:val="11"/>
                <w:szCs w:val="11"/>
                <w:color w:val="auto"/>
              </w:rPr>
              <w:t>10.3 %</w:t>
            </w:r>
            <w:r>
              <w:rPr>
                <w:rFonts w:ascii="Arial" w:cs="Arial" w:eastAsia="Arial" w:hAnsi="Arial"/>
                <w:sz w:val="15"/>
                <w:szCs w:val="15"/>
                <w:color w:val="auto"/>
                <w:vertAlign w:val="superscript"/>
              </w:rPr>
              <w:t>(4)</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1"/>
                <w:szCs w:val="11"/>
                <w:color w:val="auto"/>
              </w:rPr>
              <w:t>11.3 %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1"/>
                <w:szCs w:val="11"/>
                <w:color w:val="auto"/>
              </w:rPr>
              <w:t>Incentive fees</w:t>
            </w:r>
            <w:r>
              <w:rPr>
                <w:rFonts w:ascii="Arial" w:cs="Arial" w:eastAsia="Arial" w:hAnsi="Arial"/>
                <w:sz w:val="15"/>
                <w:szCs w:val="15"/>
                <w:color w:val="auto"/>
                <w:vertAlign w:val="superscript"/>
              </w:rPr>
              <w:t>(4)</w:t>
            </w:r>
          </w:p>
        </w:tc>
        <w:tc>
          <w:tcPr>
            <w:tcW w:w="1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19"/>
              <w:spacing w:after="0" w:line="135" w:lineRule="exact"/>
              <w:rPr>
                <w:sz w:val="20"/>
                <w:szCs w:val="20"/>
                <w:color w:val="auto"/>
              </w:rPr>
            </w:pPr>
            <w:r>
              <w:rPr>
                <w:rFonts w:ascii="Arial" w:cs="Arial" w:eastAsia="Arial" w:hAnsi="Arial"/>
                <w:sz w:val="11"/>
                <w:szCs w:val="11"/>
                <w:color w:val="auto"/>
              </w:rPr>
              <w:t>2.8 %</w:t>
            </w:r>
            <w:r>
              <w:rPr>
                <w:rFonts w:ascii="Arial" w:cs="Arial" w:eastAsia="Arial" w:hAnsi="Arial"/>
                <w:sz w:val="15"/>
                <w:szCs w:val="15"/>
                <w:color w:val="auto"/>
                <w:vertAlign w:val="superscript"/>
              </w:rPr>
              <w:t>(4)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Arial" w:cs="Arial" w:eastAsia="Arial" w:hAnsi="Arial"/>
                <w:sz w:val="11"/>
                <w:szCs w:val="11"/>
                <w:color w:val="auto"/>
              </w:rPr>
              <w:t>5.2 %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29"/>
        </w:trPr>
        <w:tc>
          <w:tcPr>
            <w:tcW w:w="44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0"/>
                <w:szCs w:val="10"/>
                <w:color w:val="auto"/>
              </w:rPr>
              <w:t>Net expenses</w:t>
            </w:r>
            <w:r>
              <w:rPr>
                <w:rFonts w:ascii="Arial" w:cs="Arial" w:eastAsia="Arial" w:hAnsi="Arial"/>
                <w:sz w:val="14"/>
                <w:szCs w:val="14"/>
                <w:color w:val="auto"/>
                <w:vertAlign w:val="superscript"/>
              </w:rPr>
              <w:t>(4)</w:t>
            </w:r>
          </w:p>
        </w:tc>
        <w:tc>
          <w:tcPr>
            <w:tcW w:w="17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13.1</w:t>
            </w:r>
          </w:p>
        </w:tc>
        <w:tc>
          <w:tcPr>
            <w:tcW w:w="280" w:type="dxa"/>
            <w:vAlign w:val="bottom"/>
            <w:tcBorders>
              <w:top w:val="single" w:sz="8" w:color="CCEEFF"/>
              <w:bottom w:val="single" w:sz="8" w:color="CCEEFF"/>
            </w:tcBorders>
            <w:shd w:val="clear" w:color="auto" w:fill="CCEEFF"/>
          </w:tcPr>
          <w:p>
            <w:pPr>
              <w:jc w:val="right"/>
              <w:ind w:right="19"/>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16.5</w:t>
            </w:r>
          </w:p>
        </w:tc>
        <w:tc>
          <w:tcPr>
            <w:tcW w:w="24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line="156" w:lineRule="exact"/>
              <w:rPr>
                <w:sz w:val="20"/>
                <w:szCs w:val="20"/>
                <w:color w:val="auto"/>
              </w:rPr>
            </w:pPr>
            <w:r>
              <w:rPr>
                <w:rFonts w:ascii="Arial" w:cs="Arial" w:eastAsia="Arial" w:hAnsi="Arial"/>
                <w:sz w:val="13"/>
                <w:szCs w:val="13"/>
                <w:color w:val="auto"/>
              </w:rPr>
              <w:t>Net investment income with incentive fees</w:t>
            </w:r>
            <w:r>
              <w:rPr>
                <w:rFonts w:ascii="Arial" w:cs="Arial" w:eastAsia="Arial" w:hAnsi="Arial"/>
                <w:sz w:val="18"/>
                <w:szCs w:val="18"/>
                <w:color w:val="auto"/>
                <w:vertAlign w:val="superscript"/>
              </w:rPr>
              <w:t>(4)</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19"/>
              <w:spacing w:after="0" w:line="156" w:lineRule="exact"/>
              <w:rPr>
                <w:sz w:val="20"/>
                <w:szCs w:val="20"/>
                <w:color w:val="auto"/>
              </w:rPr>
            </w:pPr>
            <w:r>
              <w:rPr>
                <w:rFonts w:ascii="Arial" w:cs="Arial" w:eastAsia="Arial" w:hAnsi="Arial"/>
                <w:sz w:val="18"/>
                <w:szCs w:val="18"/>
                <w:color w:val="auto"/>
                <w:w w:val="97"/>
                <w:vertAlign w:val="subscript"/>
              </w:rPr>
              <w:t>%</w:t>
            </w:r>
            <w:r>
              <w:rPr>
                <w:rFonts w:ascii="Arial" w:cs="Arial" w:eastAsia="Arial" w:hAnsi="Arial"/>
                <w:sz w:val="8"/>
                <w:szCs w:val="8"/>
                <w:color w:val="auto"/>
                <w:w w:val="97"/>
              </w:rPr>
              <w:t>(4)</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line="156" w:lineRule="exact"/>
              <w:rPr>
                <w:sz w:val="20"/>
                <w:szCs w:val="20"/>
                <w:color w:val="auto"/>
              </w:rPr>
            </w:pPr>
            <w:r>
              <w:rPr>
                <w:rFonts w:ascii="Arial" w:cs="Arial" w:eastAsia="Arial" w:hAnsi="Arial"/>
                <w:sz w:val="18"/>
                <w:szCs w:val="18"/>
                <w:color w:val="auto"/>
                <w:w w:val="97"/>
                <w:vertAlign w:val="subscript"/>
              </w:rPr>
              <w:t>%</w:t>
            </w:r>
            <w:r>
              <w:rPr>
                <w:rFonts w:ascii="Arial" w:cs="Arial" w:eastAsia="Arial" w:hAnsi="Arial"/>
                <w:sz w:val="8"/>
                <w:szCs w:val="8"/>
                <w:color w:val="auto"/>
                <w:w w:val="97"/>
              </w:rPr>
              <w:t>(4)</w:t>
            </w:r>
          </w:p>
        </w:tc>
        <w:tc>
          <w:tcPr>
            <w:tcW w:w="0" w:type="dxa"/>
            <w:vAlign w:val="bottom"/>
          </w:tcPr>
          <w:p>
            <w:pPr>
              <w:spacing w:after="0" w:line="20" w:lineRule="exact"/>
              <w:rPr>
                <w:sz w:val="1"/>
                <w:szCs w:val="1"/>
                <w:color w:val="auto"/>
              </w:rPr>
            </w:pPr>
          </w:p>
        </w:tc>
      </w:tr>
      <w:tr>
        <w:trPr>
          <w:trHeight w:val="115"/>
        </w:trPr>
        <w:tc>
          <w:tcPr>
            <w:tcW w:w="440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spacing w:after="0" w:line="116" w:lineRule="exact"/>
              <w:rPr>
                <w:sz w:val="20"/>
                <w:szCs w:val="20"/>
                <w:color w:val="auto"/>
              </w:rPr>
            </w:pPr>
            <w:r>
              <w:rPr>
                <w:rFonts w:ascii="Arial" w:cs="Arial" w:eastAsia="Arial" w:hAnsi="Arial"/>
                <w:sz w:val="13"/>
                <w:szCs w:val="13"/>
                <w:color w:val="auto"/>
              </w:rPr>
              <w:t>11.4</w:t>
            </w: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3"/>
                <w:szCs w:val="13"/>
                <w:color w:val="auto"/>
              </w:rPr>
              <w:t>8.6</w:t>
            </w: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assets at the end of the period</w:t>
            </w:r>
          </w:p>
        </w:tc>
        <w:tc>
          <w:tcPr>
            <w:tcW w:w="1940" w:type="dxa"/>
            <w:vAlign w:val="bottom"/>
            <w:gridSpan w:val="2"/>
            <w:shd w:val="clear" w:color="auto" w:fill="CCEEFF"/>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201,232</w:t>
            </w: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157,136</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line="135" w:lineRule="exact"/>
              <w:rPr>
                <w:sz w:val="20"/>
                <w:szCs w:val="20"/>
                <w:color w:val="auto"/>
              </w:rPr>
            </w:pPr>
            <w:r>
              <w:rPr>
                <w:rFonts w:ascii="Arial" w:cs="Arial" w:eastAsia="Arial" w:hAnsi="Arial"/>
                <w:sz w:val="13"/>
                <w:szCs w:val="13"/>
                <w:color w:val="auto"/>
              </w:rPr>
              <w:t>Average net asset value</w:t>
            </w:r>
          </w:p>
        </w:tc>
        <w:tc>
          <w:tcPr>
            <w:tcW w:w="194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192,914</w:t>
            </w:r>
          </w:p>
        </w:tc>
        <w:tc>
          <w:tcPr>
            <w:tcW w:w="280" w:type="dxa"/>
            <w:vAlign w:val="bottom"/>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149,272</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Average debt per share</w:t>
            </w:r>
          </w:p>
        </w:tc>
        <w:tc>
          <w:tcPr>
            <w:tcW w:w="1940" w:type="dxa"/>
            <w:vAlign w:val="bottom"/>
            <w:gridSpan w:val="2"/>
            <w:shd w:val="clear" w:color="auto" w:fill="CCEEFF"/>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10.04</w:t>
            </w: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10.06</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400" w:type="dxa"/>
            <w:vAlign w:val="bottom"/>
          </w:tcPr>
          <w:p>
            <w:pPr>
              <w:spacing w:after="0"/>
              <w:rPr>
                <w:sz w:val="20"/>
                <w:szCs w:val="20"/>
                <w:color w:val="auto"/>
              </w:rPr>
            </w:pPr>
            <w:r>
              <w:rPr>
                <w:rFonts w:ascii="Arial" w:cs="Arial" w:eastAsia="Arial" w:hAnsi="Arial"/>
                <w:sz w:val="13"/>
                <w:szCs w:val="13"/>
                <w:color w:val="auto"/>
              </w:rPr>
              <w:t>Portfolio turnover ratio</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9"/>
              <w:spacing w:after="0"/>
              <w:rPr>
                <w:sz w:val="20"/>
                <w:szCs w:val="20"/>
                <w:color w:val="auto"/>
              </w:rPr>
            </w:pPr>
            <w:r>
              <w:rPr>
                <w:rFonts w:ascii="Arial" w:cs="Arial" w:eastAsia="Arial" w:hAnsi="Arial"/>
                <w:sz w:val="13"/>
                <w:szCs w:val="13"/>
                <w:color w:val="auto"/>
              </w:rPr>
              <w:t>16.2 %</w:t>
            </w:r>
            <w:r>
              <w:rPr>
                <w:rFonts w:ascii="Arial" w:cs="Arial" w:eastAsia="Arial" w:hAnsi="Arial"/>
                <w:sz w:val="18"/>
                <w:szCs w:val="18"/>
                <w:color w:val="auto"/>
                <w:vertAlign w:val="superscript"/>
              </w:rPr>
              <w:t>(6)</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36.2 %</w:t>
            </w:r>
            <w:r>
              <w:rPr>
                <w:rFonts w:ascii="Arial" w:cs="Arial" w:eastAsia="Arial" w:hAnsi="Arial"/>
                <w:sz w:val="18"/>
                <w:szCs w:val="18"/>
                <w:color w:val="auto"/>
                <w:vertAlign w:val="superscript"/>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141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84" w:lineRule="exact"/>
        <w:rPr>
          <w:sz w:val="20"/>
          <w:szCs w:val="20"/>
          <w:color w:val="auto"/>
        </w:rPr>
      </w:pPr>
    </w:p>
    <w:p>
      <w:pPr>
        <w:jc w:val="both"/>
        <w:ind w:left="380" w:right="79" w:hanging="330"/>
        <w:spacing w:after="0" w:line="255"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192"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per share data based on the weighted average basic shares outstanding during the period and certain per share data based on the shares outstanding as of a period end or transaction date.</w:t>
      </w:r>
    </w:p>
    <w:p>
      <w:pPr>
        <w:spacing w:after="0" w:line="183"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six months ended June 30, 2019, the Advisor waived $1.8 million of performance based incentive fee.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by dividing the lesser of purchases or the sum of (1) principal prepayments and (2) maturities by the monthly average debt investment balance.</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Calculated by dividing net debt investment purchases by the monthly average debt investment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the global spread of COVID-19 continues, we experienced increased market volatility and economic uncertainty that may have materially affected the valuation of portfolio investments, and may continue to; such changes to the valuation of portfolio investments accordingly affect our net asset value. We are continuing to assess what additional adverse financial and operational consequences may result from the global spread of COVID-19 and the associated economic turbulence, however, the extent of such consequences remains uncertain as of the filing of this Form 10-Q</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61" w:lineRule="exact"/>
        <w:rPr>
          <w:sz w:val="20"/>
          <w:szCs w:val="20"/>
          <w:color w:val="auto"/>
        </w:rPr>
      </w:pPr>
    </w:p>
    <w:p>
      <w:pPr>
        <w:ind w:left="700" w:right="7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warrants and other investments;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and political trends and other external factors, including the current COVID-19 pandemic;</w:t>
      </w:r>
    </w:p>
    <w:p>
      <w:pPr>
        <w:spacing w:after="0" w:line="236"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investment advisor, Horizon Technology Finance Management LLC, or the Advisor;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extent and timing of technological changes and the adequacy of intellectual property protection;</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qualify and maintain qualification as a regulated investment company, or RIC, and as a business development company, or BDC;</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impact of the Small Business Credit Availability Act, or SBCAA, on our operations and the BDC industry;</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fund unfunded commitments, including unfunded commitments.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2019, and elsewhere in this quarterly report on Form 10-Q.</w:t>
      </w:r>
    </w:p>
    <w:p>
      <w:pPr>
        <w:spacing w:after="0" w:line="18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are a specialty finance company that lends to and invests in development-stage companies in the technology, life science, healthcare information and services and sustainability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and private equity backed companies and publicly traded companies in our Target Industries, which we refer to as “Venture Lending.” Our debt investments are typically secured by first liens or first liens behind a secured revolving line of credit, or Senior Term Loans. As of June 30, 2020, 100%, or $342.7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as amended, or the Code. As a BDC, we are required to comply with regulatory requirements, including limitations on our use of debt. We are permitted to, and expect to, finance our investments through borrowings. Section 61(a) of the 1940 Act to add Section 61(a)(2) enables BDCs to reduce their asset coverage requirements from 200% to 150%. This provision permits a BDC to double the maximum amount of leverage that it is permitted to incur.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7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8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investment activities, and our day-to-day operations, are managed by our Advisor and supervised by our board of directors, or the Board, of which a majority of the members are independent of us. Under an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our portfolio by type of investment as of June 30, 2020 and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8"/>
              </w:rPr>
              <w:t>June 30, 2020</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80" w:type="dxa"/>
            <w:vAlign w:val="bottom"/>
            <w:gridSpan w:val="5"/>
          </w:tcPr>
          <w:p>
            <w:pPr>
              <w:jc w:val="right"/>
              <w:ind w:right="930"/>
              <w:spacing w:after="0"/>
              <w:rPr>
                <w:sz w:val="20"/>
                <w:szCs w:val="20"/>
                <w:color w:val="auto"/>
              </w:rPr>
            </w:pPr>
            <w:r>
              <w:rPr>
                <w:rFonts w:ascii="Arial" w:cs="Arial" w:eastAsia="Arial" w:hAnsi="Arial"/>
                <w:sz w:val="14"/>
                <w:szCs w:val="14"/>
                <w:b w:val="1"/>
                <w:bCs w:val="1"/>
                <w:color w:val="auto"/>
                <w:w w:val="90"/>
              </w:rPr>
              <w:t>December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4"/>
                <w:szCs w:val="14"/>
                <w:b w:val="1"/>
                <w:bCs w:val="1"/>
                <w:color w:val="auto"/>
              </w:rPr>
              <w:t>Fair</w:t>
            </w: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9"/>
              </w:rPr>
              <w:t>Number of</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0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780" w:type="dxa"/>
            <w:vAlign w:val="bottom"/>
          </w:tcPr>
          <w:p>
            <w:pPr>
              <w:jc w:val="right"/>
              <w:ind w:right="161"/>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Portfolio</w:t>
            </w:r>
          </w:p>
        </w:tc>
        <w:tc>
          <w:tcPr>
            <w:tcW w:w="18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(Dollars in</w:t>
            </w:r>
          </w:p>
        </w:tc>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w w:val="98"/>
              </w:rPr>
              <w:t>thousands)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360" w:type="dxa"/>
            <w:vAlign w:val="bottom"/>
            <w:gridSpan w:val="2"/>
            <w:shd w:val="clear" w:color="auto" w:fill="CCEEFF"/>
          </w:tcPr>
          <w:p>
            <w:pPr>
              <w:jc w:val="center"/>
              <w:ind w:left="570"/>
              <w:spacing w:after="0"/>
              <w:rPr>
                <w:sz w:val="20"/>
                <w:szCs w:val="20"/>
                <w:color w:val="auto"/>
              </w:rPr>
            </w:pPr>
            <w:r>
              <w:rPr>
                <w:rFonts w:ascii="Arial" w:cs="Arial" w:eastAsia="Arial" w:hAnsi="Arial"/>
                <w:sz w:val="18"/>
                <w:szCs w:val="18"/>
                <w:color w:val="auto"/>
                <w:w w:val="89"/>
              </w:rPr>
              <w:t>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$ 342,722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96.3 %</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$ 288,355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Warrants</w:t>
            </w:r>
          </w:p>
        </w:tc>
        <w:tc>
          <w:tcPr>
            <w:tcW w:w="1360" w:type="dxa"/>
            <w:vAlign w:val="bottom"/>
            <w:gridSpan w:val="2"/>
          </w:tcPr>
          <w:p>
            <w:pPr>
              <w:jc w:val="center"/>
              <w:ind w:left="570"/>
              <w:spacing w:after="0"/>
              <w:rPr>
                <w:sz w:val="20"/>
                <w:szCs w:val="20"/>
                <w:color w:val="auto"/>
              </w:rPr>
            </w:pPr>
            <w:r>
              <w:rPr>
                <w:rFonts w:ascii="Arial" w:cs="Arial" w:eastAsia="Arial" w:hAnsi="Arial"/>
                <w:sz w:val="18"/>
                <w:szCs w:val="18"/>
                <w:color w:val="auto"/>
                <w:w w:val="89"/>
              </w:rPr>
              <w:t>64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10,508</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89"/>
              </w:rPr>
              <w:t>66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360" w:type="dxa"/>
            <w:vAlign w:val="bottom"/>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79"/>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Equity</w:t>
            </w:r>
          </w:p>
        </w:tc>
        <w:tc>
          <w:tcPr>
            <w:tcW w:w="1360" w:type="dxa"/>
            <w:vAlign w:val="bottom"/>
            <w:gridSpan w:val="2"/>
          </w:tcPr>
          <w:p>
            <w:pPr>
              <w:jc w:val="center"/>
              <w:ind w:left="550"/>
              <w:spacing w:after="0"/>
              <w:rPr>
                <w:sz w:val="20"/>
                <w:szCs w:val="20"/>
                <w:color w:val="auto"/>
              </w:rPr>
            </w:pPr>
            <w:r>
              <w:rPr>
                <w:rFonts w:ascii="Arial" w:cs="Arial" w:eastAsia="Arial" w:hAnsi="Arial"/>
                <w:sz w:val="18"/>
                <w:szCs w:val="18"/>
                <w:color w:val="auto"/>
                <w:w w:val="79"/>
              </w:rPr>
              <w:t>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2,150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auto"/>
                <w:w w:val="99"/>
              </w:rPr>
              <w:t>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 in HSLFI</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$ 355,880</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$ 319,551</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2"/>
          </w:tcPr>
          <w:p>
            <w:pPr>
              <w:jc w:val="right"/>
              <w:ind w:right="101"/>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060" w:type="dxa"/>
            <w:vAlign w:val="bottom"/>
            <w:gridSpan w:val="3"/>
          </w:tcPr>
          <w:p>
            <w:pPr>
              <w:ind w:left="320"/>
              <w:spacing w:after="0"/>
              <w:rPr>
                <w:sz w:val="20"/>
                <w:szCs w:val="20"/>
                <w:color w:val="auto"/>
              </w:rPr>
            </w:pPr>
            <w:r>
              <w:rPr>
                <w:rFonts w:ascii="Arial" w:cs="Arial" w:eastAsia="Arial" w:hAnsi="Arial"/>
                <w:sz w:val="18"/>
                <w:szCs w:val="18"/>
                <w:color w:val="auto"/>
              </w:rPr>
              <w:t>The following table shows total portfolio investment activity as of and</w:t>
            </w:r>
          </w:p>
        </w:tc>
        <w:tc>
          <w:tcPr>
            <w:tcW w:w="1040" w:type="dxa"/>
            <w:vAlign w:val="bottom"/>
            <w:gridSpan w:val="3"/>
          </w:tcPr>
          <w:p>
            <w:pPr>
              <w:spacing w:after="0"/>
              <w:rPr>
                <w:sz w:val="20"/>
                <w:szCs w:val="20"/>
                <w:color w:val="auto"/>
              </w:rPr>
            </w:pPr>
            <w:r>
              <w:rPr>
                <w:rFonts w:ascii="Arial" w:cs="Arial" w:eastAsia="Arial" w:hAnsi="Arial"/>
                <w:sz w:val="18"/>
                <w:szCs w:val="18"/>
                <w:color w:val="auto"/>
              </w:rPr>
              <w:t>for the three</w:t>
            </w:r>
          </w:p>
        </w:tc>
        <w:tc>
          <w:tcPr>
            <w:tcW w:w="1800" w:type="dxa"/>
            <w:vAlign w:val="bottom"/>
            <w:gridSpan w:val="5"/>
          </w:tcPr>
          <w:p>
            <w:pPr>
              <w:jc w:val="center"/>
              <w:spacing w:after="0"/>
              <w:rPr>
                <w:sz w:val="20"/>
                <w:szCs w:val="20"/>
                <w:color w:val="auto"/>
              </w:rPr>
            </w:pPr>
            <w:r>
              <w:rPr>
                <w:rFonts w:ascii="Arial" w:cs="Arial" w:eastAsia="Arial" w:hAnsi="Arial"/>
                <w:sz w:val="18"/>
                <w:szCs w:val="18"/>
                <w:color w:val="auto"/>
                <w:w w:val="97"/>
              </w:rPr>
              <w:t>and six months ended</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June 30, 2020 and 2019:</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55"/>
        </w:trPr>
        <w:tc>
          <w:tcPr>
            <w:tcW w:w="4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For the three months ended</w:t>
            </w:r>
          </w:p>
        </w:tc>
        <w:tc>
          <w:tcPr>
            <w:tcW w:w="60" w:type="dxa"/>
            <w:vAlign w:val="bottom"/>
          </w:tcPr>
          <w:p>
            <w:pPr>
              <w:spacing w:after="0"/>
              <w:rPr>
                <w:sz w:val="24"/>
                <w:szCs w:val="2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For the six months ended</w:t>
            </w:r>
          </w:p>
        </w:tc>
      </w:tr>
      <w:tr>
        <w:trPr>
          <w:trHeight w:val="171"/>
        </w:trPr>
        <w:tc>
          <w:tcPr>
            <w:tcW w:w="4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4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r>
      <w:tr>
        <w:trPr>
          <w:trHeight w:val="128"/>
        </w:trPr>
        <w:tc>
          <w:tcPr>
            <w:tcW w:w="4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357"/>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$ 334,506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$ 266,152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$ 319,551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$ 248,441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New debt investments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54,908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55,055</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105,554</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93,137</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Less refinanced debt investments</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0"/>
        </w:trPr>
        <w:tc>
          <w:tcPr>
            <w:tcW w:w="4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new debt investments</w:t>
            </w:r>
          </w:p>
        </w:tc>
        <w:tc>
          <w:tcPr>
            <w:tcW w:w="5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54,908</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45,055</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105,554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83,137</w:t>
            </w:r>
          </w:p>
        </w:tc>
      </w:tr>
      <w:tr>
        <w:trPr>
          <w:trHeight w:val="20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received on investments</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Early pay-offs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(30,296)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(31,458)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(47,243)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(45,548)</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Accretion of debt investment fees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1,748</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New debt investment fees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(1,213)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Warrants received in settlement of fee income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(6,256)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(1,905)</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 from controlled affiliate investment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Distributions from controlled affiliate investment</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gain on investments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(6,539)</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2,765</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Ending portfolio</w:t>
            </w:r>
          </w:p>
        </w:tc>
        <w:tc>
          <w:tcPr>
            <w:tcW w:w="5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$ 355,880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$ 274,759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$ 355,880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$ 274,759</w:t>
            </w:r>
          </w:p>
        </w:tc>
      </w:tr>
      <w:tr>
        <w:trPr>
          <w:trHeight w:val="20"/>
        </w:trPr>
        <w:tc>
          <w:tcPr>
            <w:tcW w:w="4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our debt investments by industry sector as of June 30, 2020 and December 31, 2019:</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December 31, 2019</w:t>
            </w:r>
          </w:p>
        </w:tc>
      </w:tr>
      <w:tr>
        <w:trPr>
          <w:trHeight w:val="119"/>
        </w:trPr>
        <w:tc>
          <w:tcPr>
            <w:tcW w:w="36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Debt</w:t>
            </w:r>
          </w:p>
        </w:tc>
        <w:tc>
          <w:tcPr>
            <w:tcW w:w="8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200"/>
              <w:spacing w:after="0" w:line="119" w:lineRule="exact"/>
              <w:rPr>
                <w:sz w:val="20"/>
                <w:szCs w:val="20"/>
                <w:color w:val="auto"/>
              </w:rPr>
            </w:pPr>
            <w:r>
              <w:rPr>
                <w:rFonts w:ascii="Arial" w:cs="Arial" w:eastAsia="Arial" w:hAnsi="Arial"/>
                <w:sz w:val="13"/>
                <w:szCs w:val="13"/>
                <w:b w:val="1"/>
                <w:bCs w:val="1"/>
                <w:color w:val="auto"/>
              </w:rPr>
              <w:t>Debt</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3"/>
              </w:rPr>
              <w:t>Percentage of</w:t>
            </w:r>
          </w:p>
        </w:tc>
        <w:tc>
          <w:tcPr>
            <w:tcW w:w="180" w:type="dxa"/>
            <w:vAlign w:val="bottom"/>
          </w:tcPr>
          <w:p>
            <w:pPr>
              <w:spacing w:after="0"/>
              <w:rPr>
                <w:sz w:val="10"/>
                <w:szCs w:val="10"/>
                <w:color w:val="auto"/>
              </w:rPr>
            </w:pPr>
          </w:p>
        </w:tc>
      </w:tr>
      <w:tr>
        <w:trPr>
          <w:trHeight w:val="148"/>
        </w:trPr>
        <w:tc>
          <w:tcPr>
            <w:tcW w:w="3660" w:type="dxa"/>
            <w:vAlign w:val="bottom"/>
          </w:tcPr>
          <w:p>
            <w:pPr>
              <w:spacing w:after="0"/>
              <w:rPr>
                <w:sz w:val="12"/>
                <w:szCs w:val="12"/>
                <w:color w:val="auto"/>
              </w:rPr>
            </w:pPr>
          </w:p>
        </w:tc>
        <w:tc>
          <w:tcPr>
            <w:tcW w:w="2060" w:type="dxa"/>
            <w:vAlign w:val="bottom"/>
            <w:gridSpan w:val="4"/>
          </w:tcPr>
          <w:p>
            <w:pPr>
              <w:jc w:val="center"/>
              <w:ind w:left="759"/>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8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Investments at</w:t>
            </w:r>
          </w:p>
        </w:tc>
        <w:tc>
          <w:tcPr>
            <w:tcW w:w="1020" w:type="dxa"/>
            <w:vAlign w:val="bottom"/>
            <w:gridSpan w:val="2"/>
          </w:tcPr>
          <w:p>
            <w:pPr>
              <w:jc w:val="right"/>
              <w:ind w:right="350"/>
              <w:spacing w:after="0" w:line="149" w:lineRule="exact"/>
              <w:rPr>
                <w:sz w:val="20"/>
                <w:szCs w:val="20"/>
                <w:color w:val="auto"/>
              </w:rPr>
            </w:pPr>
            <w:r>
              <w:rPr>
                <w:rFonts w:ascii="Arial" w:cs="Arial" w:eastAsia="Arial" w:hAnsi="Arial"/>
                <w:sz w:val="14"/>
                <w:szCs w:val="14"/>
                <w:b w:val="1"/>
                <w:bCs w:val="1"/>
                <w:color w:val="auto"/>
              </w:rPr>
              <w:t>Total</w:t>
            </w:r>
          </w:p>
        </w:tc>
      </w:tr>
      <w:tr>
        <w:trPr>
          <w:trHeight w:val="171"/>
        </w:trPr>
        <w:tc>
          <w:tcPr>
            <w:tcW w:w="3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Portfolio</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Portfolio</w:t>
            </w:r>
          </w:p>
        </w:tc>
        <w:tc>
          <w:tcPr>
            <w:tcW w:w="180" w:type="dxa"/>
            <w:vAlign w:val="bottom"/>
          </w:tcPr>
          <w:p>
            <w:pPr>
              <w:spacing w:after="0"/>
              <w:rPr>
                <w:sz w:val="14"/>
                <w:szCs w:val="14"/>
                <w:color w:val="auto"/>
              </w:rPr>
            </w:pPr>
          </w:p>
        </w:tc>
      </w:tr>
      <w:tr>
        <w:trPr>
          <w:trHeight w:val="128"/>
        </w:trPr>
        <w:tc>
          <w:tcPr>
            <w:tcW w:w="3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ind w:left="300"/>
              <w:spacing w:after="0" w:line="129" w:lineRule="exact"/>
              <w:rPr>
                <w:sz w:val="20"/>
                <w:szCs w:val="20"/>
                <w:color w:val="auto"/>
              </w:rPr>
            </w:pPr>
            <w:r>
              <w:rPr>
                <w:rFonts w:ascii="Arial" w:cs="Arial" w:eastAsia="Arial" w:hAnsi="Arial"/>
                <w:sz w:val="14"/>
                <w:szCs w:val="14"/>
                <w:b w:val="1"/>
                <w:bCs w:val="1"/>
                <w:color w:val="auto"/>
              </w:rPr>
              <w:t>(Dollars in</w:t>
            </w:r>
          </w:p>
        </w:tc>
        <w:tc>
          <w:tcPr>
            <w:tcW w:w="9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Biotechnology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84,695</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24.7 % $</w:t>
            </w:r>
          </w:p>
        </w:tc>
        <w:tc>
          <w:tcPr>
            <w:tcW w:w="800" w:type="dxa"/>
            <w:vAlign w:val="bottom"/>
          </w:tcPr>
          <w:p>
            <w:pPr>
              <w:jc w:val="right"/>
              <w:spacing w:after="0"/>
              <w:rPr>
                <w:sz w:val="20"/>
                <w:szCs w:val="20"/>
                <w:color w:val="auto"/>
              </w:rPr>
            </w:pPr>
            <w:r>
              <w:rPr>
                <w:rFonts w:ascii="Arial" w:cs="Arial" w:eastAsia="Arial" w:hAnsi="Arial"/>
                <w:sz w:val="18"/>
                <w:szCs w:val="18"/>
                <w:color w:val="auto"/>
              </w:rPr>
              <w:t>41,789</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14.5 %</w:t>
            </w: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Drug Delivery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Medical Device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91,710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59,477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Consumer-Related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Data Storage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24,540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24,452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Internet and Media</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Materials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 Management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Software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51,069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Other Healthcare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14,780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9,771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r>
      <w:tr>
        <w:trPr>
          <w:trHeight w:val="216"/>
        </w:trPr>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342,722</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9"/>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288,355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largest debt investments in our portfolio may vary from period to period as new debt investments are originated and existing debt investments are repaid. Our five largest debt investments represented 25% and 28% of total debt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investments outstanding as of June 30, 2020 and December 31, 2019, respectively. No single debt investment represented more than 10% of our total debt investments as of June 30, 2020 and December 31,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June 30, 2020 and December 31, 2019, our debt investments had a weighted average credit rating of 2.9 and 3.1, respectively. The following table shows the classification of our debt investment portfolio by credit rating as of June 30, 2020 and December 31, 2019:</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June 30, 2020</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Debt</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Debt</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100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of Debt</w:t>
            </w: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9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1"/>
              </w:rPr>
              <w:t>of Debt</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Investments</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0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Investments</w:t>
            </w:r>
          </w:p>
        </w:tc>
        <w:tc>
          <w:tcPr>
            <w:tcW w:w="760" w:type="dxa"/>
            <w:vAlign w:val="bottom"/>
          </w:tcPr>
          <w:p>
            <w:pPr>
              <w:spacing w:after="0" w:line="149" w:lineRule="exact"/>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Fair Value</w:t>
            </w:r>
          </w:p>
        </w:tc>
        <w:tc>
          <w:tcPr>
            <w:tcW w:w="9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23"/>
        </w:trPr>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4"/>
                <w:szCs w:val="14"/>
                <w:b w:val="1"/>
                <w:bCs w:val="1"/>
                <w:color w:val="auto"/>
              </w:rPr>
              <w:t>in</w:t>
            </w: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240" w:type="dxa"/>
            <w:vAlign w:val="bottom"/>
            <w:vMerge w:val="continue"/>
          </w:tcPr>
          <w:p>
            <w:pPr>
              <w:spacing w:after="0"/>
              <w:rPr>
                <w:sz w:val="11"/>
                <w:szCs w:val="11"/>
                <w:color w:val="auto"/>
              </w:rPr>
            </w:pPr>
          </w:p>
        </w:tc>
        <w:tc>
          <w:tcPr>
            <w:tcW w:w="760" w:type="dxa"/>
            <w:vAlign w:val="bottom"/>
          </w:tcPr>
          <w:p>
            <w:pPr>
              <w:spacing w:after="0" w:line="129" w:lineRule="exact"/>
              <w:rPr>
                <w:sz w:val="20"/>
                <w:szCs w:val="20"/>
                <w:color w:val="auto"/>
              </w:rPr>
            </w:pPr>
            <w:r>
              <w:rPr>
                <w:rFonts w:ascii="Arial" w:cs="Arial" w:eastAsia="Arial" w:hAnsi="Arial"/>
                <w:sz w:val="14"/>
                <w:szCs w:val="14"/>
                <w:b w:val="1"/>
                <w:bCs w:val="1"/>
                <w:color w:val="auto"/>
                <w:w w:val="98"/>
              </w:rPr>
              <w:t>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 Rating</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jc w:val="right"/>
              <w:ind w:right="2770"/>
              <w:spacing w:after="0"/>
              <w:rPr>
                <w:sz w:val="20"/>
                <w:szCs w:val="20"/>
                <w:color w:val="auto"/>
              </w:rPr>
            </w:pPr>
            <w:r>
              <w:rPr>
                <w:rFonts w:ascii="Arial" w:cs="Arial" w:eastAsia="Arial" w:hAnsi="Arial"/>
                <w:sz w:val="18"/>
                <w:szCs w:val="18"/>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23,539</w:t>
            </w:r>
          </w:p>
        </w:tc>
        <w:tc>
          <w:tcPr>
            <w:tcW w:w="160" w:type="dxa"/>
            <w:vAlign w:val="bottom"/>
          </w:tcPr>
          <w:p>
            <w:pPr>
              <w:spacing w:after="0"/>
              <w:rPr>
                <w:sz w:val="18"/>
                <w:szCs w:val="18"/>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8"/>
                <w:szCs w:val="18"/>
                <w:color w:val="auto"/>
              </w:rPr>
              <w:t>6.9 %</w:t>
            </w: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45,339</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770"/>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jc w:val="right"/>
              <w:ind w:right="2770"/>
              <w:spacing w:after="0"/>
              <w:rPr>
                <w:sz w:val="20"/>
                <w:szCs w:val="20"/>
                <w:color w:val="auto"/>
              </w:rPr>
            </w:pPr>
            <w:r>
              <w:rPr>
                <w:rFonts w:ascii="Arial" w:cs="Arial" w:eastAsia="Arial" w:hAnsi="Arial"/>
                <w:sz w:val="18"/>
                <w:szCs w:val="18"/>
                <w:color w:val="auto"/>
              </w:rPr>
              <w:t>2</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46,718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24,888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770"/>
              <w:spacing w:after="0"/>
              <w:rPr>
                <w:sz w:val="20"/>
                <w:szCs w:val="20"/>
                <w:color w:val="auto"/>
              </w:rPr>
            </w:pPr>
            <w:r>
              <w:rPr>
                <w:rFonts w:ascii="Arial" w:cs="Arial" w:eastAsia="Arial" w:hAnsi="Arial"/>
                <w:sz w:val="18"/>
                <w:szCs w:val="18"/>
                <w:color w:val="auto"/>
              </w:rPr>
              <w:t>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342,722</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288,355</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June 30, 2020, there were two debt investments with an internal credit rating of 1, with a cost of $13.5 million and a fair value of $7.1 million. As of December 31, 2019, there were two debt investments with an internal credit rating of 1, with an aggregate cost of $5.7 million and an aggregate fair value of $2.0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Horizon Secured Loan Fund I LLC</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On June 1, 2018, we and Arena Sunset SPV, LLC, or Arena, formed a joint venture, Horizon Secured Loan Fund I, or HSLFI, to make investments, either directly or indirectly through subsidiaries, primarily in the form of secured loans to development-stage companies in the technology, life science, healthcare information and services and sustainability industries. HSLFI was formed as a Delaware limited liability company and was not consolidated by either us or Arena for financial reporting purposes. On April 21, 2020, we purchased all of the limited liability company interests of Arena in HSLFI, including, without limitation, undistributed amounts owed to Arena and interest accrued and unpaid on the debt investments of HSLFI through the date of purchase, for $17.1 million. In addition, Arena received 50% of the warrants held by HSLFI or Horizon Funding I, LLC, or HFI, at closing. HSLFI is now wholly-owned by us and in future reporting periods, the assets and liabilities of HSLFI and HFI will be consolidated with the assets and liabilities by us.</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Investments held by HSLFI were measured at fair value. As of December 31, 2019, HSLFI had total assets of $48.3 million. HSLFI’s portfolio consisted of debt investments in eight portfolio companies as of December 31, 2019. As of December 31, 2019, the largest investment in a single portfolio company in the HSLFI’s portfolio in aggregate principal amount was $11.3 million and the five largest investments in portfolio companies in the HSLFI totaled $30.3 million. As of December 31, 2019, HSLFI had no investments on non-accrual status. HSLFI invested in portfolio companies in the same industries in which we may directly invest.</w:t>
      </w:r>
    </w:p>
    <w:p>
      <w:pPr>
        <w:spacing w:after="0" w:line="19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invested cash or securities in portfolio companies in HSLFI in exchange for limited liability company equity interests in HSLFI. As of December 31, 2019, we and Arena each owned 50.0% of the equity interests of HSLFI. We had an original commitment to fund $25.0 million of equity interests in HSLFI. As of December 31, 2019, $9.8 million was unfunded. Our investment in HSLFI consisted of an equity contribution of $15.2 million as of December 31, 2019. During the period January 1, 2020 through April 21, 2020, there were no distributions from HSLFI. For the three and six months ended June 30, 2019, HSLFI distributed $0.6 million and $1.1 million, respectively.</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and Arena each appointed two members to HSLFI’s four-person board of managers. All material decisions with respect to HSLFI, including those involving its investment portfolio, required unanimous approval of a quorum of the board of managers. Quorum wass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9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HFI was formed as a Delaware limited liability company on May 9, 2018, with HSLFI as its sole equity member. HFI was a special purpose bankruptcy-remote entity and was a separate legal entity from HSLFI. Any assets conveyed to HFI were not available to creditors of HSLFI or any other entity other than HFI’s lenders.</w:t>
      </w:r>
    </w:p>
    <w:p>
      <w:pPr>
        <w:spacing w:after="0" w:line="184"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In addition, on June 1, 2018, HSLFI entered into the Sale and Servicing Agreement. HFI entered into a Note Funding Agreement, or the NYL Facility, with several entities owned or affiliated with New York Life Insurance Company, or the Noteholders, for an aggregate purchase price of up to $100.0 million, with an accordion feature of up to $200.0 million at the mutual discretion and agreement of HSLFI and the Noteholders. The Note Funding Agreement’s investment period has ended. Any notes issued by HFI was collateralized by all investments held by HFI and permitted an advance rate of up to 67% of the aggregate principal amount of eligible debt investments. The notes were issued pursuant to the Indenture. The interest rate on the notes issued under the NYL Facility was based on the three year USD mid-market swap rate plus a margin of between 2.75% and 3.25% depending on the rating of such notes at the time of issuance. There were $15.0 million in advances made by the Noteholders as of December 31, 2019 at an interest rate of 4.98%.</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shows a summary of HSLFI’s investment portfolio for the period January 1, 2020 through April 21, 2020 and the three and six months ended June 30, 2019:</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For the period</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three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 the six</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640" w:type="dxa"/>
            <w:vAlign w:val="bottom"/>
            <w:gridSpan w:val="4"/>
          </w:tcPr>
          <w:p>
            <w:pPr>
              <w:jc w:val="center"/>
              <w:ind w:left="256"/>
              <w:spacing w:after="0" w:line="149" w:lineRule="exact"/>
              <w:rPr>
                <w:sz w:val="20"/>
                <w:szCs w:val="20"/>
                <w:color w:val="auto"/>
              </w:rPr>
            </w:pPr>
            <w:r>
              <w:rPr>
                <w:rFonts w:ascii="Arial" w:cs="Arial" w:eastAsia="Arial" w:hAnsi="Arial"/>
                <w:sz w:val="14"/>
                <w:szCs w:val="14"/>
                <w:b w:val="1"/>
                <w:bCs w:val="1"/>
                <w:color w:val="auto"/>
                <w:w w:val="93"/>
              </w:rPr>
              <w:t>January 1, 2020</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1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880" w:type="dxa"/>
            <w:vAlign w:val="bottom"/>
            <w:gridSpan w:val="2"/>
          </w:tcPr>
          <w:p>
            <w:pPr>
              <w:jc w:val="right"/>
              <w:ind w:right="268"/>
              <w:spacing w:after="0" w:line="149"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April 21, 2020</w:t>
            </w:r>
          </w:p>
        </w:tc>
        <w:tc>
          <w:tcPr>
            <w:tcW w:w="120" w:type="dxa"/>
            <w:vAlign w:val="bottom"/>
          </w:tcPr>
          <w:p>
            <w:pPr>
              <w:spacing w:after="0"/>
              <w:rPr>
                <w:sz w:val="14"/>
                <w:szCs w:val="14"/>
                <w:color w:val="auto"/>
              </w:rPr>
            </w:pPr>
          </w:p>
        </w:tc>
        <w:tc>
          <w:tcPr>
            <w:tcW w:w="740" w:type="dxa"/>
            <w:vAlign w:val="bottom"/>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14"/>
                <w:szCs w:val="14"/>
                <w:color w:val="auto"/>
              </w:rPr>
            </w:pPr>
          </w:p>
        </w:tc>
        <w:tc>
          <w:tcPr>
            <w:tcW w:w="78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w:t>
            </w:r>
          </w:p>
        </w:tc>
        <w:tc>
          <w:tcPr>
            <w:tcW w:w="160" w:type="dxa"/>
            <w:vAlign w:val="bottom"/>
            <w:gridSpan w:val="2"/>
            <w:vMerge w:val="continue"/>
          </w:tcPr>
          <w:p>
            <w:pPr>
              <w:spacing w:after="0"/>
              <w:rPr>
                <w:sz w:val="11"/>
                <w:szCs w:val="11"/>
                <w:color w:val="auto"/>
              </w:rPr>
            </w:pPr>
          </w:p>
        </w:tc>
        <w:tc>
          <w:tcPr>
            <w:tcW w:w="8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line="216" w:lineRule="exact"/>
              <w:rPr>
                <w:sz w:val="20"/>
                <w:szCs w:val="20"/>
                <w:color w:val="auto"/>
              </w:rPr>
            </w:pPr>
            <w:r>
              <w:rPr>
                <w:rFonts w:ascii="Arial" w:cs="Arial" w:eastAsia="Arial" w:hAnsi="Arial"/>
                <w:sz w:val="17"/>
                <w:szCs w:val="17"/>
                <w:color w:val="auto"/>
              </w:rPr>
              <w:t>Dollar-weighted annualized yield on average debt investments</w:t>
            </w:r>
            <w:r>
              <w:rPr>
                <w:rFonts w:ascii="Arial" w:cs="Arial" w:eastAsia="Arial" w:hAnsi="Arial"/>
                <w:sz w:val="25"/>
                <w:szCs w:val="25"/>
                <w:color w:val="auto"/>
                <w:vertAlign w:val="superscript"/>
              </w:rPr>
              <w:t>(1)</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14.3 %</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13.1 %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HSLFI</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Largest portfolio company investment at fair value</w:t>
            </w:r>
          </w:p>
        </w:tc>
        <w:tc>
          <w:tcPr>
            <w:tcW w:w="6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11,158</w:t>
            </w:r>
          </w:p>
        </w:tc>
        <w:tc>
          <w:tcPr>
            <w:tcW w:w="140" w:type="dxa"/>
            <w:vAlign w:val="bottom"/>
          </w:tcPr>
          <w:p>
            <w:pPr>
              <w:spacing w:after="0"/>
              <w:rPr>
                <w:sz w:val="20"/>
                <w:szCs w:val="20"/>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11,158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4" w:lineRule="exact"/>
        <w:rPr>
          <w:sz w:val="20"/>
          <w:szCs w:val="20"/>
          <w:color w:val="auto"/>
        </w:rPr>
      </w:pPr>
    </w:p>
    <w:p>
      <w:pPr>
        <w:jc w:val="both"/>
        <w:ind w:left="380" w:right="79" w:hanging="330"/>
        <w:spacing w:after="0" w:line="291"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HSLFI calculates the yield on dollar-weighted average debt investments for any period measured as (1) total investment income during the period divided by (2) the average of the fair value of debt investments outstanding on</w:t>
      </w:r>
    </w:p>
    <w:p>
      <w:pPr>
        <w:jc w:val="both"/>
        <w:ind w:left="380" w:right="79" w:hanging="6"/>
        <w:spacing w:after="0" w:line="255" w:lineRule="auto"/>
        <w:tabs>
          <w:tab w:leader="none" w:pos="63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last day of the calendar month immediately preceding the first day of the period and (b) the last day of each calendar month during the period. The yield on dollar-weighted average debt investments represents the portfolio yield and does not reflect HSLFI’s expenses.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HSLFI’s total portfolio investment activity as of and for the three and six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2019:</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For the three</w:t>
            </w:r>
          </w:p>
        </w:tc>
        <w:tc>
          <w:tcPr>
            <w:tcW w:w="180" w:type="dxa"/>
            <w:vAlign w:val="bottom"/>
          </w:tcPr>
          <w:p>
            <w:pPr>
              <w:spacing w:after="0"/>
              <w:rPr>
                <w:sz w:val="14"/>
                <w:szCs w:val="14"/>
                <w:color w:val="auto"/>
              </w:rPr>
            </w:pPr>
          </w:p>
        </w:tc>
        <w:tc>
          <w:tcPr>
            <w:tcW w:w="11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For the six</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gridSpan w:val="4"/>
          </w:tcPr>
          <w:p>
            <w:pPr>
              <w:jc w:val="center"/>
              <w:ind w:right="2"/>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80" w:type="dxa"/>
            <w:vAlign w:val="bottom"/>
          </w:tcPr>
          <w:p>
            <w:pPr>
              <w:spacing w:after="0"/>
              <w:rPr>
                <w:sz w:val="12"/>
                <w:szCs w:val="12"/>
                <w:color w:val="auto"/>
              </w:rPr>
            </w:pPr>
          </w:p>
        </w:tc>
        <w:tc>
          <w:tcPr>
            <w:tcW w:w="11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ind w:right="182"/>
              <w:spacing w:after="0" w:line="149" w:lineRule="exact"/>
              <w:rPr>
                <w:sz w:val="20"/>
                <w:szCs w:val="20"/>
                <w:color w:val="auto"/>
              </w:rPr>
            </w:pPr>
            <w:r>
              <w:rPr>
                <w:rFonts w:ascii="Arial" w:cs="Arial" w:eastAsia="Arial" w:hAnsi="Arial"/>
                <w:sz w:val="14"/>
                <w:szCs w:val="14"/>
                <w:b w:val="1"/>
                <w:bCs w:val="1"/>
                <w:color w:val="auto"/>
                <w:w w:val="96"/>
              </w:rPr>
              <w:t>June 30,</w:t>
            </w:r>
          </w:p>
        </w:tc>
        <w:tc>
          <w:tcPr>
            <w:tcW w:w="180" w:type="dxa"/>
            <w:vAlign w:val="bottom"/>
          </w:tcPr>
          <w:p>
            <w:pPr>
              <w:spacing w:after="0"/>
              <w:rPr>
                <w:sz w:val="12"/>
                <w:szCs w:val="12"/>
                <w:color w:val="auto"/>
              </w:rPr>
            </w:pPr>
          </w:p>
        </w:tc>
        <w:tc>
          <w:tcPr>
            <w:tcW w:w="114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left="110"/>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center"/>
              <w:ind w:right="235"/>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28,962</w:t>
            </w:r>
          </w:p>
        </w:tc>
        <w:tc>
          <w:tcPr>
            <w:tcW w:w="4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New debt investments</w:t>
            </w: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14,227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of debt investment fees</w:t>
            </w:r>
          </w:p>
        </w:tc>
        <w:tc>
          <w:tcPr>
            <w:tcW w:w="2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New debt investment fees</w:t>
            </w: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7"/>
              </w:rPr>
              <w:t>(97)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Net unrealized depreciation on investments</w:t>
            </w:r>
          </w:p>
        </w:tc>
        <w:tc>
          <w:tcPr>
            <w:tcW w:w="2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gridSpan w:val="2"/>
          </w:tcPr>
          <w:p>
            <w:pPr>
              <w:ind w:left="20"/>
              <w:spacing w:after="0"/>
              <w:rPr>
                <w:sz w:val="20"/>
                <w:szCs w:val="20"/>
                <w:color w:val="auto"/>
              </w:rPr>
            </w:pPr>
            <w:r>
              <w:rPr>
                <w:rFonts w:ascii="Arial" w:cs="Arial" w:eastAsia="Arial" w:hAnsi="Arial"/>
                <w:sz w:val="18"/>
                <w:szCs w:val="18"/>
                <w:color w:val="auto"/>
              </w:rPr>
              <w:t>Ending portfolio</w:t>
            </w:r>
          </w:p>
        </w:tc>
        <w:tc>
          <w:tcPr>
            <w:tcW w:w="1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8"/>
                <w:szCs w:val="18"/>
                <w:color w:val="auto"/>
              </w:rPr>
              <w:t>38,896</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38,896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3"/>
            <w:vMerge w:val="restart"/>
          </w:tcPr>
          <w:p>
            <w:pPr>
              <w:ind w:left="320"/>
              <w:spacing w:after="0"/>
              <w:rPr>
                <w:sz w:val="20"/>
                <w:szCs w:val="20"/>
                <w:color w:val="auto"/>
              </w:rPr>
            </w:pPr>
            <w:r>
              <w:rPr>
                <w:rFonts w:ascii="Arial" w:cs="Arial" w:eastAsia="Arial" w:hAnsi="Arial"/>
                <w:sz w:val="18"/>
                <w:szCs w:val="18"/>
                <w:color w:val="auto"/>
              </w:rPr>
              <w:t>The following table shows HSLFI’s investments as of December 31, 2019:</w:t>
            </w: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26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0" w:type="dxa"/>
            <w:vAlign w:val="bottom"/>
            <w:gridSpan w:val="3"/>
          </w:tcPr>
          <w:p>
            <w:pPr>
              <w:jc w:val="right"/>
              <w:ind w:right="130"/>
              <w:spacing w:after="0"/>
              <w:rPr>
                <w:sz w:val="20"/>
                <w:szCs w:val="20"/>
                <w:color w:val="auto"/>
              </w:rPr>
            </w:pPr>
            <w:r>
              <w:rPr>
                <w:rFonts w:ascii="Arial" w:cs="Arial" w:eastAsia="Arial" w:hAnsi="Arial"/>
                <w:sz w:val="13"/>
                <w:szCs w:val="13"/>
                <w:b w:val="1"/>
                <w:bCs w:val="1"/>
                <w:color w:val="auto"/>
              </w:rPr>
              <w:t>Principal</w:t>
            </w:r>
          </w:p>
        </w:tc>
        <w:tc>
          <w:tcPr>
            <w:tcW w:w="20" w:type="dxa"/>
            <w:vAlign w:val="bottom"/>
          </w:tcPr>
          <w:p>
            <w:pPr>
              <w:spacing w:after="0"/>
              <w:rPr>
                <w:sz w:val="24"/>
                <w:szCs w:val="24"/>
                <w:color w:val="auto"/>
              </w:rPr>
            </w:pPr>
          </w:p>
        </w:tc>
        <w:tc>
          <w:tcPr>
            <w:tcW w:w="760" w:type="dxa"/>
            <w:vAlign w:val="bottom"/>
            <w:gridSpan w:val="3"/>
          </w:tcPr>
          <w:p>
            <w:pPr>
              <w:jc w:val="right"/>
              <w:ind w:right="108"/>
              <w:spacing w:after="0"/>
              <w:rPr>
                <w:sz w:val="20"/>
                <w:szCs w:val="20"/>
                <w:color w:val="auto"/>
              </w:rPr>
            </w:pPr>
            <w:r>
              <w:rPr>
                <w:rFonts w:ascii="Arial" w:cs="Arial" w:eastAsia="Arial" w:hAnsi="Arial"/>
                <w:sz w:val="13"/>
                <w:szCs w:val="13"/>
                <w:b w:val="1"/>
                <w:bCs w:val="1"/>
                <w:color w:val="auto"/>
              </w:rPr>
              <w:t>Cost of</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80" w:type="dxa"/>
            <w:vAlign w:val="bottom"/>
            <w:gridSpan w:val="2"/>
          </w:tcPr>
          <w:p>
            <w:pPr>
              <w:ind w:left="20"/>
              <w:spacing w:after="0" w:line="154" w:lineRule="exact"/>
              <w:rPr>
                <w:sz w:val="20"/>
                <w:szCs w:val="20"/>
                <w:color w:val="auto"/>
              </w:rPr>
            </w:pPr>
            <w:r>
              <w:rPr>
                <w:rFonts w:ascii="Arial" w:cs="Arial" w:eastAsia="Arial" w:hAnsi="Arial"/>
                <w:sz w:val="12"/>
                <w:szCs w:val="12"/>
                <w:b w:val="1"/>
                <w:bCs w:val="1"/>
                <w:color w:val="auto"/>
              </w:rPr>
              <w:t xml:space="preserve">Portfolio Company </w:t>
            </w:r>
            <w:r>
              <w:rPr>
                <w:rFonts w:ascii="Arial" w:cs="Arial" w:eastAsia="Arial" w:hAnsi="Arial"/>
                <w:sz w:val="17"/>
                <w:szCs w:val="17"/>
                <w:b w:val="1"/>
                <w:bCs w:val="1"/>
                <w:color w:val="auto"/>
                <w:vertAlign w:val="superscript"/>
              </w:rPr>
              <w:t>(1)</w:t>
            </w:r>
          </w:p>
        </w:tc>
        <w:tc>
          <w:tcPr>
            <w:tcW w:w="1100" w:type="dxa"/>
            <w:vAlign w:val="bottom"/>
          </w:tcPr>
          <w:p>
            <w:pPr>
              <w:ind w:left="400"/>
              <w:spacing w:after="0"/>
              <w:rPr>
                <w:sz w:val="20"/>
                <w:szCs w:val="20"/>
                <w:color w:val="auto"/>
              </w:rPr>
            </w:pPr>
            <w:r>
              <w:rPr>
                <w:rFonts w:ascii="Arial" w:cs="Arial" w:eastAsia="Arial" w:hAnsi="Arial"/>
                <w:sz w:val="13"/>
                <w:szCs w:val="13"/>
                <w:b w:val="1"/>
                <w:bCs w:val="1"/>
                <w:color w:val="auto"/>
              </w:rPr>
              <w:t>Sector</w:t>
            </w:r>
          </w:p>
        </w:tc>
        <w:tc>
          <w:tcPr>
            <w:tcW w:w="2800" w:type="dxa"/>
            <w:vAlign w:val="bottom"/>
          </w:tcPr>
          <w:p>
            <w:pPr>
              <w:ind w:left="820"/>
              <w:spacing w:after="0" w:line="154" w:lineRule="exact"/>
              <w:rPr>
                <w:sz w:val="20"/>
                <w:szCs w:val="20"/>
                <w:color w:val="auto"/>
              </w:rPr>
            </w:pPr>
            <w:r>
              <w:rPr>
                <w:rFonts w:ascii="Arial" w:cs="Arial" w:eastAsia="Arial" w:hAnsi="Arial"/>
                <w:sz w:val="12"/>
                <w:szCs w:val="12"/>
                <w:b w:val="1"/>
                <w:bCs w:val="1"/>
                <w:color w:val="auto"/>
              </w:rPr>
              <w:t xml:space="preserve">Type of Investment </w:t>
            </w:r>
            <w:r>
              <w:rPr>
                <w:rFonts w:ascii="Arial" w:cs="Arial" w:eastAsia="Arial" w:hAnsi="Arial"/>
                <w:sz w:val="17"/>
                <w:szCs w:val="17"/>
                <w:b w:val="1"/>
                <w:bCs w:val="1"/>
                <w:color w:val="auto"/>
                <w:vertAlign w:val="superscript"/>
              </w:rPr>
              <w:t>(2)(3)(4)</w:t>
            </w:r>
          </w:p>
        </w:tc>
        <w:tc>
          <w:tcPr>
            <w:tcW w:w="1000" w:type="dxa"/>
            <w:vAlign w:val="bottom"/>
            <w:gridSpan w:val="3"/>
          </w:tcPr>
          <w:p>
            <w:pPr>
              <w:jc w:val="right"/>
              <w:ind w:right="15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3"/>
                <w:szCs w:val="13"/>
                <w:color w:val="auto"/>
              </w:rPr>
            </w:pPr>
          </w:p>
        </w:tc>
        <w:tc>
          <w:tcPr>
            <w:tcW w:w="760" w:type="dxa"/>
            <w:vAlign w:val="bottom"/>
            <w:gridSpan w:val="3"/>
          </w:tcPr>
          <w:p>
            <w:pPr>
              <w:jc w:val="right"/>
              <w:spacing w:after="0" w:line="154" w:lineRule="exact"/>
              <w:rPr>
                <w:sz w:val="20"/>
                <w:szCs w:val="20"/>
                <w:color w:val="auto"/>
              </w:rPr>
            </w:pPr>
            <w:r>
              <w:rPr>
                <w:rFonts w:ascii="Arial" w:cs="Arial" w:eastAsia="Arial" w:hAnsi="Arial"/>
                <w:sz w:val="12"/>
                <w:szCs w:val="12"/>
                <w:b w:val="1"/>
                <w:bCs w:val="1"/>
                <w:color w:val="auto"/>
                <w:w w:val="88"/>
              </w:rPr>
              <w:t>Investments</w:t>
            </w:r>
            <w:r>
              <w:rPr>
                <w:rFonts w:ascii="Arial" w:cs="Arial" w:eastAsia="Arial" w:hAnsi="Arial"/>
                <w:sz w:val="17"/>
                <w:szCs w:val="17"/>
                <w:b w:val="1"/>
                <w:bCs w:val="1"/>
                <w:color w:val="auto"/>
                <w:w w:val="88"/>
                <w:vertAlign w:val="superscript"/>
              </w:rPr>
              <w:t>(5)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8"/>
        </w:trPr>
        <w:tc>
          <w:tcPr>
            <w:tcW w:w="2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800" w:type="dxa"/>
            <w:vAlign w:val="bottom"/>
            <w:tcBorders>
              <w:top w:val="single" w:sz="8" w:color="auto"/>
            </w:tcBorders>
          </w:tcPr>
          <w:p>
            <w:pPr>
              <w:ind w:left="380"/>
              <w:spacing w:after="0" w:line="129" w:lineRule="exact"/>
              <w:rPr>
                <w:sz w:val="20"/>
                <w:szCs w:val="20"/>
                <w:color w:val="auto"/>
              </w:rPr>
            </w:pPr>
            <w:r>
              <w:rPr>
                <w:rFonts w:ascii="Arial" w:cs="Arial" w:eastAsia="Arial" w:hAnsi="Arial"/>
                <w:sz w:val="13"/>
                <w:szCs w:val="13"/>
                <w:b w:val="1"/>
                <w:bCs w:val="1"/>
                <w:color w:val="auto"/>
              </w:rPr>
              <w:t>(Dollars in thousands)</w:t>
            </w: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Debt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Celsion Corporation (6)(7)(8)</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400" w:type="dxa"/>
            <w:vAlign w:val="bottom"/>
          </w:tcPr>
          <w:p>
            <w:pPr>
              <w:jc w:val="right"/>
              <w:ind w:right="50"/>
              <w:spacing w:after="0" w:line="12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480" w:type="dxa"/>
            <w:vAlign w:val="bottom"/>
          </w:tcPr>
          <w:p>
            <w:pPr>
              <w:jc w:val="right"/>
              <w:ind w:right="90"/>
              <w:spacing w:after="0" w:line="121" w:lineRule="exact"/>
              <w:rPr>
                <w:sz w:val="20"/>
                <w:szCs w:val="20"/>
                <w:color w:val="auto"/>
              </w:rPr>
            </w:pPr>
            <w:r>
              <w:rPr>
                <w:rFonts w:ascii="Arial" w:cs="Arial" w:eastAsia="Arial" w:hAnsi="Arial"/>
                <w:sz w:val="13"/>
                <w:szCs w:val="13"/>
                <w:color w:val="auto"/>
                <w:w w:val="92"/>
              </w:rPr>
              <w:t>2,500</w:t>
            </w:r>
          </w:p>
        </w:tc>
        <w:tc>
          <w:tcPr>
            <w:tcW w:w="320" w:type="dxa"/>
            <w:vAlign w:val="bottom"/>
            <w:gridSpan w:val="2"/>
          </w:tcPr>
          <w:p>
            <w:pPr>
              <w:jc w:val="right"/>
              <w:ind w:right="182"/>
              <w:spacing w:after="0" w:line="121" w:lineRule="exact"/>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2,464</w:t>
            </w:r>
          </w:p>
        </w:tc>
        <w:tc>
          <w:tcPr>
            <w:tcW w:w="240" w:type="dxa"/>
            <w:vAlign w:val="bottom"/>
            <w:gridSpan w:val="2"/>
          </w:tcPr>
          <w:p>
            <w:pPr>
              <w:jc w:val="center"/>
              <w:ind w:left="22"/>
              <w:spacing w:after="0" w:line="121"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2,464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9.63%), 4.00% ETP, Due 7/1/22)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90"/>
              <w:spacing w:after="0" w:line="121" w:lineRule="exact"/>
              <w:rPr>
                <w:sz w:val="20"/>
                <w:szCs w:val="20"/>
                <w:color w:val="auto"/>
              </w:rPr>
            </w:pPr>
            <w:r>
              <w:rPr>
                <w:rFonts w:ascii="Arial" w:cs="Arial" w:eastAsia="Arial" w:hAnsi="Arial"/>
                <w:sz w:val="13"/>
                <w:szCs w:val="13"/>
                <w:color w:val="auto"/>
                <w:w w:val="92"/>
              </w:rPr>
              <w:t>2,500</w:t>
            </w: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9.63%), 4.00% ETP, Due 7/1/22)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Encore Dermatology,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(10.00% cash (Libor + 7.50%; Floor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90"/>
              <w:spacing w:after="0" w:line="121" w:lineRule="exact"/>
              <w:rPr>
                <w:sz w:val="20"/>
                <w:szCs w:val="20"/>
                <w:color w:val="auto"/>
              </w:rPr>
            </w:pPr>
            <w:r>
              <w:rPr>
                <w:rFonts w:ascii="Arial" w:cs="Arial" w:eastAsia="Arial" w:hAnsi="Arial"/>
                <w:sz w:val="13"/>
                <w:szCs w:val="13"/>
                <w:color w:val="auto"/>
                <w:w w:val="92"/>
              </w:rPr>
              <w:t>5,000</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4,929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4,929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10.00%), 3.00% ETP, Due 4/1/23)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Mustang Bio, Inc. (6)(7)(8)</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(9.00% cash (Libor + 6.50%;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90"/>
              <w:spacing w:after="0" w:line="121" w:lineRule="exact"/>
              <w:rPr>
                <w:sz w:val="20"/>
                <w:szCs w:val="20"/>
                <w:color w:val="auto"/>
              </w:rPr>
            </w:pPr>
            <w:r>
              <w:rPr>
                <w:rFonts w:ascii="Arial" w:cs="Arial" w:eastAsia="Arial" w:hAnsi="Arial"/>
                <w:sz w:val="13"/>
                <w:szCs w:val="13"/>
                <w:color w:val="auto"/>
                <w:w w:val="92"/>
              </w:rPr>
              <w:t>5,000</w:t>
            </w: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4,924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4,924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9.00%), 5.00% ETP, Due 10/1/22)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8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color w:val="auto"/>
              </w:rPr>
              <w:t>Total Debt Investments — Life science</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14,781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14,781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Debt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Bridge2 Solutions, LLC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(11.00% cash (Libor + 8.4%; Floor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90"/>
              <w:spacing w:after="0" w:line="121" w:lineRule="exact"/>
              <w:rPr>
                <w:sz w:val="20"/>
                <w:szCs w:val="20"/>
                <w:color w:val="auto"/>
              </w:rPr>
            </w:pPr>
            <w:r>
              <w:rPr>
                <w:rFonts w:ascii="Arial" w:cs="Arial" w:eastAsia="Arial" w:hAnsi="Arial"/>
                <w:sz w:val="13"/>
                <w:szCs w:val="13"/>
                <w:color w:val="auto"/>
              </w:rPr>
              <w:t>500</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481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11.00%), 2.00% ETP, Due 9/1/23)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New Signature US, Inc. (6)(7)(9)</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90"/>
              <w:spacing w:after="0" w:line="121" w:lineRule="exact"/>
              <w:rPr>
                <w:sz w:val="20"/>
                <w:szCs w:val="20"/>
                <w:color w:val="auto"/>
              </w:rPr>
            </w:pPr>
            <w:r>
              <w:rPr>
                <w:rFonts w:ascii="Arial" w:cs="Arial" w:eastAsia="Arial" w:hAnsi="Arial"/>
                <w:sz w:val="13"/>
                <w:szCs w:val="13"/>
                <w:color w:val="auto"/>
                <w:w w:val="92"/>
              </w:rPr>
              <w:t>8,250</w:t>
            </w: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8,163</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8,163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10.50%), 3.50% ETP, Due 7/1/22)</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90"/>
              <w:spacing w:after="0" w:line="121" w:lineRule="exact"/>
              <w:rPr>
                <w:sz w:val="20"/>
                <w:szCs w:val="20"/>
                <w:color w:val="auto"/>
              </w:rPr>
            </w:pPr>
            <w:r>
              <w:rPr>
                <w:rFonts w:ascii="Arial" w:cs="Arial" w:eastAsia="Arial" w:hAnsi="Arial"/>
                <w:sz w:val="13"/>
                <w:szCs w:val="13"/>
                <w:color w:val="auto"/>
                <w:w w:val="92"/>
              </w:rPr>
              <w:t>3,000</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2,961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2,961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10.50%), 3.50% ETP, Due 2/1/23)</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OutboundEngine,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(11.15% cash (Libor + 8.40%;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90"/>
              <w:spacing w:after="0" w:line="121" w:lineRule="exact"/>
              <w:rPr>
                <w:sz w:val="20"/>
                <w:szCs w:val="20"/>
                <w:color w:val="auto"/>
              </w:rPr>
            </w:pPr>
            <w:r>
              <w:rPr>
                <w:rFonts w:ascii="Arial" w:cs="Arial" w:eastAsia="Arial" w:hAnsi="Arial"/>
                <w:sz w:val="13"/>
                <w:szCs w:val="13"/>
                <w:color w:val="auto"/>
              </w:rPr>
              <w:t>500</w:t>
            </w: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491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491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11.15%), 3.00% ETP, Due 7/1/23)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Revinate,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(9.50% cash (Libor + 7.00%; Floor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90"/>
              <w:spacing w:after="0" w:line="121" w:lineRule="exact"/>
              <w:rPr>
                <w:sz w:val="20"/>
                <w:szCs w:val="20"/>
                <w:color w:val="auto"/>
              </w:rPr>
            </w:pPr>
            <w:r>
              <w:rPr>
                <w:rFonts w:ascii="Arial" w:cs="Arial" w:eastAsia="Arial" w:hAnsi="Arial"/>
                <w:sz w:val="13"/>
                <w:szCs w:val="13"/>
                <w:color w:val="auto"/>
                <w:w w:val="92"/>
              </w:rPr>
              <w:t>4,000</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3,952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3,952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9.50%), 3.00% ETP, Due 6/1/23)</w:t>
            </w: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99"/>
              </w:rPr>
              <w:t>Total Debt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16,048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16,048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7"/>
              </w:rPr>
              <w:t>Debt Investments — Healthcare information and services</w:t>
            </w:r>
          </w:p>
        </w:tc>
        <w:tc>
          <w:tcPr>
            <w:tcW w:w="2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HealthEdge Software,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(9.94% cash (Libor + 8.25%; Floor</w:t>
            </w: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ind w:right="90"/>
              <w:spacing w:after="0" w:line="121" w:lineRule="exact"/>
              <w:rPr>
                <w:sz w:val="20"/>
                <w:szCs w:val="20"/>
                <w:color w:val="auto"/>
              </w:rPr>
            </w:pPr>
            <w:r>
              <w:rPr>
                <w:rFonts w:ascii="Arial" w:cs="Arial" w:eastAsia="Arial" w:hAnsi="Arial"/>
                <w:sz w:val="13"/>
                <w:szCs w:val="13"/>
                <w:color w:val="auto"/>
                <w:w w:val="92"/>
              </w:rPr>
              <w:t>3,750</w:t>
            </w: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3,709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3,709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9.25%), 3.00% ETP, Due 10/1/23)</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80" w:type="dxa"/>
            <w:vAlign w:val="bottom"/>
            <w:tcBorders>
              <w:bottom w:val="single" w:sz="8" w:color="CCEEFF"/>
            </w:tcBorders>
            <w:gridSpan w:val="3"/>
          </w:tcPr>
          <w:p>
            <w:pPr>
              <w:ind w:left="20"/>
              <w:spacing w:after="0" w:line="129" w:lineRule="exact"/>
              <w:rPr>
                <w:sz w:val="20"/>
                <w:szCs w:val="20"/>
                <w:color w:val="auto"/>
              </w:rPr>
            </w:pPr>
            <w:r>
              <w:rPr>
                <w:rFonts w:ascii="Arial" w:cs="Arial" w:eastAsia="Arial" w:hAnsi="Arial"/>
                <w:sz w:val="13"/>
                <w:szCs w:val="13"/>
                <w:color w:val="auto"/>
                <w:w w:val="95"/>
              </w:rPr>
              <w:t>Total Debt Investments — Healthcare information and services</w:t>
            </w: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3,709</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3,709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Debt Investments</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34,538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34,538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Warrant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Celsion Corporation (6)(7)(8)</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95,057 Common Stock Warrants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Encore Dermatology,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503,626 Preferred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Mustang Bio, Inc. (6)(7)(8)</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72,046 Common Stock Warrants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CSA Medical,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Medical Device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17,751 Preferred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color w:val="auto"/>
                <w:w w:val="96"/>
              </w:rPr>
              <w:t>Total Warrant Investments — Life science</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Warrant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Intelepeer Holdings, Inc.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Communications</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2,081,934 Preferred Stock Warrants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Bridge2 Solutions, LLC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2,500 Common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BSI Platform Holdings, LLC (6)(7)(9)</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562,500 Preferred Stock Warrants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OutboundEngine,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40,000 Preferred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Borders>
              <w:bottom w:val="single" w:sz="8" w:color="CCEEFF"/>
            </w:tcBorders>
            <w:gridSpan w:val="2"/>
          </w:tcPr>
          <w:p>
            <w:pPr>
              <w:ind w:left="20"/>
              <w:spacing w:after="0" w:line="135" w:lineRule="exact"/>
              <w:rPr>
                <w:sz w:val="20"/>
                <w:szCs w:val="20"/>
                <w:color w:val="auto"/>
              </w:rPr>
            </w:pPr>
            <w:r>
              <w:rPr>
                <w:rFonts w:ascii="Arial" w:cs="Arial" w:eastAsia="Arial" w:hAnsi="Arial"/>
                <w:sz w:val="13"/>
                <w:szCs w:val="13"/>
                <w:color w:val="auto"/>
              </w:rPr>
              <w:t>Revinate Inc. (6)(7)</w:t>
            </w:r>
          </w:p>
        </w:tc>
        <w:tc>
          <w:tcPr>
            <w:tcW w:w="11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3"/>
                <w:szCs w:val="13"/>
                <w:color w:val="auto"/>
              </w:rPr>
              <w:t>216,362 Preferred Stock Warrants</w:t>
            </w: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Total Warrant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2"/>
              </w:rPr>
              <w:t>Warrant Investments — Healthcare information and services</w:t>
            </w:r>
          </w:p>
        </w:tc>
        <w:tc>
          <w:tcPr>
            <w:tcW w:w="2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HealthEdge Software,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47,418 Preferred Stock Warrants</w:t>
            </w: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80" w:type="dxa"/>
            <w:vAlign w:val="bottom"/>
            <w:tcBorders>
              <w:bottom w:val="single" w:sz="8" w:color="CCEEFF"/>
            </w:tcBorders>
            <w:gridSpan w:val="3"/>
          </w:tcPr>
          <w:p>
            <w:pPr>
              <w:ind w:left="20"/>
              <w:spacing w:after="0" w:line="129" w:lineRule="exact"/>
              <w:rPr>
                <w:sz w:val="20"/>
                <w:szCs w:val="20"/>
                <w:color w:val="auto"/>
              </w:rPr>
            </w:pPr>
            <w:r>
              <w:rPr>
                <w:rFonts w:ascii="Arial" w:cs="Arial" w:eastAsia="Arial" w:hAnsi="Arial"/>
                <w:sz w:val="13"/>
                <w:szCs w:val="13"/>
                <w:color w:val="auto"/>
                <w:w w:val="90"/>
              </w:rPr>
              <w:t>Total Warrant Investments — Healthcare information and services</w:t>
            </w: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Warrant Investments</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357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CCEEFF"/>
            </w:tcBorders>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8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Portfolio Investment Assets</w:t>
            </w:r>
          </w:p>
        </w:tc>
        <w:tc>
          <w:tcPr>
            <w:tcW w:w="1100" w:type="dxa"/>
            <w:vAlign w:val="bottom"/>
            <w:tcBorders>
              <w:bottom w:val="single" w:sz="8" w:color="CCEEFF"/>
            </w:tcBorders>
            <w:shd w:val="clear" w:color="auto" w:fill="CCEEFF"/>
          </w:tcPr>
          <w:p>
            <w:pPr>
              <w:spacing w:after="0"/>
              <w:rPr>
                <w:sz w:val="11"/>
                <w:szCs w:val="11"/>
                <w:color w:val="auto"/>
              </w:rPr>
            </w:pPr>
          </w:p>
        </w:tc>
        <w:tc>
          <w:tcPr>
            <w:tcW w:w="28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34,895</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34,829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8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Short Term Investments — Unrestricted Investments</w:t>
            </w:r>
          </w:p>
        </w:tc>
        <w:tc>
          <w:tcPr>
            <w:tcW w:w="2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11,201</w:t>
            </w:r>
          </w:p>
        </w:tc>
        <w:tc>
          <w:tcPr>
            <w:tcW w:w="240" w:type="dxa"/>
            <w:vAlign w:val="bottom"/>
            <w:gridSpan w:val="2"/>
          </w:tcPr>
          <w:p>
            <w:pPr>
              <w:jc w:val="center"/>
              <w:ind w:left="22"/>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11,201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0" w:type="dxa"/>
            <w:vAlign w:val="bottom"/>
          </w:tcPr>
          <w:p>
            <w:pPr>
              <w:ind w:left="90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Short Term Investments — Unrestricted Investments</w:t>
            </w: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11,201</w:t>
            </w:r>
          </w:p>
        </w:tc>
        <w:tc>
          <w:tcPr>
            <w:tcW w:w="1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11,201</w:t>
            </w:r>
          </w:p>
        </w:tc>
      </w:tr>
      <w:tr>
        <w:trPr>
          <w:trHeight w:val="20"/>
        </w:trPr>
        <w:tc>
          <w:tcPr>
            <w:tcW w:w="2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16"/>
        </w:trPr>
        <w:tc>
          <w:tcPr>
            <w:tcW w:w="224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35"/>
        </w:trPr>
        <w:tc>
          <w:tcPr>
            <w:tcW w:w="73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Short Term Investments — Restricted Money Market Funds</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35"/>
        </w:trPr>
        <w:tc>
          <w:tcPr>
            <w:tcW w:w="7320" w:type="dxa"/>
            <w:vAlign w:val="bottom"/>
            <w:tcBorders>
              <w:bottom w:val="single" w:sz="8" w:color="CCEEFF"/>
            </w:tcBorders>
            <w:gridSpan w:val="2"/>
          </w:tcPr>
          <w:p>
            <w:pPr>
              <w:ind w:left="20"/>
              <w:spacing w:after="0" w:line="135" w:lineRule="exact"/>
              <w:rPr>
                <w:sz w:val="20"/>
                <w:szCs w:val="20"/>
                <w:color w:val="auto"/>
              </w:rPr>
            </w:pPr>
            <w:r>
              <w:rPr>
                <w:rFonts w:ascii="Arial" w:cs="Arial" w:eastAsia="Arial" w:hAnsi="Arial"/>
                <w:sz w:val="13"/>
                <w:szCs w:val="13"/>
                <w:color w:val="auto"/>
              </w:rPr>
              <w:t>US Bank Money Market Deposit Account (6)</w:t>
            </w:r>
          </w:p>
        </w:tc>
        <w:tc>
          <w:tcPr>
            <w:tcW w:w="22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138</w:t>
            </w:r>
          </w:p>
        </w:tc>
        <w:tc>
          <w:tcPr>
            <w:tcW w:w="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138</w:t>
            </w:r>
          </w:p>
        </w:tc>
      </w:tr>
      <w:tr>
        <w:trPr>
          <w:trHeight w:val="128"/>
        </w:trPr>
        <w:tc>
          <w:tcPr>
            <w:tcW w:w="732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Total Short Term Investments — Restricted Money Market Funds</w:t>
            </w:r>
          </w:p>
        </w:tc>
        <w:tc>
          <w:tcPr>
            <w:tcW w:w="2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138</w:t>
            </w:r>
          </w:p>
        </w:tc>
        <w:tc>
          <w:tcPr>
            <w:tcW w:w="14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138</w:t>
            </w:r>
          </w:p>
        </w:tc>
      </w:tr>
      <w:tr>
        <w:trPr>
          <w:trHeight w:val="20"/>
        </w:trPr>
        <w:tc>
          <w:tcPr>
            <w:tcW w:w="2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r>
    </w:tbl>
    <w:p>
      <w:pPr>
        <w:spacing w:after="0" w:line="76" w:lineRule="exact"/>
        <w:rPr>
          <w:sz w:val="20"/>
          <w:szCs w:val="20"/>
          <w:color w:val="auto"/>
        </w:rPr>
      </w:pPr>
    </w:p>
    <w:p>
      <w:pPr>
        <w:ind w:left="380" w:right="79" w:hanging="330"/>
        <w:spacing w:after="0" w:line="253"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investments of HSLFI are in entities which are organized under the laws of the United States and have a principal place of business in the United States.</w:t>
      </w:r>
    </w:p>
    <w:p>
      <w:pPr>
        <w:spacing w:after="0" w:line="173" w:lineRule="exact"/>
        <w:rPr>
          <w:rFonts w:ascii="Arial" w:cs="Arial" w:eastAsia="Arial" w:hAnsi="Arial"/>
          <w:sz w:val="14"/>
          <w:szCs w:val="14"/>
          <w:color w:val="auto"/>
        </w:rPr>
      </w:pPr>
    </w:p>
    <w:p>
      <w:pPr>
        <w:jc w:val="both"/>
        <w:ind w:left="380" w:right="79" w:hanging="330"/>
        <w:spacing w:after="0" w:line="231"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183" w:lineRule="exact"/>
        <w:rPr>
          <w:rFonts w:ascii="Arial" w:cs="Arial" w:eastAsia="Arial" w:hAnsi="Arial"/>
          <w:sz w:val="14"/>
          <w:szCs w:val="14"/>
          <w:color w:val="auto"/>
        </w:rPr>
      </w:pPr>
    </w:p>
    <w:p>
      <w:pPr>
        <w:jc w:val="both"/>
        <w:ind w:left="380" w:right="79" w:hanging="330"/>
        <w:spacing w:after="0" w:line="238"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2"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Warrants are non-income producing.</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Has been pledged as collateral under the NYL Facility.</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208"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December 31, 2019, for the period January 1, 2020 through April 21, 2020 and the three and six months ended June 30, 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w w:val="89"/>
              </w:rPr>
              <w:t>Selected Statement of Assets and Liabilities Information</w:t>
            </w: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 at fair value (cost of $34,895)</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money market funds</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Restricted investments in money market funds</w:t>
            </w: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Members’ equity</w:t>
            </w:r>
          </w:p>
        </w:tc>
        <w:tc>
          <w:tcPr>
            <w:tcW w:w="3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33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20" w:type="dxa"/>
            <w:vAlign w:val="bottom"/>
            <w:vMerge w:val="restart"/>
          </w:tcPr>
          <w:p>
            <w:pPr>
              <w:jc w:val="right"/>
              <w:ind w:right="3010"/>
              <w:spacing w:after="0"/>
              <w:rPr>
                <w:sz w:val="20"/>
                <w:szCs w:val="20"/>
                <w:color w:val="auto"/>
              </w:rPr>
            </w:pPr>
            <w:r>
              <w:rPr>
                <w:rFonts w:ascii="Arial" w:cs="Arial" w:eastAsia="Arial" w:hAnsi="Arial"/>
                <w:sz w:val="18"/>
                <w:szCs w:val="18"/>
                <w:color w:val="auto"/>
                <w:w w:val="99"/>
              </w:rPr>
              <w:t>52</w:t>
            </w: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3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7"/>
              </w:rPr>
              <w:t>For the period</w:t>
            </w:r>
          </w:p>
        </w:tc>
        <w:tc>
          <w:tcPr>
            <w:tcW w:w="1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For the three</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the six</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January 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months</w:t>
            </w:r>
          </w:p>
        </w:tc>
        <w:tc>
          <w:tcPr>
            <w:tcW w:w="120" w:type="dxa"/>
            <w:vAlign w:val="bottom"/>
          </w:tcPr>
          <w:p>
            <w:pPr>
              <w:spacing w:after="0"/>
              <w:rPr>
                <w:sz w:val="12"/>
                <w:szCs w:val="12"/>
                <w:color w:val="auto"/>
              </w:rPr>
            </w:pPr>
          </w:p>
        </w:tc>
        <w:tc>
          <w:tcPr>
            <w:tcW w:w="70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ended</w:t>
            </w:r>
          </w:p>
        </w:tc>
        <w:tc>
          <w:tcPr>
            <w:tcW w:w="12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2"/>
                <w:szCs w:val="12"/>
                <w:color w:val="auto"/>
              </w:rPr>
            </w:pPr>
          </w:p>
        </w:tc>
        <w:tc>
          <w:tcPr>
            <w:tcW w:w="7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April 21, 2020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0"/>
        </w:trPr>
        <w:tc>
          <w:tcPr>
            <w:tcW w:w="6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1,465</w:t>
            </w:r>
          </w:p>
        </w:tc>
        <w:tc>
          <w:tcPr>
            <w:tcW w:w="4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236</w:t>
            </w:r>
          </w:p>
        </w:tc>
        <w:tc>
          <w:tcPr>
            <w:tcW w:w="4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862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(392)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June 30, 2020 and 2019</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consolidated results of operations for the three months ended June 30, 2020 and 2019:</w:t>
      </w:r>
    </w:p>
    <w:p>
      <w:pPr>
        <w:spacing w:after="0" w:line="242"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For the three months ended</w:t>
      </w:r>
    </w:p>
    <w:p>
      <w:pPr>
        <w:jc w:val="center"/>
        <w:ind w:left="63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9"/>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based incentive fee waived</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Net realized loss on investments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appreciation on investments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4,124</w:t>
            </w:r>
          </w:p>
        </w:tc>
        <w:tc>
          <w:tcPr>
            <w:tcW w:w="0" w:type="dxa"/>
            <w:vAlign w:val="bottom"/>
          </w:tcPr>
          <w:p>
            <w:pPr>
              <w:spacing w:after="0"/>
              <w:rPr>
                <w:sz w:val="1"/>
                <w:szCs w:val="1"/>
                <w:color w:val="auto"/>
              </w:rPr>
            </w:pPr>
          </w:p>
        </w:tc>
      </w:tr>
      <w:tr>
        <w:trPr>
          <w:trHeight w:val="24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197"/>
        </w:trPr>
        <w:tc>
          <w:tcPr>
            <w:tcW w:w="63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debt investments, at fair value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328,036</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239,284</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Average borrowings outstanding</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182,521</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129,034</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Total investment income increased by $3.1 million, or 29.2%, to $13.5 million for the three months ended June 30, 2020 as compared to the three months ended June 30, 2019. For the three months ended June 30, 2020, total investment income consisted primarily of $12.1 million in interest income from investments, which included $3.3 million in income from the accretion of origination fees and ETPs, $1.7 million in fee income and $0.3 million in dividend expense. Interest income on debt investments increased by $2.9 million, or 31.0%, to $12.1 million for the three months ended June 30, 2020 compared to the three months ended June 30, 2019. Interest income on debt investments for the three months ended June 30, 2020 as compared to the three months ended June 30, 2019 increased primarily due to an increase of $88.8 million, or 37.1%, in the average size of our debt investment portfolio, partially offset by a decrease in one-month LIBOR which is the base rate for most of our variable rate debt investments. Fee income, which includes success fee, other fee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and prepayment fee income on debt investments, increased by $0.9 million, or 116.4%, to $1.7 million for the three months ended June 30, 2020 compared to the three months ended June 30, 2019 primarily due to a higher average prepayment fee rate earned and an increase in amendment fee income.</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our dollar-weighted annualized yield for the three months ended June 30, 2020 and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Investment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Debt investments</w:t>
      </w:r>
      <w:r>
        <w:rPr>
          <w:rFonts w:ascii="Arial" w:cs="Arial" w:eastAsia="Arial" w:hAnsi="Arial"/>
          <w:sz w:val="10"/>
          <w:szCs w:val="10"/>
          <w:color w:val="auto"/>
        </w:rPr>
        <w:t>(1)(2)</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3"/>
          <w:szCs w:val="13"/>
          <w:color w:val="auto"/>
        </w:rPr>
        <w:t>Equity interest in HSLFI and debt investments</w:t>
      </w:r>
      <w:r>
        <w:rPr>
          <w:rFonts w:ascii="Arial" w:cs="Arial" w:eastAsia="Arial" w:hAnsi="Arial"/>
          <w:sz w:val="9"/>
          <w:szCs w:val="9"/>
          <w:color w:val="auto"/>
        </w:rPr>
        <w:t>(1)(3)</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4"/>
          <w:szCs w:val="14"/>
          <w:color w:val="auto"/>
        </w:rPr>
        <w:t>Equity interest in HSLFI</w:t>
      </w: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-89535</wp:posOffset>
            </wp:positionV>
            <wp:extent cx="56489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All investments</w:t>
      </w: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123825</wp:posOffset>
            </wp:positionV>
            <wp:extent cx="141414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auto"/>
        </w:rPr>
        <w:t>For the three months ended</w:t>
      </w:r>
    </w:p>
    <w:p>
      <w:pPr>
        <w:jc w:val="center"/>
        <w:ind w:right="259"/>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5"/>
        </w:trPr>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16.9</w:t>
            </w:r>
          </w:p>
        </w:tc>
        <w:tc>
          <w:tcPr>
            <w:tcW w:w="240" w:type="dxa"/>
            <w:vAlign w:val="bottom"/>
            <w:vMerge w:val="continue"/>
          </w:tcPr>
          <w:p>
            <w:pPr>
              <w:spacing w:after="0"/>
              <w:rPr>
                <w:sz w:val="16"/>
                <w:szCs w:val="16"/>
                <w:color w:val="auto"/>
              </w:rPr>
            </w:pPr>
          </w:p>
        </w:tc>
        <w:tc>
          <w:tcPr>
            <w:tcW w:w="800" w:type="dxa"/>
            <w:vAlign w:val="bottom"/>
          </w:tcPr>
          <w:p>
            <w:pPr>
              <w:ind w:left="440"/>
              <w:spacing w:after="0" w:line="195" w:lineRule="exact"/>
              <w:rPr>
                <w:sz w:val="20"/>
                <w:szCs w:val="20"/>
                <w:color w:val="auto"/>
              </w:rPr>
            </w:pPr>
            <w:r>
              <w:rPr>
                <w:rFonts w:ascii="Arial" w:cs="Arial" w:eastAsia="Arial" w:hAnsi="Arial"/>
                <w:sz w:val="18"/>
                <w:szCs w:val="18"/>
                <w:color w:val="auto"/>
                <w:w w:val="96"/>
              </w:rPr>
              <w:t>16.8</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16.3 %</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w w:val="89"/>
              </w:rPr>
              <w:t>16.6 %</w:t>
            </w:r>
          </w:p>
        </w:tc>
        <w:tc>
          <w:tcPr>
            <w:tcW w:w="0" w:type="dxa"/>
            <w:vAlign w:val="bottom"/>
          </w:tcPr>
          <w:p>
            <w:pPr>
              <w:spacing w:after="0"/>
              <w:rPr>
                <w:sz w:val="1"/>
                <w:szCs w:val="1"/>
                <w:color w:val="auto"/>
              </w:rPr>
            </w:pPr>
          </w:p>
        </w:tc>
      </w:tr>
      <w:tr>
        <w:trPr>
          <w:trHeight w:val="216"/>
        </w:trPr>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800" w:type="dxa"/>
            <w:vAlign w:val="bottom"/>
          </w:tcPr>
          <w:p>
            <w:pPr>
              <w:ind w:left="440"/>
              <w:spacing w:after="0"/>
              <w:rPr>
                <w:sz w:val="20"/>
                <w:szCs w:val="20"/>
                <w:color w:val="auto"/>
              </w:rPr>
            </w:pPr>
            <w:r>
              <w:rPr>
                <w:rFonts w:ascii="Arial" w:cs="Arial" w:eastAsia="Arial" w:hAnsi="Arial"/>
                <w:sz w:val="18"/>
                <w:szCs w:val="18"/>
                <w:color w:val="auto"/>
                <w:w w:val="96"/>
              </w:rPr>
              <w:t>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15.8 %</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w w:val="89"/>
              </w:rPr>
              <w:t>15.5 %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200" w:space="720"/>
            <w:col w:w="2099"/>
          </w:cols>
          <w:pgMar w:left="1440" w:top="517" w:right="1440" w:bottom="1440" w:gutter="0" w:footer="0" w:header="0"/>
          <w:type w:val="continuous"/>
        </w:sectPr>
      </w:pPr>
    </w:p>
    <w:p>
      <w:pPr>
        <w:spacing w:after="0" w:line="29" w:lineRule="exact"/>
        <w:rPr>
          <w:sz w:val="20"/>
          <w:szCs w:val="20"/>
          <w:color w:val="auto"/>
        </w:rPr>
      </w:pPr>
    </w:p>
    <w:p>
      <w:pPr>
        <w:jc w:val="both"/>
        <w:ind w:left="380" w:right="79" w:hanging="330"/>
        <w:spacing w:after="0" w:line="291"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calculate the dollar-weighted annualized yield on average investment type for any period as (1) total related investment income during the period divided by (2) the average of the fair value of the investment type outstanding on</w:t>
      </w:r>
    </w:p>
    <w:p>
      <w:pPr>
        <w:jc w:val="both"/>
        <w:ind w:left="380" w:right="79" w:hanging="6"/>
        <w:spacing w:after="0" w:line="302" w:lineRule="auto"/>
        <w:tabs>
          <w:tab w:leader="none" w:pos="639"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155" w:lineRule="exact"/>
        <w:rPr>
          <w:rFonts w:ascii="Arial" w:cs="Arial" w:eastAsia="Arial" w:hAnsi="Arial"/>
          <w:sz w:val="16"/>
          <w:szCs w:val="16"/>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any yield from warrants, equity, other investments and equity interest in HSLFI. Related investment income includes interest income and fee income from debt investments.</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any yield from warrants, equity and other investments. Related investment income includes interest income and fee income from debt investments and dividend income from equity interest in HSLFI.</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any yield from debt investments, warrants, equity and other investments. Related investment income includes dividend income from equity interest in HSLFI.</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any yield from debt investments, warrants, equity, other investments and equity interest in HSFLI. Related investment income includes interest income, fee income and dividend income.</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Investment income, consisting of interest income and fees on debt investments, can fluctuate significantly upon repayment of large debt investments. Interest income from the five largest debt investments in the aggregate accounted for 26% and 27% of investment income for the three months ended June 30, 2020 and 2019, respectively.</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left="60" w:right="79" w:firstLine="324"/>
        <w:spacing w:after="0" w:line="286" w:lineRule="auto"/>
        <w:rPr>
          <w:sz w:val="20"/>
          <w:szCs w:val="20"/>
          <w:color w:val="auto"/>
        </w:rPr>
      </w:pPr>
      <w:r>
        <w:rPr>
          <w:rFonts w:ascii="Arial" w:cs="Arial" w:eastAsia="Arial" w:hAnsi="Arial"/>
          <w:sz w:val="17"/>
          <w:szCs w:val="17"/>
          <w:color w:val="auto"/>
        </w:rPr>
        <w:t>Net expenses increased by $1.4 million, or 24.9%, to $6.8 million for the three months ended June 30, 2020 as compared to the three months ended June 30, 2019. Total expenses for each period consisted of interest expense, base management fee, incentive and administrative fees, professional fees and general and administrative expenses.</w:t>
      </w:r>
    </w:p>
    <w:p>
      <w:pPr>
        <w:spacing w:after="0" w:line="16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Interest expense increased by $0.4 million, or 21.1%, to $2.6 million for the three months ended June 30, 2020 as compared to the three months ended June 30, 2019. Interest expense, which includes the amortization of debt issuance costs, increased primarily due to an increase in average borrowings of $53.5 million, or 41.5%, offset by a reduction in our effective cost of debt, for the three months ended June 30, 2020 as compared to the three months ended June 30, 2019.</w:t>
      </w:r>
    </w:p>
    <w:p>
      <w:pPr>
        <w:spacing w:after="0" w:line="15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Base management fee expense increased by $0.3 million, or 22.2%, to $1.7 million for the three months ended June 30, 2020 as compared to the three months ended June 30, 2019. Base management fee increased primarily due to an increase of $88.8 million, or 37.1%, in the average size of our investment portfolio for the three months ended June 30, 2020 as compared to the three months ended June 30, 2019, offset by the reduced management fee rate on which the base management fee is calculated for assets in excess of $250 million.</w:t>
      </w:r>
    </w:p>
    <w:p>
      <w:pPr>
        <w:sectPr>
          <w:pgSz w:w="11900" w:h="16838" w:orient="portrait"/>
          <w:cols w:equalWidth="0" w:num="1">
            <w:col w:w="9019"/>
          </w:cols>
          <w:pgMar w:left="1440" w:top="517" w:right="1440"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months ended June 30, 2019, our Advisor waived performance based incentive fees of $0.7 million which our Advisor would have otherwise been paid. This resulted in $0.7 million of reduced expense and additional net investment income for the three months ended June 30, 2019.</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Performance based incentive fee expense, net of the waiver above, increased by $0.4 million, or 33.8%, to $1.7 million for the three months ended June 30, 2020 as compared to the three months ended June 30, 2019. This increase was due to an increase of $2.1 million, or 33.8%, in Pre-Incentive Fee Net Investment Income for the three months ended June 30, 2020 compared to the three months ended June 30, 2019.</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were $0.9 million and $0.7 million for the three months ended June 30, 2020 and 2019, respectively.</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three months ended June 30, 2020, we realized net losses totaling $0.7 million primarily due to the realized loss on the settlement of one of our debt investments offset by a realized gain from the consideration we received from the termination of warrants upon the sale of a portfolio company. During the three months ended June 30, 2019, we realized net losses totaling $4.6 million primarily due to the expiration of one of our royalty agreements which was included in other investments.</w:t>
      </w:r>
    </w:p>
    <w:p>
      <w:pPr>
        <w:spacing w:after="0" w:line="188"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During the three months ended June 30, 2020, net unrealized appreciation on investments totaled $1.9 million which was primarily due to (1) the unrealized appreciation on one of our warrant investments and (2) the reversal of previously recorded unrealized depreciation from the settlement of three of our debt investments partially offset by (1) the unrealized depreciation on two of our debt investments and (2) the unrealized depreciation on one of our equity investments. During the three months ended June 30, 2019, net unrealized appreciation on investments totaled $4.1 million which was primarily due to (1) a reversal of previously recorded unrealized depreciation on one of our royalty agreements which was included in other investments and (2) unrealized appreciation on one of our equity investments. These amounts were partially offset by unrealized depreciation on one of our debt investments.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six months ended June 30, 2020 and 2019</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consolidated results of operations for the six months ended June 30, 2020 and 2019:</w:t>
      </w:r>
    </w:p>
    <w:p>
      <w:pPr>
        <w:spacing w:after="0" w:line="242"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For the six months ended</w:t>
      </w:r>
    </w:p>
    <w:p>
      <w:pPr>
        <w:jc w:val="center"/>
        <w:ind w:left="63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18,775</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12,378</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based incentive fee waived</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expenses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Net realized gain (loss) on investments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(depreciation) appreciation on investments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(6,539)</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7,216</w:t>
            </w:r>
          </w:p>
        </w:tc>
        <w:tc>
          <w:tcPr>
            <w:tcW w:w="24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debt investments, at fair value</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310,830</w:t>
            </w:r>
          </w:p>
        </w:tc>
        <w:tc>
          <w:tcPr>
            <w:tcW w:w="2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229,943</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Average borrowings outstanding</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168,981</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126,878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Total investment income increased by $4.9 million, or 25.9%, to $23.6 million for the six months ended June 30, 2020 as compared to the six months ended June 30, 2019. For the six months ended June 30, 2020, total investment income consisted primarily of $21.7 million in interest income from investments, which included $5.3 million in income from the accretion of origination fees and ETPs, $1.9 million in fee income and $0.1 million in dividend income. Interest income on debt investments increased by $4.8 million, or 28.3%, to $21.7 million for the six months ended June 30, 2020 compared to the six months ended June 30, 2019. Interest income on debt investments for the six months ended June 30, 2020 as compared to the six months ended June 30, 2019 increased primarily due to an increase of $80.9 million, or 35.2%, in the average size of our debt investment portfolio, partially offset by a decrease in one-month LIBOR which is the base rate for most of our variable rate debt investments. Fee income, which includes success fee, other fee and prepayment fee income on debt investments, increased by $0.7 million, or 64.7%, to $1.9 million for the six months ended June 30, 2020 compared to the six months ended June 30, 2019 primarily due to an increase in amendment fee income.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shows our dollar-weighted annualized yield for the six months ended June 30, 2020 and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Investment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Debt investments</w:t>
      </w:r>
      <w:r>
        <w:rPr>
          <w:rFonts w:ascii="Arial" w:cs="Arial" w:eastAsia="Arial" w:hAnsi="Arial"/>
          <w:sz w:val="10"/>
          <w:szCs w:val="10"/>
          <w:color w:val="auto"/>
        </w:rPr>
        <w:t>(1)(2)</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3"/>
          <w:szCs w:val="13"/>
          <w:color w:val="auto"/>
        </w:rPr>
        <w:t>Equity interest in HSLFI and debt investments</w:t>
      </w:r>
      <w:r>
        <w:rPr>
          <w:rFonts w:ascii="Arial" w:cs="Arial" w:eastAsia="Arial" w:hAnsi="Arial"/>
          <w:sz w:val="9"/>
          <w:szCs w:val="9"/>
          <w:color w:val="auto"/>
        </w:rPr>
        <w:t>(1)(3)</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4"/>
          <w:szCs w:val="14"/>
          <w:color w:val="auto"/>
        </w:rPr>
        <w:t>Equity interest in HSLFI</w:t>
      </w: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-89535</wp:posOffset>
            </wp:positionV>
            <wp:extent cx="56489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All investments</w:t>
      </w: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123825</wp:posOffset>
            </wp:positionV>
            <wp:extent cx="14141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six months ended</w:t>
      </w:r>
    </w:p>
    <w:p>
      <w:pPr>
        <w:spacing w:after="0" w:line="4"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-3175</wp:posOffset>
            </wp:positionV>
            <wp:extent cx="11487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tabs>
          <w:tab w:leader="none" w:pos="100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15.1 %</w:t>
      </w:r>
      <w:r>
        <w:rPr>
          <w:sz w:val="20"/>
          <w:szCs w:val="20"/>
          <w:color w:val="auto"/>
        </w:rPr>
        <w:tab/>
      </w:r>
      <w:r>
        <w:rPr>
          <w:rFonts w:ascii="Arial" w:cs="Arial" w:eastAsia="Arial" w:hAnsi="Arial"/>
          <w:sz w:val="16"/>
          <w:szCs w:val="16"/>
          <w:color w:val="auto"/>
        </w:rPr>
        <w:t>15.7 %</w:t>
      </w:r>
    </w:p>
    <w:p>
      <w:pPr>
        <w:spacing w:after="0" w:line="8"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14.8 %</w:t>
      </w:r>
      <w:r>
        <w:rPr>
          <w:sz w:val="20"/>
          <w:szCs w:val="20"/>
          <w:color w:val="auto"/>
        </w:rPr>
        <w:tab/>
      </w:r>
      <w:r>
        <w:rPr>
          <w:rFonts w:ascii="Arial" w:cs="Arial" w:eastAsia="Arial" w:hAnsi="Arial"/>
          <w:sz w:val="16"/>
          <w:szCs w:val="16"/>
          <w:color w:val="auto"/>
        </w:rPr>
        <w:t>15.4 %</w:t>
      </w:r>
    </w:p>
    <w:p>
      <w:pPr>
        <w:spacing w:after="0" w:line="9" w:lineRule="exact"/>
        <w:rPr>
          <w:sz w:val="20"/>
          <w:szCs w:val="20"/>
          <w:color w:val="auto"/>
        </w:rPr>
      </w:pPr>
    </w:p>
    <w:p>
      <w:pPr>
        <w:jc w:val="right"/>
        <w:ind w:right="159"/>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11.5%</w:t>
      </w:r>
    </w:p>
    <w:p>
      <w:pPr>
        <w:spacing w:after="0" w:line="9" w:lineRule="exact"/>
        <w:rPr>
          <w:sz w:val="20"/>
          <w:szCs w:val="20"/>
          <w:color w:val="auto"/>
        </w:rPr>
      </w:pPr>
    </w:p>
    <w:p>
      <w:pPr>
        <w:ind w:left="160"/>
        <w:spacing w:after="0"/>
        <w:tabs>
          <w:tab w:leader="none" w:pos="1180" w:val="left"/>
        </w:tabs>
        <w:rPr>
          <w:sz w:val="20"/>
          <w:szCs w:val="20"/>
          <w:color w:val="auto"/>
        </w:rPr>
      </w:pPr>
      <w:r>
        <w:rPr>
          <w:rFonts w:ascii="Arial" w:cs="Arial" w:eastAsia="Arial" w:hAnsi="Arial"/>
          <w:sz w:val="18"/>
          <w:szCs w:val="18"/>
          <w:color w:val="auto"/>
        </w:rPr>
        <w:t>14.2 %</w:t>
      </w:r>
      <w:r>
        <w:rPr>
          <w:sz w:val="20"/>
          <w:szCs w:val="20"/>
          <w:color w:val="auto"/>
        </w:rPr>
        <w:tab/>
      </w:r>
      <w:r>
        <w:rPr>
          <w:rFonts w:ascii="Arial" w:cs="Arial" w:eastAsia="Arial" w:hAnsi="Arial"/>
          <w:sz w:val="16"/>
          <w:szCs w:val="16"/>
          <w:color w:val="auto"/>
        </w:rPr>
        <w:t>14.4 %</w:t>
      </w:r>
    </w:p>
    <w:p>
      <w:pPr>
        <w:spacing w:after="0" w:line="200" w:lineRule="exact"/>
        <w:rPr>
          <w:sz w:val="20"/>
          <w:szCs w:val="20"/>
          <w:color w:val="auto"/>
        </w:rPr>
      </w:pPr>
    </w:p>
    <w:p>
      <w:pPr>
        <w:sectPr>
          <w:pgSz w:w="11900" w:h="16838" w:orient="portrait"/>
          <w:cols w:equalWidth="0" w:num="2">
            <w:col w:w="6420" w:space="720"/>
            <w:col w:w="1879"/>
          </w:cols>
          <w:pgMar w:left="1440" w:top="517" w:right="1440" w:bottom="1440" w:gutter="0" w:footer="0" w:header="0"/>
          <w:type w:val="continuous"/>
        </w:sectPr>
      </w:pPr>
    </w:p>
    <w:p>
      <w:pPr>
        <w:spacing w:after="0" w:line="38" w:lineRule="exact"/>
        <w:rPr>
          <w:sz w:val="20"/>
          <w:szCs w:val="20"/>
          <w:color w:val="auto"/>
        </w:rPr>
      </w:pPr>
    </w:p>
    <w:p>
      <w:pPr>
        <w:jc w:val="both"/>
        <w:ind w:left="380" w:right="79" w:hanging="330"/>
        <w:spacing w:after="0" w:line="291"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calculate the dollar-weighted annualized yield on average investment type for any period as (1) total related investment income during the period divided by (2) the average of the fair value of the investment type outstanding on</w:t>
      </w:r>
    </w:p>
    <w:p>
      <w:pPr>
        <w:jc w:val="both"/>
        <w:ind w:left="380" w:right="79" w:hanging="6"/>
        <w:spacing w:after="0" w:line="302" w:lineRule="auto"/>
        <w:tabs>
          <w:tab w:leader="none" w:pos="639"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any yield from warrants, equity, other investments and equity interest in HSLFI. Related investment income includes interest income and fee income from debt investments.</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any yield from warrants, equity and other investments. Related investment income includes interest income and fee income from debt investments and dividend income from equity interest in HSLFI.</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any yield from debt investments, warrants, equity and other investments. Related investment income includes dividend income from equity interest in HSLFI.</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any yield from debt investments, warrants, equity, other investments and equity interest in HSFLI. Related investment income includes interest income, fee income and dividend income.</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Investment income, consisting of interest income and fees on debt investments, can fluctuate significantly upon repayment of large debt investments. Interest income from the five largest debt investments in the aggregate accounted for 24% and 27% of investment income for the six months ended June 30, 2020 and 2019, respectively.</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Net expenses increased by $2.1 million, or 20.1%, to $12.6 million for the six months ended June 30, 2020 as compared to the six months ended June 30, 2019. Total expenses for each period consisted of interest expense, base management fee, incentive and administrative fees, professional fees and general and administrative expenses.</w:t>
      </w:r>
    </w:p>
    <w:p>
      <w:pPr>
        <w:spacing w:after="0" w:line="16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Interest expense increased by $0.6 million, or 13.5%, to $4.7 million for the six months ended June 30, 2020 as compared to the six months ended June 30, 2019. Interest expense, which includes the amortization of debt issuance costs, increased primarily due to an increase in average borrowings of $42.1 million, or 33.2%, offset by a reduction in our effective cost of debt, for the six months ended June 30, 2020 as compared to the six months ended June 30, 2019.</w:t>
      </w:r>
    </w:p>
    <w:p>
      <w:pPr>
        <w:spacing w:after="0" w:line="157"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Base management fee expense increased by $0.6 million, or 22.1%, to $3.2 million for the six months ended June 30, 2020 as compared to the six months ended June 30, 2019. Base management fee increased primarily due to an increase of $80.9 million, or 35.2%, in the average size of our investment portfolio for the six months ended June 30, 2020 as compared to the six months ended June 30, 2019, offset by the reduced management fee rate on which the base management fee is calculated for assets in excess of $250 million.</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six months ended June 30, 2019, our Advisor waived performance based incentive fees of $1.8 million which our Advisor would have otherwise been paid. This resulted in $1.8 million of reduced expense and additional net investment income for the six months ended June 30, 2019.</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Performance based incentive fee expense, net of the waiver above, increased by $0.7 million, or 33.3%, to $2.7 million for the six months ended June 30, 2020 as compared to the six months ended June 30, 2019 . This increase was due to an increase of $3.4 million, or 33.3%, in Pre-Incentive Fee Net Investment Income for the six months ended June 30, 2020 compared to the six months ended June 30, 2019.</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were $1.9 million and $1.6 million for the six months ended June 30, 2020 and 2019, respectively.</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investment fair values during the reporting period, including the reversal of previously recorded unrealized appreciation or depreciation when gains or losses are realized.</w:t>
      </w:r>
    </w:p>
    <w:p>
      <w:pPr>
        <w:spacing w:after="0" w:line="170"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During the six months ended June 30, 2020, we realized net gains totaling $2.8 million primarily due to the realized gain from the consideration we received from the termination of warrants upon the sale of three portfolio companies offset by the realized loss on the settlement of one of our debt investmetns. During the six months ended June 30, 2019, we realized net losses totaling $3.4 million primarily due to the expiration of one of our royalty agreements which was included in other investments which was partially offset by a gain on the sale of our equity investment in one portfolio company and from the consideration we received from the termination of warrants upon the sale of one portfolio company.</w:t>
      </w:r>
    </w:p>
    <w:p>
      <w:pPr>
        <w:spacing w:after="0" w:line="164"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During the six months ended June 30, 2020, net unrealized depreciation on investments totaled $6.5 million which was primarily due to (1) the unrealized depreciation on five of our debt investments, (2) the unrealized depreciation on one of our equity investments and (3) the reversal of previously recorded unrealized appreciation from the termination of warrants upon the sale of two portfolio companies partially offset by (1) the unrealized appreciation on one of our warrant investments and (2) the reversal of previously recorded unrealized depreciation from the settlement of three of our debt investments. During the six months ended June 30, 2019, net unrealized appreciation on investments totaled $2.8 million which was primarily due to the net unrealized appreciation on two of our royalty agreements which were included in other investments and the unrealized appreciation on one of our equity investments, partially offset by the unrealized depreciation on one of our debt investments.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of June 30, 2020 and December 31, 2019, we had cash and investments in money market funds of $37.3 million and $16.3 million, respectively. Cash is available to fund new investments, reduce borrowings, pay expenses, repurchase common stock and pay distributions. In addition, as of June 30, 2020 and December 31, 2019, we had $1.2 million and $1.1 million, respectively, of restricted investments in money market funds. Restricted investments in money market funds may be used to make monthly interest and principal payments on our Asset-Backed Notes. Our primary sources of capital have been from our public and private equity offerings, use of our revolving credit facilities and issuance of our public debt offerings.</w:t>
      </w:r>
    </w:p>
    <w:p>
      <w:pPr>
        <w:spacing w:after="0" w:line="195" w:lineRule="exact"/>
        <w:rPr>
          <w:sz w:val="20"/>
          <w:szCs w:val="20"/>
          <w:color w:val="auto"/>
        </w:rPr>
      </w:pPr>
    </w:p>
    <w:p>
      <w:pPr>
        <w:jc w:val="both"/>
        <w:ind w:left="60" w:right="59" w:firstLine="401"/>
        <w:spacing w:after="0" w:line="263" w:lineRule="auto"/>
        <w:rPr>
          <w:sz w:val="20"/>
          <w:szCs w:val="20"/>
          <w:color w:val="auto"/>
        </w:rPr>
      </w:pPr>
      <w:r>
        <w:rPr>
          <w:rFonts w:ascii="Arial" w:cs="Arial" w:eastAsia="Arial" w:hAnsi="Arial"/>
          <w:sz w:val="18"/>
          <w:szCs w:val="18"/>
          <w:color w:val="auto"/>
        </w:rPr>
        <w:t>On March 26, 2019, we completed a follow-on public offering of 2,000,000 shares of our common stock at a public offering price of $12.14 per share, for total net proceeds to us of $23.1 million, after deducting underwriting commission and discounts and other offering expenses.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August 2, 2019 we entered into an At-The-Market (“ATM”) sales agreement (the “Equity Distribution Agreement”), with Goldman Sachs &amp; Co. LLC and B. Riley FBR, Inc. (each a “Sales Agent” and, collectively, the “Sales Agents”). The Equity Distribution Agreement provides that we may offer and sell shares of common stock from time to time through the Sales Agents representing up to $50.0 million worth of our common stock, in amounts and at times to be determined by us.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months ended June 30, 2020, we sold 432,491 shares of common stock under the Equity Distribution Agreement. For the same period, we received total accumulated net proceeds of approximately $5.0 million, including $0.1 million of offering expenses, from these sales.</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six months ended June 30, 2020, we sold 1,717,901 shares of common stock under the Equity Distribution Agreement. For the same period, we received total accumulated net proceeds of approximately $21.1 million, including $0.5 million of offering expenses, from these sales.</w:t>
      </w:r>
    </w:p>
    <w:p>
      <w:pPr>
        <w:spacing w:after="0" w:line="184"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On April 24, 2020,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Securities Exchange Act of 1934, as amended, or the Exchange Act, and any applicable requirements of the 1940 Act. Unless extended by our Board, the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repurchase program will terminate on the earlier of June 30, 2021 or the repurchase of $5.0 million of our common stock. During the three and six months ended June 30, 2020 and 2019, we did not make any repurchases of our common stock. From the inception of the stock repurchase program through June 30, 2020, we repurchased 167,465 shares of our common stock at an average price of $11.22 on the open market at a total cost of $1.9 million.</w:t>
      </w:r>
    </w:p>
    <w:p>
      <w:pPr>
        <w:spacing w:after="0" w:line="17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At June 30, 2020 and December 31, 2019, the outstanding principal balance under our revolving credit facility, or the Key Facility, with KeyBank National Association was $45.0 million and $17.0 million, respectively. As of June 30, 2020 and December 31, 2019, we had borrowing capacity under the Key Facility of $80.0 million and $108.0 million, respectively. At June 30, 2020 and December 31, 2019, $22.7 million and $24.2 million, respectively, were available, subject to existing terms and advance rates.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At June 30, 2020, the outstanding principal balance under the NYL Facility was $13.3 million. As of June 30, 2020, we had borrowing capacity under the NYL Facility of $86.8 million. At June 30, 2020, $13.3 million was available, subject to existing terms and advance rates.</w:t>
      </w:r>
    </w:p>
    <w:p>
      <w:pPr>
        <w:spacing w:after="0" w:line="184"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operating activities used cash of $29.7 million for the six months ended June 30, 2020, and our financing activities provided cash of $50.8 million for the same period. Our operating activities used cash primarily to purchase investments in portfolio companies partially offset by principal payments received on our debt investments. Our financing activities provided cash primarily from advances on our credit facilities and the sale of shares through our ATM for net proceeds of $21.1 million, after deducting underwriting commission and discounts and other offering expenses, partially offset by cash used to repay our Key Facility and pay distributions to our stockholders.</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operating activities used cash of $19.5 million for the six months ended June 30, 2019, and our financing activities provided cash of $14.4 million for the same period. Our operating activities used cash primarily to purchase investments in portfolio companies partially offset by principal payments received on our debt investments. Our financing activities provided cash primarily from the completion of a follow-on public offering of 2.0 million shares of common stock for net proceeds of $23.1 million, after deducting underwriting commission and discounts and other offering expenses and advances on our Key Facility, partially offset by cash used to repay our Key Facility and pay distributions to our stockholders.</w:t>
      </w:r>
    </w:p>
    <w:p>
      <w:pPr>
        <w:spacing w:after="0" w:line="19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order to remain subject to taxation as a RIC, we intend to distribute to our stockholders all or substantially all of our investment company taxable income. In addition, as a BDC, we are required to maintain asset coverage of at least 150%. This requirement limits the amount that we may borrow.</w:t>
      </w:r>
    </w:p>
    <w:p>
      <w:pPr>
        <w:spacing w:after="0" w:line="184"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our borrowings as of June 30, 2020 and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6"/>
              </w:rPr>
              <w:t>June 30, 2020</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8"/>
              </w:rPr>
              <w:t>December 31, 2019</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880" w:type="dxa"/>
            <w:vAlign w:val="bottom"/>
            <w:gridSpan w:val="2"/>
          </w:tcPr>
          <w:p>
            <w:pPr>
              <w:ind w:left="260"/>
              <w:spacing w:after="0" w:line="119" w:lineRule="exact"/>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0"/>
                <w:szCs w:val="10"/>
                <w:color w:val="auto"/>
              </w:rPr>
            </w:pPr>
          </w:p>
        </w:tc>
        <w:tc>
          <w:tcPr>
            <w:tcW w:w="68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Unused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0"/>
                <w:szCs w:val="10"/>
                <w:color w:val="auto"/>
              </w:rPr>
            </w:pPr>
          </w:p>
        </w:tc>
        <w:tc>
          <w:tcPr>
            <w:tcW w:w="68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Unused</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3"/>
              </w:rPr>
              <w:t>Commitment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Commitment</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Commitment</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4"/>
          </w:tcPr>
          <w:p>
            <w:pPr>
              <w:jc w:val="right"/>
              <w:ind w:right="335"/>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Facility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$ 125,000</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108,000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NYL Facility</w:t>
            </w: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Notes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2022 Notes</w:t>
            </w:r>
          </w:p>
        </w:tc>
        <w:tc>
          <w:tcPr>
            <w:tcW w:w="820" w:type="dxa"/>
            <w:vAlign w:val="bottom"/>
          </w:tcPr>
          <w:p>
            <w:pPr>
              <w:jc w:val="right"/>
              <w:spacing w:after="0"/>
              <w:rPr>
                <w:sz w:val="20"/>
                <w:szCs w:val="20"/>
                <w:color w:val="auto"/>
              </w:rPr>
            </w:pPr>
            <w:r>
              <w:rPr>
                <w:rFonts w:ascii="Arial" w:cs="Arial" w:eastAsia="Arial" w:hAnsi="Arial"/>
                <w:sz w:val="18"/>
                <w:szCs w:val="18"/>
                <w:color w:val="auto"/>
              </w:rPr>
              <w:t>37,375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before debt issuance costs</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362,375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195,625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166,750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262,375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154,375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108,000</w:t>
            </w:r>
          </w:p>
        </w:tc>
        <w:tc>
          <w:tcPr>
            <w:tcW w:w="0" w:type="dxa"/>
            <w:vAlign w:val="bottom"/>
          </w:tcPr>
          <w:p>
            <w:pPr>
              <w:spacing w:after="0"/>
              <w:rPr>
                <w:sz w:val="1"/>
                <w:szCs w:val="1"/>
                <w:color w:val="auto"/>
              </w:rPr>
            </w:pPr>
          </w:p>
        </w:tc>
      </w:tr>
      <w:tr>
        <w:trPr>
          <w:trHeight w:val="182"/>
        </w:trPr>
        <w:tc>
          <w:tcPr>
            <w:tcW w:w="3300" w:type="dxa"/>
            <w:vAlign w:val="bottom"/>
          </w:tcPr>
          <w:p>
            <w:pPr>
              <w:ind w:left="20"/>
              <w:spacing w:after="0" w:line="182" w:lineRule="exact"/>
              <w:rPr>
                <w:sz w:val="20"/>
                <w:szCs w:val="20"/>
                <w:color w:val="auto"/>
              </w:rPr>
            </w:pPr>
            <w:r>
              <w:rPr>
                <w:rFonts w:ascii="Arial" w:cs="Arial" w:eastAsia="Arial" w:hAnsi="Arial"/>
                <w:sz w:val="18"/>
                <w:szCs w:val="18"/>
                <w:color w:val="auto"/>
              </w:rPr>
              <w:t>Unamortized debt issuance costs</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Arial" w:cs="Arial" w:eastAsia="Arial" w:hAnsi="Arial"/>
                <w:sz w:val="18"/>
                <w:szCs w:val="18"/>
                <w:color w:val="auto"/>
              </w:rPr>
              <w:t>attributable to term borrowings</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(2,325)</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borrowings outstanding, net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$ 362,375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193,559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166,750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262,375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152,050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108,000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entered into the Key Facility effective November 4, 2013. The interest rate on the Key Facility is based upon the one-month LIBOR plus a spread of 3.25%, with a LIBOR floor of 1.00%. The LIBOR rate was 0.16% and 1.76% as of June 30, 2020 and December 31, 2019, respectively. The interest rates in effect were 4.25% and 4.94% as of June 30, 2020 and December 31, 2019, respectively. The Key Facility requires the payment of an unused line fee in an amount equal to 0.50% of any unborrowed amount available under the facility annually.</w:t>
      </w:r>
    </w:p>
    <w:p>
      <w:pPr>
        <w:spacing w:after="0" w:line="188"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The Key Facility has an accordion feature which allows for an increase in the total loan commitment to $150 million. On June 29, 2020, we amended the Key Facility, among other things, to amend the LIBOR floor from 0.75% to 1.00% and to extend the period during which we may request advances under the Key Facility, or the Revolving Period, to September 30, 2021.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186"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On September 29, 2017, we issued and sold an aggregate principal amount of $32.5 million of our 6.25% notes due 2022, or the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w:t>
      </w:r>
    </w:p>
    <w:p>
      <w:pPr>
        <w:spacing w:after="0" w:line="2" w:lineRule="exact"/>
        <w:rPr>
          <w:sz w:val="20"/>
          <w:szCs w:val="20"/>
          <w:color w:val="auto"/>
        </w:rPr>
      </w:pPr>
    </w:p>
    <w:p>
      <w:pPr>
        <w:jc w:val="both"/>
        <w:ind w:left="60" w:right="59" w:hanging="10"/>
        <w:spacing w:after="0" w:line="270" w:lineRule="auto"/>
        <w:tabs>
          <w:tab w:leader="none" w:pos="327" w:val="left"/>
        </w:tabs>
        <w:numPr>
          <w:ilvl w:val="0"/>
          <w:numId w:val="24"/>
        </w:numPr>
        <w:rPr>
          <w:rFonts w:ascii="Arial" w:cs="Arial" w:eastAsia="Arial" w:hAnsi="Arial"/>
          <w:sz w:val="17"/>
          <w:szCs w:val="17"/>
          <w:color w:val="auto"/>
        </w:rPr>
      </w:pPr>
      <w:r>
        <w:rPr>
          <w:rFonts w:ascii="Arial" w:cs="Arial" w:eastAsia="Arial" w:hAnsi="Arial"/>
          <w:sz w:val="17"/>
          <w:szCs w:val="17"/>
          <w:color w:val="auto"/>
        </w:rPr>
        <w:t>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June 30, 2020, we were in material compliance with the terms of the 2022 Notes. The 2022 Notes are listed on the New York Stock Exchange under the symbol “HTFA”.</w:t>
      </w:r>
    </w:p>
    <w:p>
      <w:pPr>
        <w:spacing w:after="0" w:line="178"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On August 13, 2019, the Asset-Backed Notes were issued by the 2019-1 Trust pursuant to a note purchase agreement, dated as of August 13, 2019, by and among us and Keybanc Capital Markets Inc. as Initial Purchaser, and are backed by a pool of loans made to certain portfolio companies of ours and secured by certain assets of those portfolio companies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are to be serviced by us. Interest on the Asset-Backed Notes will be paid, to the extent of funds available, at a fixed rate of 4.21% per annum. The Asset-Backed Notes have a two-year reinvestment period and a stated maturity of September 15, 2027. The Asset-Backed Notes were rated A+(sf) by Morningstar Credit Ratings, LLC on August 13, 2019. There has been no change in the rating since August 13, 2019.</w:t>
      </w:r>
    </w:p>
    <w:p>
      <w:pPr>
        <w:spacing w:after="0" w:line="187"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At June 30, 2020, and December 31, 2019, the Asset-Backed Notes had an outstanding principal balance of $100.0 million.</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terms of the Asset-Backed Notes, we are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June 30, 2020, and December 31, 2019, there was approximately $1.2 million and $1.1 million, respectively, of restricted investments.</w:t>
      </w:r>
    </w:p>
    <w:p>
      <w:pPr>
        <w:spacing w:after="0" w:line="18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On April 21, 2020, we purchased all of the limited liability company interests of Arena in HSLFI, including, which is a party to the NYL Facility. HFI entered into the NYL Facility with the Noteholders for an aggregate purchase price of up to $100.0 million, with an accordion feature of up to $200.0 million at the mutual discretion and agreement of HSLFI and the Noteholders. On June 1, 2018, HSLFI sold or contributed to HFI certain secured loans made to certain portfolio companies pursuant to into the Sale and Servicing Agreement. Any notes issued by HFI are collateralized by all investments held by HFI and permit an advance rate of up to 67% of the aggregate principal amount of eligible debt investments.</w:t>
      </w:r>
    </w:p>
    <w:p>
      <w:pPr>
        <w:spacing w:after="0" w:line="195"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June 5, 2020, we amended the NYL Facility to extend the investment period to June 5, 2022. The investment period will be followed by a five year amortization period. The stated final payment date was extended to June 15, 2027, subject to any extension of the investment period. The interest rate on the notes issued under the NYL Facility is based on the three year USD mid-market swap rate plus a margin of between 3.55% and 5.15% with an interest rate floor, depending on the rating of such notes at the time of issuance. Any obligation to make additional advances was conditioned on the occurrence of certain conditions, which were satisfied June 26, 2020. There were $13.3 million in advances made by the Noteholders as of June 30, 2020 at an interest rate of 4.60%.</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June 30, 2020 and December 31, 2019, other assets were $2.2 million and $1.5 million, respectively, which is primarily comprised of debt issuance costs and prepaid expenses.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our significant contractual payment obligations and off-balance sheet arrangements as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1 – 3</w:t>
            </w:r>
          </w:p>
        </w:tc>
        <w:tc>
          <w:tcPr>
            <w:tcW w:w="8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3 – 5</w:t>
            </w:r>
          </w:p>
        </w:tc>
        <w:tc>
          <w:tcPr>
            <w:tcW w:w="5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After 5</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4"/>
                <w:szCs w:val="14"/>
                <w:color w:val="auto"/>
              </w:rPr>
            </w:pPr>
          </w:p>
        </w:tc>
        <w:tc>
          <w:tcPr>
            <w:tcW w:w="160" w:type="dxa"/>
            <w:vAlign w:val="bottom"/>
            <w:vMerge w:val="restart"/>
          </w:tcPr>
          <w:p>
            <w:pPr>
              <w:spacing w:after="0"/>
              <w:rPr>
                <w:sz w:val="20"/>
                <w:szCs w:val="20"/>
                <w:color w:val="auto"/>
              </w:rPr>
            </w:pPr>
            <w:r>
              <w:rPr>
                <w:rFonts w:ascii="Arial" w:cs="Arial" w:eastAsia="Arial" w:hAnsi="Arial"/>
                <w:sz w:val="14"/>
                <w:szCs w:val="14"/>
                <w:b w:val="1"/>
                <w:bCs w:val="1"/>
                <w:color w:val="auto"/>
                <w:w w:val="81"/>
              </w:rPr>
              <w:t>(In</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29"/>
        </w:trPr>
        <w:tc>
          <w:tcPr>
            <w:tcW w:w="48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top w:val="single" w:sz="8" w:color="auto"/>
            </w:tcBorders>
          </w:tcPr>
          <w:p>
            <w:pPr>
              <w:jc w:val="right"/>
              <w:ind w:right="5"/>
              <w:spacing w:after="0" w:line="129" w:lineRule="exact"/>
              <w:rPr>
                <w:sz w:val="20"/>
                <w:szCs w:val="20"/>
                <w:color w:val="auto"/>
              </w:rPr>
            </w:pPr>
            <w:r>
              <w:rPr>
                <w:rFonts w:ascii="Arial" w:cs="Arial" w:eastAsia="Arial" w:hAnsi="Arial"/>
                <w:sz w:val="14"/>
                <w:szCs w:val="14"/>
                <w:b w:val="1"/>
                <w:bCs w:val="1"/>
                <w:color w:val="auto"/>
                <w:w w:val="90"/>
              </w:rPr>
              <w:t>thousands)</w:t>
            </w: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$ 195,625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$ 14,964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$ 159,267</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$ 21,394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Unfunded commitments</w:t>
            </w:r>
          </w:p>
        </w:tc>
        <w:tc>
          <w:tcPr>
            <w:tcW w:w="800" w:type="dxa"/>
            <w:vAlign w:val="bottom"/>
          </w:tcPr>
          <w:p>
            <w:pPr>
              <w:jc w:val="right"/>
              <w:spacing w:after="0"/>
              <w:rPr>
                <w:sz w:val="20"/>
                <w:szCs w:val="20"/>
                <w:color w:val="auto"/>
              </w:rPr>
            </w:pPr>
            <w:r>
              <w:rPr>
                <w:rFonts w:ascii="Arial" w:cs="Arial" w:eastAsia="Arial" w:hAnsi="Arial"/>
                <w:sz w:val="18"/>
                <w:szCs w:val="18"/>
                <w:color w:val="auto"/>
              </w:rPr>
              <w:t>75,875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45,875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$ 271,500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$ 60,839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$ 189,267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$ 21,394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June 30, 2020, we had such unfunded commitments of $75.9 million. This includes no undrawn revolver commitments. These commitments are subject to the same underwriting and ongoing portfolio maintenance requirements as are the financial instruments that we hold on our balance sheet. In addition, these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June 30, 2020, we reasonably believed that our assets would provide adequate financial resources to satisfy all of our unfunded commitments.</w:t>
      </w:r>
    </w:p>
    <w:p>
      <w:pPr>
        <w:spacing w:after="0" w:line="17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addition to the Key Facility and the NYL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income derived from certain publicly traded partnerships,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81"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82"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6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June 30, 2020 and 2019, the Advisor earned $3.3 million and $2.6 million, respectively, pursuant to the Investment Management Agreement. During the six months ended June 30, 2020 and 2019, the Advisor earned $6.0 million and $4.7 million, respectively, pursuant to the Investment Management Agreement.</w:t>
      </w:r>
    </w:p>
    <w:p>
      <w:pPr>
        <w:spacing w:after="0" w:line="166"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Through March 6, 2019, our Advisor was 60% owned by HTF Holdings LLC, which was wholly-owned by Horizon Technology Finance Principals LLC f/k/a Horizon Technology Finance, LLC (“HTF Principals”). HTF Principals was wholly-owned by Robert D. Pomeroy, Jr. and Gerald A. Michaud. By virtue of their ownership interest in HTF Principals, our Chief Executive Officer, Robert D. Pomeroy, Jr. and our President, Gerald A. Michaud controlled our Advisor. Effective as of March 7, 2019, HTF Principals owns seventy-five percent (75%) of the Advisor. By virtue of their ownership interest in Horizon Principals, our Chief Executive Officer, Robert D. Pomeroy, Jr. and our President, Gerald A. Michaud control our Advisor.</w:t>
      </w:r>
    </w:p>
    <w:p>
      <w:pPr>
        <w:spacing w:after="0" w:line="19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June 30, 2020 and 2019, the Advisor earned $0.3 million and $0.2 million, respectively, pursuant to the Administration Agreement. During the six months ended June 30, 2020 and 2019, the Advisor earned $0.5 million and $0.4 million, respectively, pursuant to the Administration Agreement.</w:t>
      </w:r>
    </w:p>
    <w:p>
      <w:pPr>
        <w:spacing w:after="0" w:line="181"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predecessor of the Advisor has granted the Company a non-exclusive, royalty-free license to use the name “Horizon Technology Finance.”</w:t>
      </w:r>
    </w:p>
    <w:p>
      <w:pPr>
        <w:spacing w:after="0" w:line="170"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97"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104" w:lineRule="exact"/>
        <w:rPr>
          <w:sz w:val="20"/>
          <w:szCs w:val="20"/>
          <w:color w:val="auto"/>
        </w:rPr>
      </w:pPr>
    </w:p>
    <w:p>
      <w:pPr>
        <w:ind w:left="1340" w:right="119" w:hanging="971"/>
        <w:spacing w:after="0" w:line="259" w:lineRule="auto"/>
        <w:tabs>
          <w:tab w:leader="none" w:pos="13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ind w:left="1340" w:right="99" w:hanging="971"/>
        <w:spacing w:after="0" w:line="257" w:lineRule="auto"/>
        <w:tabs>
          <w:tab w:leader="none" w:pos="13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and six months ended June 30, 2020, we recognized as interest income interest payments of $0.03 million received from one portfolio company whose debt investment was on non-accrual status. For the three and six months ended June 30, 2019, we did not recognize any interest income from debt investments on non-accrual status.</w:t>
      </w:r>
    </w:p>
    <w:p>
      <w:pPr>
        <w:spacing w:after="0" w:line="185"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78"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Distributions from HSLFI are evaluated at the time of distribution to determine if the distribution should be recorded as dividend income or a return of capital. Generally, we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period January 1, 2020 through April 21, 2020, there were no distributions from HSLFI. For the three and six months ended June 30, 2019, HSLFI distributed $0.3 million and $0.5 million, respectively, classified as dividend income to us.</w:t>
      </w:r>
    </w:p>
    <w:p>
      <w:pPr>
        <w:spacing w:after="0" w:line="16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7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57"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 modified by ASC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 </w:t>
      </w:r>
      <w:r>
        <w:rPr>
          <w:rFonts w:ascii="Arial" w:cs="Arial" w:eastAsia="Arial" w:hAnsi="Arial"/>
          <w:sz w:val="16"/>
          <w:szCs w:val="16"/>
          <w:i w:val="1"/>
          <w:iCs w:val="1"/>
          <w:color w:val="auto"/>
        </w:rPr>
        <w:t>Investment Companies</w:t>
      </w:r>
      <w:r>
        <w:rPr>
          <w:rFonts w:ascii="Arial" w:cs="Arial" w:eastAsia="Arial" w:hAnsi="Arial"/>
          <w:sz w:val="16"/>
          <w:szCs w:val="16"/>
          <w:color w:val="auto"/>
        </w:rPr>
        <w:t>. Tax benefits of positions not deemed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meet the more-likely-than-not threshold, or uncertain tax positions, are recorded as a tax expense in the current year. It is our policy to recognize accrued interest and penalties related to uncertain tax benefits in income tax expense. We had no material uncertain tax positions at June 30, 2020 and December 31,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March 2020, the Financial Accounting Standards Board issued Accounting Standards Update No. 2020-04, Reference Rate Reform (Topic 848): Facilitation of the Effects of Reference Rate Reform on Financial Reporting, or ASU 2020-04. ASU 2020-04 provides optional expedients and exceptions for applying GAAP to contract modifications and hedging relationships, subject to meeting certain criteria, that reference LIBOR or another rate that is expected to be discontinued. The amendments in ASU 2020-04 are effective for all entities as of March 12, 2020 through December 31, 2022. We are currently assessing the impact of ASU 2020-04 and the LIBOR transition on our consolidated financial statements.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June 30, 2020 and December 31, 2019, 100% and 99%, respectively, of the outstanding principal amount of our debt investments bore interest at floating rates. The initial commitments to lend to our portfolio companies are usually based on a floating LIBOR index.</w:t>
      </w:r>
    </w:p>
    <w:p>
      <w:pPr>
        <w:spacing w:after="0" w:line="16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Based on our June 30, 2020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June 30, 2020, the following table shows the annual impact on the change in net assets resulting from operations of changes in interest rates, which assumes no changes in our investments and borrowings: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Change in basis points</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Income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w w:val="92"/>
              </w:rPr>
              <w:t>Assets</w:t>
            </w:r>
            <w:r>
              <w:rPr>
                <w:rFonts w:ascii="Arial" w:cs="Arial" w:eastAsia="Arial" w:hAnsi="Arial"/>
                <w:sz w:val="10"/>
                <w:szCs w:val="10"/>
                <w:b w:val="1"/>
                <w:bCs w:val="1"/>
                <w:color w:val="auto"/>
                <w:w w:val="92"/>
              </w:rPr>
              <w:t>(1)</w:t>
            </w:r>
          </w:p>
        </w:tc>
        <w:tc>
          <w:tcPr>
            <w:tcW w:w="0" w:type="dxa"/>
            <w:vAlign w:val="bottom"/>
          </w:tcPr>
          <w:p>
            <w:pPr>
              <w:spacing w:after="0"/>
              <w:rPr>
                <w:sz w:val="1"/>
                <w:szCs w:val="1"/>
                <w:color w:val="auto"/>
              </w:rPr>
            </w:pPr>
          </w:p>
        </w:tc>
      </w:tr>
      <w:tr>
        <w:trPr>
          <w:trHeight w:val="142"/>
        </w:trPr>
        <w:tc>
          <w:tcPr>
            <w:tcW w:w="5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Up 200 basis points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1,166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Down 300 basis points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Down 100 basis points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While our 2022 Notes and our Asset-Backed Notes bear interest at a fixed rate, our Key Facility and our NYL Facility have a floating interest rate provision. The Key Facility is subject to a floor of 1.00% per annum, based on a LIBOR index which resets monthly and the NYL Facility is based on the three year USD mid-market swap rate plus a margin of between 3.55% and 5.15% with an interest rate floor, depending on the rating of such notes at the time of issuance.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 Engaging in commodity interest transactions such as swap transactions or futures contracts for the Company may cause the Investment Adviser to fall within the definition of “commodity pool operator” under the Commodity Exchange Act (the “CEA”) and related Commodity Futures Trading Commission (the “CFTC”) regulations. On January 31, 2020, the Investment Adviser claimed an exclusion from the definition of the term “commodity pool operator” under the CEA and the CFTC regulations in connection with its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management of the Company and, therefore, is not subject to CFTC registration or regulation under the CEA as a commodity pool operator with respect to its management of the Company.</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of June 30, 2020,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Neither we nor our Advisor is currently subject to any material legal proceedings, nor, to our knowledge, is any material legal proceeding threatened against us or against our Advisor.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to other information set forth in this report, you should carefully consider the factors set forth below and in “Item 1A Risk Factors” in our annual report on Form 10-K for the year ended December 31, 2019, which could materially affect our business, financial condition and/or operating results. Additional risks and uncertainties not currently known to us or that we currently deem to be immaterial also may materially affect our business, financial condition and/or operating results. There have been no material changes during the six months ended June 30, 2020 to the risk factors set forth in “Item 1A. Risk Factors” of our annual report on Form 10-K for the year ended December 31, 2019, except as set forth below.</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COVID-19 pandemic could materially and adversely affect our portfolio companies and the results of our operations.</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 late 2019 and early 2020, a novel coronavirus (SARS-CoV-2) and related respiratory disease (COVID 19) emerged in China and spread rapidly to across the world, including to the United States. This outbreak has led, and for an unknown period of time, will continue to lead to disruptions in local, regional, national and global markets and economies affected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thereby. With respect to the U.S. credit markets (in particular for middle market loans), this outbreak has resulted in, and until fully resolved is likely to continue to result in, the following, among other things: (i)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 This outbreak is having, and any future outbreaks could have, an adverse impact on our portfolio companies and us and on the markets and the economy in general, and that impact could be material.</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Further, from an operational perspective, the Advisor’s investment professionals are currently working remotely. An extended period of remote work arrangements could strain our business continuity plans, introduce operational risk, including but not limited to cybersecurity risks, and impair our ability to manage our business. In addition, we are highly dependent on third party services providers for certain communication and information systems. As a result, we rely upon the successful implementation and execution of the business continuity planning of such providers in the current environment. If one or more of these third parties to whom we outsource certain critical business activities experience operational failures as a result of the impacts from the spread of COVID-19, or claim that they cannot perform due to a force majeure, it may have a material adverse effect on our business, financial condition, results of operations, liquidity and cash flows.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U.S. capital markets have experienced extreme volatility and disruption following the spread of COVID-19 in the United States.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Terrorist attacks, acts of war, natural disasters, disease outbreaks or pandemics may impact our portfolio companies and harm our business, operating results and financial condition.</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Terrorist acts, acts of war, natural disasters, disease outbreaks, pandemics, or other similar events may disrupt our operations, as well as the operations of our portfolio companies. Such acts have created, and continue to create, economic and political uncertainties and have contributed to recent global economic instability. Future terrorist activities, military or security operations, natural disasters, disease outbreaks, pandemics, or other similar events could further weaken the domestic/global economies and create additional uncertainties, which may negatively impact our portfolio companies and, in turn, could have a material adverse impact on our business, operating results, and financial condition. Losses from terrorist attacks and natural disasters are generally uninsurable.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60"/>
        <w:spacing w:after="0"/>
        <w:tabs>
          <w:tab w:leader="none" w:pos="45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2" w:lineRule="exact"/>
        <w:rPr>
          <w:sz w:val="20"/>
          <w:szCs w:val="20"/>
          <w:color w:val="auto"/>
        </w:rPr>
      </w:pPr>
    </w:p>
    <w:p>
      <w:pPr>
        <w:ind w:left="1060" w:right="239" w:hanging="802"/>
        <w:spacing w:after="0" w:line="258"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71">
        <w:r>
          <w:rPr>
            <w:rFonts w:ascii="Arial" w:cs="Arial" w:eastAsia="Arial" w:hAnsi="Arial"/>
            <w:sz w:val="18"/>
            <w:szCs w:val="18"/>
            <w:u w:val="single" w:color="auto"/>
            <w:color w:val="0000EE"/>
          </w:rPr>
          <w:t>Certifications by Chief Executive Officer pursuant to Exchange Act Rule 13a-14(a), as adopted pursuant to</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Section 302 of the Sarbanes-Oxley Act of 2002,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-281305</wp:posOffset>
            </wp:positionV>
            <wp:extent cx="56489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1060" w:right="299" w:hanging="802"/>
        <w:spacing w:after="0" w:line="250"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72">
        <w:r>
          <w:rPr>
            <w:rFonts w:ascii="Arial" w:cs="Arial" w:eastAsia="Arial" w:hAnsi="Arial"/>
            <w:sz w:val="18"/>
            <w:szCs w:val="18"/>
            <w:u w:val="single" w:color="auto"/>
            <w:color w:val="0000EE"/>
          </w:rPr>
          <w:t>Certifications by Chief Financial Officer pursuant to Exchange Act Rule 13a-14(a), as adopted pursuant to</w:t>
        </w:r>
      </w:hyperlink>
      <w:r>
        <w:rPr>
          <w:rFonts w:ascii="Arial" w:cs="Arial" w:eastAsia="Arial" w:hAnsi="Arial"/>
          <w:sz w:val="18"/>
          <w:szCs w:val="18"/>
          <w:u w:val="single" w:color="auto"/>
          <w:color w:val="0000EE"/>
        </w:rPr>
        <w:t xml:space="preserve"> </w:t>
      </w:r>
      <w:hyperlink w:anchor="page72">
        <w:r>
          <w:rPr>
            <w:rFonts w:ascii="Arial" w:cs="Arial" w:eastAsia="Arial" w:hAnsi="Arial"/>
            <w:sz w:val="18"/>
            <w:szCs w:val="18"/>
            <w:u w:val="single" w:color="auto"/>
            <w:color w:val="0000EE"/>
          </w:rPr>
          <w:t>Section 302 of the Sarbanes-Oxley Act of 2002, as amended</w:t>
        </w:r>
      </w:hyperlink>
    </w:p>
    <w:p>
      <w:pPr>
        <w:spacing w:after="0" w:line="1" w:lineRule="exact"/>
        <w:rPr>
          <w:sz w:val="20"/>
          <w:szCs w:val="20"/>
          <w:color w:val="auto"/>
        </w:rPr>
      </w:pPr>
    </w:p>
    <w:p>
      <w:pPr>
        <w:ind w:left="1060" w:right="519" w:hanging="802"/>
        <w:spacing w:after="0" w:line="250"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73">
        <w:r>
          <w:rPr>
            <w:rFonts w:ascii="Arial" w:cs="Arial" w:eastAsia="Arial" w:hAnsi="Arial"/>
            <w:sz w:val="18"/>
            <w:szCs w:val="18"/>
            <w:u w:val="single" w:color="auto"/>
            <w:color w:val="0000EE"/>
          </w:rPr>
          <w:t>Certification of the Chief Executive Officer pursuant to 18 U.S.C. Section 1350, as adopted pursuant to</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Section 906 of the Sarbanes-Oxley Act of 2002, as amended</w:t>
        </w:r>
      </w:hyperlink>
    </w:p>
    <w:p>
      <w:pPr>
        <w:spacing w:after="0" w:line="1" w:lineRule="exact"/>
        <w:rPr>
          <w:sz w:val="20"/>
          <w:szCs w:val="20"/>
          <w:color w:val="auto"/>
        </w:rPr>
      </w:pPr>
    </w:p>
    <w:p>
      <w:pPr>
        <w:ind w:left="1060" w:right="559" w:hanging="802"/>
        <w:spacing w:after="0" w:line="260"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74">
        <w:r>
          <w:rPr>
            <w:rFonts w:ascii="Arial" w:cs="Arial" w:eastAsia="Arial" w:hAnsi="Arial"/>
            <w:sz w:val="18"/>
            <w:szCs w:val="18"/>
            <w:u w:val="single" w:color="auto"/>
            <w:color w:val="0000EE"/>
          </w:rPr>
          <w:t>Certification of the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74">
        <w:r>
          <w:rPr>
            <w:rFonts w:ascii="Arial" w:cs="Arial" w:eastAsia="Arial" w:hAnsi="Arial"/>
            <w:sz w:val="18"/>
            <w:szCs w:val="18"/>
            <w:u w:val="single" w:color="auto"/>
            <w:color w:val="0000EE"/>
          </w:rPr>
          <w:t>Section 906 of the Sarbanes-Oxley Act of 2002,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66675</wp:posOffset>
            </wp:positionV>
            <wp:extent cx="141414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2"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Quarterly Report on Form 10-Q to be signed on its behalf by the undersigned, thereunto duly authorized.</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p>
        </w:tc>
        <w:tc>
          <w:tcPr>
            <w:tcW w:w="6020" w:type="dxa"/>
            <w:vAlign w:val="bottom"/>
            <w:gridSpan w:val="2"/>
          </w:tcPr>
          <w:p>
            <w:pPr>
              <w:ind w:left="1540"/>
              <w:spacing w:after="0"/>
              <w:rPr>
                <w:sz w:val="20"/>
                <w:szCs w:val="20"/>
                <w:color w:val="auto"/>
              </w:rPr>
            </w:pPr>
            <w:r>
              <w:rPr>
                <w:rFonts w:ascii="Arial" w:cs="Arial" w:eastAsia="Arial" w:hAnsi="Arial"/>
                <w:sz w:val="18"/>
                <w:szCs w:val="18"/>
                <w:color w:val="auto"/>
              </w:rPr>
              <w:t>HORIZON TECHNOLOGY FINANCE CORPORATION</w:t>
            </w:r>
          </w:p>
        </w:tc>
      </w:tr>
      <w:tr>
        <w:trPr>
          <w:trHeight w:val="432"/>
        </w:trPr>
        <w:tc>
          <w:tcPr>
            <w:tcW w:w="2900" w:type="dxa"/>
            <w:vAlign w:val="bottom"/>
          </w:tcPr>
          <w:p>
            <w:pPr>
              <w:ind w:left="20"/>
              <w:spacing w:after="0"/>
              <w:rPr>
                <w:sz w:val="20"/>
                <w:szCs w:val="20"/>
                <w:color w:val="auto"/>
              </w:rPr>
            </w:pPr>
            <w:r>
              <w:rPr>
                <w:rFonts w:ascii="Arial" w:cs="Arial" w:eastAsia="Arial" w:hAnsi="Arial"/>
                <w:sz w:val="18"/>
                <w:szCs w:val="18"/>
                <w:color w:val="auto"/>
              </w:rPr>
              <w:t>Date: July 28, 2020</w:t>
            </w:r>
          </w:p>
        </w:tc>
        <w:tc>
          <w:tcPr>
            <w:tcW w:w="2040" w:type="dxa"/>
            <w:vAlign w:val="bottom"/>
          </w:tcPr>
          <w:p>
            <w:pPr>
              <w:ind w:left="15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r>
      <w:tr>
        <w:trPr>
          <w:trHeight w:val="195"/>
        </w:trPr>
        <w:tc>
          <w:tcPr>
            <w:tcW w:w="2900" w:type="dxa"/>
            <w:vAlign w:val="bottom"/>
          </w:tcPr>
          <w:p>
            <w:pPr>
              <w:spacing w:after="0"/>
              <w:rPr>
                <w:sz w:val="16"/>
                <w:szCs w:val="16"/>
                <w:color w:val="auto"/>
              </w:rPr>
            </w:pPr>
          </w:p>
        </w:tc>
        <w:tc>
          <w:tcPr>
            <w:tcW w:w="2040" w:type="dxa"/>
            <w:vAlign w:val="bottom"/>
          </w:tcPr>
          <w:p>
            <w:pPr>
              <w:ind w:left="1540"/>
              <w:spacing w:after="0" w:line="195" w:lineRule="exact"/>
              <w:rPr>
                <w:sz w:val="20"/>
                <w:szCs w:val="20"/>
                <w:color w:val="auto"/>
              </w:rPr>
            </w:pPr>
            <w:r>
              <w:rPr>
                <w:rFonts w:ascii="Arial" w:cs="Arial" w:eastAsia="Arial" w:hAnsi="Arial"/>
                <w:sz w:val="18"/>
                <w:szCs w:val="18"/>
                <w:color w:val="auto"/>
                <w:w w:val="90"/>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Robert D. Pomeroy, Jr.</w:t>
            </w:r>
          </w:p>
        </w:tc>
      </w:tr>
      <w:tr>
        <w:trPr>
          <w:trHeight w:val="216"/>
        </w:trPr>
        <w:tc>
          <w:tcPr>
            <w:tcW w:w="2900" w:type="dxa"/>
            <w:vAlign w:val="bottom"/>
          </w:tcPr>
          <w:p>
            <w:pPr>
              <w:spacing w:after="0"/>
              <w:rPr>
                <w:sz w:val="18"/>
                <w:szCs w:val="18"/>
                <w:color w:val="auto"/>
              </w:rPr>
            </w:pPr>
          </w:p>
        </w:tc>
        <w:tc>
          <w:tcPr>
            <w:tcW w:w="2040" w:type="dxa"/>
            <w:vAlign w:val="bottom"/>
          </w:tcPr>
          <w:p>
            <w:pPr>
              <w:ind w:left="15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7"/>
              </w:rPr>
              <w:t>Chief Executive Officer and Chairman of the Board</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Date: July 28, 2020</w:t>
            </w:r>
          </w:p>
        </w:tc>
        <w:tc>
          <w:tcPr>
            <w:tcW w:w="2040" w:type="dxa"/>
            <w:vAlign w:val="bottom"/>
          </w:tcPr>
          <w:p>
            <w:pPr>
              <w:ind w:left="15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Trolio</w:t>
            </w:r>
          </w:p>
        </w:tc>
      </w:tr>
      <w:tr>
        <w:trPr>
          <w:trHeight w:val="195"/>
        </w:trPr>
        <w:tc>
          <w:tcPr>
            <w:tcW w:w="2900" w:type="dxa"/>
            <w:vAlign w:val="bottom"/>
          </w:tcPr>
          <w:p>
            <w:pPr>
              <w:spacing w:after="0"/>
              <w:rPr>
                <w:sz w:val="16"/>
                <w:szCs w:val="16"/>
                <w:color w:val="auto"/>
              </w:rPr>
            </w:pPr>
          </w:p>
        </w:tc>
        <w:tc>
          <w:tcPr>
            <w:tcW w:w="2040" w:type="dxa"/>
            <w:vAlign w:val="bottom"/>
          </w:tcPr>
          <w:p>
            <w:pPr>
              <w:ind w:left="1540"/>
              <w:spacing w:after="0" w:line="195" w:lineRule="exact"/>
              <w:rPr>
                <w:sz w:val="20"/>
                <w:szCs w:val="20"/>
                <w:color w:val="auto"/>
              </w:rPr>
            </w:pPr>
            <w:r>
              <w:rPr>
                <w:rFonts w:ascii="Arial" w:cs="Arial" w:eastAsia="Arial" w:hAnsi="Arial"/>
                <w:sz w:val="18"/>
                <w:szCs w:val="18"/>
                <w:color w:val="auto"/>
                <w:w w:val="90"/>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Daniel R. Trolio</w:t>
            </w:r>
          </w:p>
        </w:tc>
      </w:tr>
      <w:tr>
        <w:trPr>
          <w:trHeight w:val="230"/>
        </w:trPr>
        <w:tc>
          <w:tcPr>
            <w:tcW w:w="2900" w:type="dxa"/>
            <w:vAlign w:val="bottom"/>
          </w:tcPr>
          <w:p>
            <w:pPr>
              <w:spacing w:after="0"/>
              <w:rPr>
                <w:sz w:val="20"/>
                <w:szCs w:val="20"/>
                <w:color w:val="auto"/>
              </w:rPr>
            </w:pPr>
          </w:p>
        </w:tc>
        <w:tc>
          <w:tcPr>
            <w:tcW w:w="2040" w:type="dxa"/>
            <w:vAlign w:val="bottom"/>
          </w:tcPr>
          <w:p>
            <w:pPr>
              <w:ind w:left="15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2900" w:type="dxa"/>
            <w:vAlign w:val="bottom"/>
          </w:tcPr>
          <w:p>
            <w:pPr>
              <w:spacing w:after="0"/>
              <w:rPr>
                <w:sz w:val="24"/>
                <w:szCs w:val="24"/>
                <w:color w:val="auto"/>
              </w:rPr>
            </w:pPr>
          </w:p>
        </w:tc>
        <w:tc>
          <w:tcPr>
            <w:tcW w:w="2040" w:type="dxa"/>
            <w:vAlign w:val="bottom"/>
          </w:tcPr>
          <w:p>
            <w:pPr>
              <w:ind w:left="1480"/>
              <w:spacing w:after="0"/>
              <w:rPr>
                <w:sz w:val="20"/>
                <w:szCs w:val="20"/>
                <w:color w:val="auto"/>
              </w:rPr>
            </w:pPr>
            <w:r>
              <w:rPr>
                <w:rFonts w:ascii="Arial" w:cs="Arial" w:eastAsia="Arial" w:hAnsi="Arial"/>
                <w:sz w:val="18"/>
                <w:szCs w:val="18"/>
                <w:color w:val="auto"/>
              </w:rPr>
              <w:t>70</w:t>
            </w:r>
          </w:p>
        </w:tc>
        <w:tc>
          <w:tcPr>
            <w:tcW w:w="3980" w:type="dxa"/>
            <w:vAlign w:val="bottom"/>
          </w:tcPr>
          <w:p>
            <w:pPr>
              <w:spacing w:after="0"/>
              <w:rPr>
                <w:sz w:val="24"/>
                <w:szCs w:val="24"/>
                <w:color w:val="auto"/>
              </w:rPr>
            </w:pPr>
          </w:p>
        </w:tc>
      </w:tr>
      <w:tr>
        <w:trPr>
          <w:trHeight w:val="561"/>
        </w:trPr>
        <w:tc>
          <w:tcPr>
            <w:tcW w:w="29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1000" w:right="2460"/>
        <w:spacing w:after="0" w:line="266" w:lineRule="auto"/>
        <w:rPr>
          <w:sz w:val="20"/>
          <w:szCs w:val="20"/>
          <w:color w:val="auto"/>
        </w:rPr>
      </w:pPr>
      <w:r>
        <w:rPr>
          <w:rFonts w:ascii="Arial" w:cs="Arial" w:eastAsia="Arial" w:hAnsi="Arial"/>
          <w:sz w:val="18"/>
          <w:szCs w:val="18"/>
          <w:b w:val="1"/>
          <w:bCs w:val="1"/>
          <w:color w:val="auto"/>
        </w:rPr>
        <w:t>CERTIFICATION PURSUANT TO EXCHANGE ACT RULES 13a-14 AND 15d-14, AS ADOPTED PURSUANT TO SECTION 302 OF THE SARBANES-OXLEY ACT OF 2002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Robert D. Pomeroy, Jr., as Chief Executive Officer and Chairman of the Board of Horizon Technology Finance Corporation, certify that:</w:t>
      </w:r>
    </w:p>
    <w:p>
      <w:pPr>
        <w:spacing w:after="0" w:line="103" w:lineRule="exact"/>
        <w:rPr>
          <w:sz w:val="20"/>
          <w:szCs w:val="20"/>
          <w:color w:val="auto"/>
        </w:rPr>
      </w:pPr>
    </w:p>
    <w:p>
      <w:pPr>
        <w:ind w:left="520" w:hanging="188"/>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144" w:lineRule="exact"/>
        <w:rPr>
          <w:rFonts w:ascii="Arial" w:cs="Arial" w:eastAsia="Arial" w:hAnsi="Arial"/>
          <w:sz w:val="18"/>
          <w:szCs w:val="18"/>
          <w:color w:val="auto"/>
        </w:rPr>
      </w:pPr>
    </w:p>
    <w:p>
      <w:pPr>
        <w:jc w:val="both"/>
        <w:ind w:firstLine="332"/>
        <w:spacing w:after="0" w:line="263" w:lineRule="auto"/>
        <w:tabs>
          <w:tab w:leader="none" w:pos="5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3" w:lineRule="auto"/>
        <w:tabs>
          <w:tab w:leader="none" w:pos="5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sz w:val="20"/>
          <w:szCs w:val="20"/>
          <w:color w:val="auto"/>
        </w:rPr>
      </w:pPr>
    </w:p>
    <w:p>
      <w:pPr>
        <w:jc w:val="both"/>
        <w:ind w:firstLine="332"/>
        <w:spacing w:after="0" w:line="286" w:lineRule="auto"/>
        <w:tabs>
          <w:tab w:leader="none" w:pos="52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jc w:val="both"/>
        <w:ind w:firstLine="332"/>
        <w:spacing w:after="0" w:line="263" w:lineRule="auto"/>
        <w:tabs>
          <w:tab w:leader="none" w:pos="5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firstLine="332"/>
        <w:spacing w:after="0" w:line="263" w:lineRule="auto"/>
        <w:tabs>
          <w:tab w:leader="none" w:pos="53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jc w:val="both"/>
        <w:ind w:firstLine="332"/>
        <w:spacing w:after="0" w:line="263" w:lineRule="auto"/>
        <w:tabs>
          <w:tab w:leader="none" w:pos="52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sz w:val="20"/>
          <w:szCs w:val="20"/>
          <w:color w:val="auto"/>
        </w:rPr>
      </w:pPr>
    </w:p>
    <w:p>
      <w:pPr>
        <w:jc w:val="both"/>
        <w:ind w:firstLine="332"/>
        <w:spacing w:after="0" w:line="263" w:lineRule="auto"/>
        <w:tabs>
          <w:tab w:leader="none" w:pos="5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sz w:val="20"/>
          <w:szCs w:val="20"/>
          <w:color w:val="auto"/>
        </w:rPr>
      </w:pPr>
    </w:p>
    <w:p>
      <w:pPr>
        <w:ind w:firstLine="332"/>
        <w:spacing w:after="0" w:line="342" w:lineRule="auto"/>
        <w:tabs>
          <w:tab w:leader="none" w:pos="51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firstLine="332"/>
        <w:spacing w:after="0" w:line="277" w:lineRule="auto"/>
        <w:tabs>
          <w:tab w:leader="none" w:pos="52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2020</w:t>
      </w:r>
    </w:p>
    <w:p>
      <w:pPr>
        <w:spacing w:after="0" w:line="225"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tab/>
        <w:t>/s/ Robert D. Pomeroy, Jr.</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-127635</wp:posOffset>
            </wp:positionV>
            <wp:extent cx="30943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left="1000" w:right="2460"/>
        <w:spacing w:after="0" w:line="255" w:lineRule="auto"/>
        <w:rPr>
          <w:sz w:val="20"/>
          <w:szCs w:val="20"/>
          <w:color w:val="auto"/>
        </w:rPr>
      </w:pPr>
      <w:r>
        <w:rPr>
          <w:rFonts w:ascii="Arial" w:cs="Arial" w:eastAsia="Arial" w:hAnsi="Arial"/>
          <w:sz w:val="18"/>
          <w:szCs w:val="18"/>
          <w:b w:val="1"/>
          <w:bCs w:val="1"/>
          <w:color w:val="auto"/>
        </w:rPr>
        <w:t>CERTIFICATION PURSUANT TO EXCHANGE ACT RULES 13a-14 AND 15d-14, AS ADOPTED PURSUANT TO SECTION 302 OF THE SARBANES-OXLEY ACT OF 2002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as Chief Financial Officer of Horizon Technology Finance Corporation, certify that:</w:t>
      </w:r>
    </w:p>
    <w:p>
      <w:pPr>
        <w:spacing w:after="0" w:line="185" w:lineRule="exact"/>
        <w:rPr>
          <w:sz w:val="20"/>
          <w:szCs w:val="20"/>
          <w:color w:val="auto"/>
        </w:rPr>
      </w:pPr>
    </w:p>
    <w:p>
      <w:pPr>
        <w:ind w:left="520" w:hanging="188"/>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184" w:lineRule="exact"/>
        <w:rPr>
          <w:rFonts w:ascii="Arial" w:cs="Arial" w:eastAsia="Arial" w:hAnsi="Arial"/>
          <w:sz w:val="18"/>
          <w:szCs w:val="18"/>
          <w:color w:val="auto"/>
        </w:rPr>
      </w:pPr>
    </w:p>
    <w:p>
      <w:pPr>
        <w:jc w:val="both"/>
        <w:ind w:firstLine="332"/>
        <w:spacing w:after="0" w:line="263" w:lineRule="auto"/>
        <w:tabs>
          <w:tab w:leader="none" w:pos="5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332"/>
        <w:spacing w:after="0" w:line="263" w:lineRule="auto"/>
        <w:tabs>
          <w:tab w:leader="none" w:pos="5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jc w:val="both"/>
        <w:ind w:firstLine="332"/>
        <w:spacing w:after="0" w:line="286" w:lineRule="auto"/>
        <w:tabs>
          <w:tab w:leader="none" w:pos="52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firstLine="332"/>
        <w:spacing w:after="0" w:line="263" w:lineRule="auto"/>
        <w:tabs>
          <w:tab w:leader="none" w:pos="5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firstLine="332"/>
        <w:spacing w:after="0" w:line="263" w:lineRule="auto"/>
        <w:tabs>
          <w:tab w:leader="none" w:pos="533"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332"/>
        <w:spacing w:after="0" w:line="263" w:lineRule="auto"/>
        <w:tabs>
          <w:tab w:leader="none" w:pos="5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332"/>
        <w:spacing w:after="0" w:line="263" w:lineRule="auto"/>
        <w:tabs>
          <w:tab w:leader="none" w:pos="5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firstLine="332"/>
        <w:spacing w:after="0" w:line="342" w:lineRule="auto"/>
        <w:tabs>
          <w:tab w:leader="none" w:pos="51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firstLine="332"/>
        <w:spacing w:after="0" w:line="277" w:lineRule="auto"/>
        <w:tabs>
          <w:tab w:leader="none" w:pos="52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2020</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R. Trolio</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-127635</wp:posOffset>
            </wp:positionV>
            <wp:extent cx="31457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June 30, 2020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60" w:lineRule="exact"/>
        <w:rPr>
          <w:sz w:val="20"/>
          <w:szCs w:val="20"/>
          <w:color w:val="auto"/>
        </w:rPr>
      </w:pPr>
    </w:p>
    <w:p>
      <w:pPr>
        <w:ind w:left="660" w:right="20" w:hanging="328"/>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line="277" w:lineRule="auto"/>
        <w:tabs>
          <w:tab w:leader="none" w:pos="64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3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31375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 Chairman of the Board</w:t>
      </w: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June 30, 2020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60" w:lineRule="exact"/>
        <w:rPr>
          <w:sz w:val="20"/>
          <w:szCs w:val="20"/>
          <w:color w:val="auto"/>
        </w:rPr>
      </w:pPr>
    </w:p>
    <w:p>
      <w:pPr>
        <w:ind w:left="660" w:right="20" w:hanging="328"/>
        <w:spacing w:after="0" w:line="277"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line="277" w:lineRule="auto"/>
        <w:tabs>
          <w:tab w:leader="none" w:pos="6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R. Trolio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-119380</wp:posOffset>
            </wp:positionV>
            <wp:extent cx="31800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9"/>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lowerLetter"/>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3"/>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6"/>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lvl w:ilvl="1">
      <w:lvlJc w:val="left"/>
      <w:lvlText w:val="(%2)"/>
      <w:numFmt w:val="lowerLetter"/>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lvl w:ilvl="1">
      <w:lvlJc w:val="left"/>
      <w:lvlText w:val="(%2)"/>
      <w:numFmt w:val="lowerLetter"/>
      <w:start w:val="1"/>
    </w:lvl>
  </w:abstractNum>
  <w:abstractNum w:abstractNumId="21">
    <w:nsid w:val="836C40E"/>
    <w:multiLevelType w:val="hybridMultilevel"/>
    <w:lvl w:ilvl="0">
      <w:lvlJc w:val="left"/>
      <w:lvlText w:val="(%1)"/>
      <w:numFmt w:val="decimal"/>
      <w:start w:val="1"/>
    </w:lvl>
    <w:lvl w:ilvl="1">
      <w:lvlJc w:val="left"/>
      <w:lvlText w:val="(%2)"/>
      <w:numFmt w:val="lowerLetter"/>
      <w:start w:val="1"/>
    </w:lvl>
  </w:abstractNum>
  <w:abstractNum w:abstractNumId="22">
    <w:nsid w:val="2901D82"/>
    <w:multiLevelType w:val="hybridMultilevel"/>
    <w:lvl w:ilvl="0">
      <w:lvlJc w:val="left"/>
      <w:lvlText w:val="(%1)"/>
      <w:numFmt w:val="decimal"/>
      <w:start w:val="2"/>
    </w:lvl>
  </w:abstractNum>
  <w:abstractNum w:abstractNumId="23">
    <w:nsid w:val="3A95F874"/>
    <w:multiLevelType w:val="hybridMultilevel"/>
    <w:lvl w:ilvl="0">
      <w:lvlJc w:val="left"/>
      <w:lvlText w:val="(%1)"/>
      <w:numFmt w:val="decimal"/>
      <w:start w:val="2"/>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2020-07-28T15:40:40Z</dcterms:created>
  <dcterms:modified xsi:type="dcterms:W3CDTF">2020-07-28T15:40:40Z</dcterms:modified>
</cp:coreProperties>
</file>