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372110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21" w:lineRule="exact"/>
        <w:rPr>
          <w:sz w:val="24"/>
          <w:szCs w:val="24"/>
          <w:color w:val="auto"/>
        </w:rPr>
      </w:pPr>
    </w:p>
    <w:p>
      <w:pPr>
        <w:ind w:left="3420" w:right="1620" w:hanging="3133"/>
        <w:spacing w:after="0" w:line="501" w:lineRule="auto"/>
        <w:tabs>
          <w:tab w:leader="none" w:pos="652"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SEPTEMBER 30, 2019</w:t>
      </w:r>
    </w:p>
    <w:p>
      <w:pPr>
        <w:ind w:left="590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ind w:left="660" w:hanging="409"/>
        <w:spacing w:after="0"/>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16" w:lineRule="exact"/>
        <w:rPr>
          <w:sz w:val="24"/>
          <w:szCs w:val="24"/>
          <w:color w:val="auto"/>
        </w:rPr>
      </w:pPr>
    </w:p>
    <w:tbl>
      <w:tblPr>
        <w:tblLayout w:type="fixed"/>
        <w:tblInd w:w="3560" w:type="dxa"/>
        <w:tblCellMar>
          <w:top w:w="0" w:type="dxa"/>
          <w:left w:w="0" w:type="dxa"/>
          <w:bottom w:w="0" w:type="dxa"/>
          <w:right w:w="0" w:type="dxa"/>
        </w:tblCellMar>
      </w:tblPr>
      <w:tr>
        <w:trPr>
          <w:trHeight w:val="207"/>
        </w:trPr>
        <w:tc>
          <w:tcPr>
            <w:tcW w:w="3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580" w:type="dxa"/>
            <w:vAlign w:val="bottom"/>
            <w:tcBorders>
              <w:bottom w:val="single" w:sz="8" w:color="auto"/>
            </w:tcBorders>
          </w:tcPr>
          <w:p>
            <w:pPr>
              <w:spacing w:after="0"/>
              <w:rPr>
                <w:sz w:val="17"/>
                <w:szCs w:val="17"/>
                <w:color w:val="auto"/>
              </w:rPr>
            </w:pPr>
          </w:p>
        </w:tc>
        <w:tc>
          <w:tcPr>
            <w:tcW w:w="3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w w:val="92"/>
              </w:rPr>
              <w:t>TO</w:t>
            </w:r>
          </w:p>
        </w:tc>
      </w:tr>
      <w:tr>
        <w:trPr>
          <w:trHeight w:val="453"/>
        </w:trPr>
        <w:tc>
          <w:tcPr>
            <w:tcW w:w="400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COMMISSION FILE NUMBER: 814-00802</w:t>
            </w:r>
          </w:p>
        </w:tc>
        <w:tc>
          <w:tcPr>
            <w:tcW w:w="30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HORIZON TECHNOLOGY FINANCE CORPORATION</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2" w:lineRule="exact"/>
        <w:rPr>
          <w:sz w:val="24"/>
          <w:szCs w:val="24"/>
          <w:color w:val="auto"/>
        </w:rPr>
      </w:pPr>
    </w:p>
    <w:tbl>
      <w:tblPr>
        <w:tblLayout w:type="fixed"/>
        <w:tblInd w:w="620" w:type="dxa"/>
        <w:tblCellMar>
          <w:top w:w="0" w:type="dxa"/>
          <w:left w:w="0" w:type="dxa"/>
          <w:bottom w:w="0" w:type="dxa"/>
          <w:right w:w="0" w:type="dxa"/>
        </w:tblCellMar>
      </w:tblPr>
      <w:tr>
        <w:trPr>
          <w:trHeight w:val="218"/>
        </w:trPr>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DELAWARE</w:t>
            </w:r>
          </w:p>
        </w:tc>
        <w:tc>
          <w:tcPr>
            <w:tcW w:w="4840" w:type="dxa"/>
            <w:vAlign w:val="bottom"/>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27-2114934</w:t>
            </w:r>
          </w:p>
        </w:tc>
      </w:tr>
      <w:tr>
        <w:trPr>
          <w:trHeight w:val="236"/>
        </w:trPr>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(State or other jurisdiction of incorporation or organization)</w:t>
            </w:r>
          </w:p>
        </w:tc>
        <w:tc>
          <w:tcPr>
            <w:tcW w:w="4840" w:type="dxa"/>
            <w:vAlign w:val="bottom"/>
          </w:tcPr>
          <w:p>
            <w:pPr>
              <w:jc w:val="center"/>
              <w:ind w:left="2170"/>
              <w:spacing w:after="0"/>
              <w:rPr>
                <w:sz w:val="20"/>
                <w:szCs w:val="20"/>
                <w:color w:val="auto"/>
              </w:rPr>
            </w:pPr>
            <w:r>
              <w:rPr>
                <w:rFonts w:ascii="Times New Roman" w:cs="Times New Roman" w:eastAsia="Times New Roman" w:hAnsi="Times New Roman"/>
                <w:sz w:val="18"/>
                <w:szCs w:val="18"/>
                <w:i w:val="1"/>
                <w:iCs w:val="1"/>
                <w:color w:val="auto"/>
              </w:rPr>
              <w:t>(I.R.S. Employer Identification No.)</w:t>
            </w:r>
          </w:p>
        </w:tc>
      </w:tr>
      <w:tr>
        <w:trPr>
          <w:trHeight w:val="410"/>
        </w:trPr>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312 Farmington Avenue</w:t>
            </w:r>
          </w:p>
        </w:tc>
        <w:tc>
          <w:tcPr>
            <w:tcW w:w="4840" w:type="dxa"/>
            <w:vAlign w:val="bottom"/>
          </w:tcPr>
          <w:p>
            <w:pPr>
              <w:spacing w:after="0"/>
              <w:rPr>
                <w:sz w:val="24"/>
                <w:szCs w:val="24"/>
                <w:color w:val="auto"/>
              </w:rPr>
            </w:pPr>
          </w:p>
        </w:tc>
      </w:tr>
      <w:tr>
        <w:trPr>
          <w:trHeight w:val="218"/>
        </w:trPr>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Farmington, CT</w:t>
            </w:r>
          </w:p>
        </w:tc>
        <w:tc>
          <w:tcPr>
            <w:tcW w:w="4840" w:type="dxa"/>
            <w:vAlign w:val="bottom"/>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06032</w:t>
            </w:r>
          </w:p>
        </w:tc>
      </w:tr>
      <w:tr>
        <w:trPr>
          <w:trHeight w:val="236"/>
        </w:trPr>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(Address of principal executive offices)</w:t>
            </w:r>
          </w:p>
        </w:tc>
        <w:tc>
          <w:tcPr>
            <w:tcW w:w="4840" w:type="dxa"/>
            <w:vAlign w:val="bottom"/>
          </w:tcPr>
          <w:p>
            <w:pPr>
              <w:jc w:val="center"/>
              <w:ind w:left="2170"/>
              <w:spacing w:after="0"/>
              <w:rPr>
                <w:sz w:val="20"/>
                <w:szCs w:val="20"/>
                <w:color w:val="auto"/>
              </w:rPr>
            </w:pPr>
            <w:r>
              <w:rPr>
                <w:rFonts w:ascii="Times New Roman" w:cs="Times New Roman" w:eastAsia="Times New Roman" w:hAnsi="Times New Roman"/>
                <w:sz w:val="18"/>
                <w:szCs w:val="18"/>
                <w:i w:val="1"/>
                <w:iCs w:val="1"/>
                <w:color w:val="auto"/>
                <w:w w:val="99"/>
              </w:rPr>
              <w:t>(Zip Code)</w:t>
            </w:r>
          </w:p>
        </w:tc>
      </w:tr>
      <w:tr>
        <w:trPr>
          <w:trHeight w:val="432"/>
        </w:trPr>
        <w:tc>
          <w:tcPr>
            <w:tcW w:w="4460" w:type="dxa"/>
            <w:vAlign w:val="bottom"/>
          </w:tcPr>
          <w:p>
            <w:pPr>
              <w:spacing w:after="0"/>
              <w:rPr>
                <w:sz w:val="24"/>
                <w:szCs w:val="24"/>
                <w:color w:val="auto"/>
              </w:rPr>
            </w:pPr>
          </w:p>
        </w:tc>
        <w:tc>
          <w:tcPr>
            <w:tcW w:w="4840" w:type="dxa"/>
            <w:vAlign w:val="bottom"/>
          </w:tcPr>
          <w:p>
            <w:pPr>
              <w:jc w:val="right"/>
              <w:ind w:right="3550"/>
              <w:spacing w:after="0"/>
              <w:rPr>
                <w:sz w:val="20"/>
                <w:szCs w:val="20"/>
                <w:color w:val="auto"/>
              </w:rPr>
            </w:pPr>
            <w:r>
              <w:rPr>
                <w:rFonts w:ascii="Times New Roman" w:cs="Times New Roman" w:eastAsia="Times New Roman" w:hAnsi="Times New Roman"/>
                <w:sz w:val="18"/>
                <w:szCs w:val="18"/>
                <w:b w:val="1"/>
                <w:bCs w:val="1"/>
                <w:color w:val="auto"/>
              </w:rPr>
              <w:t>(860) 676-8654</w:t>
            </w:r>
          </w:p>
        </w:tc>
      </w:tr>
    </w:tbl>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jc w:val="both"/>
        <w:ind w:firstLine="324"/>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9" w:lineRule="exact"/>
        <w:rPr>
          <w:sz w:val="24"/>
          <w:szCs w:val="24"/>
          <w:color w:val="auto"/>
        </w:rPr>
      </w:pPr>
    </w:p>
    <w:p>
      <w:pPr>
        <w:jc w:val="both"/>
        <w:ind w:firstLine="324"/>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9" w:lineRule="exact"/>
        <w:rPr>
          <w:sz w:val="24"/>
          <w:szCs w:val="24"/>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or a non-accelerated filer, smaller reporting company, or an emerging growth company. See the definitions of “large accelerated filer,” “accelerated filer,” “smaller reporting company,” and “emerging growth company” in Rule 12b-2 of the Exchange Act.</w:t>
      </w:r>
    </w:p>
    <w:p>
      <w:pPr>
        <w:spacing w:after="0" w:line="147"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618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29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Accelerated filer</w:t>
            </w:r>
          </w:p>
        </w:tc>
        <w:tc>
          <w:tcPr>
            <w:tcW w:w="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432"/>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618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29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260" w:type="dxa"/>
            <w:vAlign w:val="bottom"/>
          </w:tcPr>
          <w:p>
            <w:pPr>
              <w:ind w:left="10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432"/>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618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2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11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w:t>
            </w:r>
          </w:p>
        </w:tc>
        <w:tc>
          <w:tcPr>
            <w:tcW w:w="260" w:type="dxa"/>
            <w:vAlign w:val="bottom"/>
            <w:vMerge w:val="restart"/>
          </w:tcPr>
          <w:p>
            <w:pPr>
              <w:ind w:left="80"/>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54"/>
        </w:trPr>
        <w:tc>
          <w:tcPr>
            <w:tcW w:w="8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or revised financial accounting standards provided pursuant to Section 13(a) of the Exchange Act</w:t>
            </w:r>
          </w:p>
        </w:tc>
        <w:tc>
          <w:tcPr>
            <w:tcW w:w="2920" w:type="dxa"/>
            <w:vAlign w:val="bottom"/>
          </w:tcPr>
          <w:p>
            <w:pPr>
              <w:spacing w:after="0"/>
              <w:rPr>
                <w:sz w:val="22"/>
                <w:szCs w:val="22"/>
                <w:color w:val="auto"/>
              </w:rPr>
            </w:pPr>
          </w:p>
        </w:tc>
        <w:tc>
          <w:tcPr>
            <w:tcW w:w="2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149" w:lineRule="exact"/>
        <w:rPr>
          <w:sz w:val="24"/>
          <w:szCs w:val="24"/>
          <w:color w:val="auto"/>
        </w:rPr>
      </w:pPr>
    </w:p>
    <w:p>
      <w:pPr>
        <w:ind w:left="34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54" w:lineRule="exact"/>
        <w:rPr>
          <w:sz w:val="24"/>
          <w:szCs w:val="24"/>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number of shares of the registrant’s common stock traded under the symbol “HRZN” on the Nasdaq Global Select Market, $0.001 par value per share, outstanding as of October 29, 2019 was 14,571,322.</w:t>
      </w:r>
    </w:p>
    <w:p>
      <w:pPr>
        <w:spacing w:after="0" w:line="16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7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80" w:type="dxa"/>
            <w:vAlign w:val="bottom"/>
          </w:tcPr>
          <w:p>
            <w:pPr>
              <w:spacing w:after="0"/>
              <w:rPr>
                <w:sz w:val="20"/>
                <w:szCs w:val="20"/>
                <w:color w:val="auto"/>
              </w:rPr>
            </w:pPr>
          </w:p>
        </w:tc>
      </w:tr>
      <w:tr>
        <w:trPr>
          <w:trHeight w:val="432"/>
        </w:trPr>
        <w:tc>
          <w:tcPr>
            <w:tcW w:w="472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0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Ticker symbol(s)</w:t>
            </w:r>
          </w:p>
        </w:tc>
        <w:tc>
          <w:tcPr>
            <w:tcW w:w="4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191"/>
        </w:trPr>
        <w:tc>
          <w:tcPr>
            <w:tcW w:w="43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920" w:type="dxa"/>
            <w:vAlign w:val="bottom"/>
            <w:tcBorders>
              <w:top w:val="single" w:sz="8" w:color="auto"/>
            </w:tcBorders>
          </w:tcPr>
          <w:p>
            <w:pPr>
              <w:jc w:val="center"/>
              <w:ind w:right="150"/>
              <w:spacing w:after="0" w:line="191" w:lineRule="exact"/>
              <w:rPr>
                <w:sz w:val="20"/>
                <w:szCs w:val="20"/>
                <w:color w:val="auto"/>
              </w:rPr>
            </w:pPr>
            <w:r>
              <w:rPr>
                <w:rFonts w:ascii="Times New Roman" w:cs="Times New Roman" w:eastAsia="Times New Roman" w:hAnsi="Times New Roman"/>
                <w:sz w:val="18"/>
                <w:szCs w:val="18"/>
                <w:color w:val="auto"/>
                <w:w w:val="97"/>
              </w:rPr>
              <w:t>HRZN</w:t>
            </w:r>
          </w:p>
        </w:tc>
        <w:tc>
          <w:tcPr>
            <w:tcW w:w="100" w:type="dxa"/>
            <w:vAlign w:val="bottom"/>
          </w:tcPr>
          <w:p>
            <w:pPr>
              <w:spacing w:after="0"/>
              <w:rPr>
                <w:sz w:val="16"/>
                <w:szCs w:val="16"/>
                <w:color w:val="auto"/>
              </w:rPr>
            </w:pPr>
          </w:p>
        </w:tc>
        <w:tc>
          <w:tcPr>
            <w:tcW w:w="46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The Nasdaq Stock Market LLC</w:t>
            </w:r>
          </w:p>
        </w:tc>
      </w:tr>
      <w:tr>
        <w:trPr>
          <w:trHeight w:val="234"/>
        </w:trPr>
        <w:tc>
          <w:tcPr>
            <w:tcW w:w="472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color w:val="auto"/>
                <w:w w:val="99"/>
              </w:rPr>
              <w:t>6.25% Notes due 2022</w:t>
            </w:r>
          </w:p>
        </w:tc>
        <w:tc>
          <w:tcPr>
            <w:tcW w:w="20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3"/>
              </w:rPr>
              <w:t>HTFA</w:t>
            </w:r>
          </w:p>
        </w:tc>
        <w:tc>
          <w:tcPr>
            <w:tcW w:w="4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New York Stock Exchange</w:t>
            </w:r>
          </w:p>
        </w:tc>
      </w:tr>
      <w:tr>
        <w:trPr>
          <w:trHeight w:val="277"/>
        </w:trPr>
        <w:tc>
          <w:tcPr>
            <w:tcW w:w="4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r>
      <w:tr>
        <w:trPr>
          <w:trHeight w:val="68"/>
        </w:trPr>
        <w:tc>
          <w:tcPr>
            <w:tcW w:w="436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240" w:type="dxa"/>
            <w:vAlign w:val="bottom"/>
            <w:shd w:val="clear" w:color="auto" w:fill="000000"/>
          </w:tcPr>
          <w:p>
            <w:pPr>
              <w:spacing w:after="0"/>
              <w:rPr>
                <w:sz w:val="5"/>
                <w:szCs w:val="5"/>
                <w:color w:val="auto"/>
              </w:rPr>
            </w:pPr>
          </w:p>
        </w:tc>
        <w:tc>
          <w:tcPr>
            <w:tcW w:w="192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4680" w:type="dxa"/>
            <w:vAlign w:val="bottom"/>
            <w:shd w:val="clear" w:color="auto" w:fill="000000"/>
          </w:tcPr>
          <w:p>
            <w:pPr>
              <w:spacing w:after="0"/>
              <w:rPr>
                <w:sz w:val="5"/>
                <w:szCs w:val="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4" w:right="239" w:bottom="292"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500" w:type="dxa"/>
            <w:vAlign w:val="bottom"/>
            <w:gridSpan w:val="14"/>
          </w:tcPr>
          <w:p>
            <w:pPr>
              <w:jc w:val="center"/>
              <w:ind w:right="2640"/>
              <w:spacing w:after="0"/>
              <w:rPr>
                <w:sz w:val="20"/>
                <w:szCs w:val="20"/>
                <w:color w:val="auto"/>
              </w:rPr>
            </w:pPr>
            <w:r>
              <w:rPr>
                <w:rFonts w:ascii="Times New Roman" w:cs="Times New Roman" w:eastAsia="Times New Roman" w:hAnsi="Times New Roman"/>
                <w:sz w:val="18"/>
                <w:szCs w:val="18"/>
                <w:b w:val="1"/>
                <w:bCs w:val="1"/>
                <w:color w:val="auto"/>
                <w:w w:val="99"/>
              </w:rPr>
              <w:t>HORIZON TECHNOLOGY FINANCE CORPORATION</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40" w:type="dxa"/>
            <w:vAlign w:val="bottom"/>
            <w:gridSpan w:val="11"/>
          </w:tcPr>
          <w:p>
            <w:pPr>
              <w:jc w:val="center"/>
              <w:ind w:right="4500"/>
              <w:spacing w:after="0"/>
              <w:rPr>
                <w:sz w:val="20"/>
                <w:szCs w:val="20"/>
                <w:color w:val="auto"/>
              </w:rPr>
            </w:pPr>
            <w:r>
              <w:rPr>
                <w:rFonts w:ascii="Times New Roman" w:cs="Times New Roman" w:eastAsia="Times New Roman" w:hAnsi="Times New Roman"/>
                <w:sz w:val="18"/>
                <w:szCs w:val="18"/>
                <w:b w:val="1"/>
                <w:bCs w:val="1"/>
                <w:color w:val="auto"/>
              </w:rPr>
              <w:t>FORM 10-Q</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500" w:type="dxa"/>
            <w:vAlign w:val="bottom"/>
            <w:gridSpan w:val="14"/>
          </w:tcPr>
          <w:p>
            <w:pPr>
              <w:jc w:val="center"/>
              <w:ind w:right="262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80" w:type="dxa"/>
            <w:vAlign w:val="bottom"/>
            <w:gridSpan w:val="9"/>
            <w:vMerge w:val="restart"/>
          </w:tcPr>
          <w:p>
            <w:pPr>
              <w:jc w:val="center"/>
              <w:ind w:right="4700"/>
              <w:spacing w:after="0"/>
              <w:rPr>
                <w:rFonts w:ascii="Times New Roman" w:cs="Times New Roman" w:eastAsia="Times New Roman" w:hAnsi="Times New Roman"/>
                <w:sz w:val="18"/>
                <w:szCs w:val="18"/>
                <w:b w:val="1"/>
                <w:bCs w:val="1"/>
                <w:color w:val="0000EE"/>
                <w:w w:val="95"/>
              </w:rPr>
            </w:pPr>
            <w:hyperlink w:anchor="page3">
              <w:r>
                <w:rPr>
                  <w:rFonts w:ascii="Times New Roman" w:cs="Times New Roman" w:eastAsia="Times New Roman" w:hAnsi="Times New Roman"/>
                  <w:sz w:val="18"/>
                  <w:szCs w:val="18"/>
                  <w:b w:val="1"/>
                  <w:bCs w:val="1"/>
                  <w:color w:val="0000EE"/>
                  <w:w w:val="95"/>
                </w:rPr>
                <w:t>PART I</w:t>
              </w:r>
            </w:hyperlink>
          </w:p>
        </w:tc>
        <w:tc>
          <w:tcPr>
            <w:tcW w:w="640" w:type="dxa"/>
            <w:vAlign w:val="bottom"/>
            <w:tcBorders>
              <w:bottom w:val="single" w:sz="8" w:color="auto"/>
            </w:tcBorders>
            <w:gridSpan w:val="4"/>
          </w:tcPr>
          <w:p>
            <w:pPr>
              <w:ind w:left="14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80" w:type="dxa"/>
            <w:vAlign w:val="bottom"/>
            <w:gridSpan w:val="9"/>
            <w:vMerge w:val="continue"/>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620" w:type="dxa"/>
            <w:vAlign w:val="bottom"/>
            <w:gridSpan w:val="3"/>
            <w:shd w:val="clear" w:color="auto" w:fill="CCEEFF"/>
          </w:tcPr>
          <w:p>
            <w:pPr>
              <w:spacing w:after="0" w:line="176"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Item 1.</w:t>
              </w:r>
            </w:hyperlink>
          </w:p>
        </w:tc>
        <w:tc>
          <w:tcPr>
            <w:tcW w:w="10140" w:type="dxa"/>
            <w:vAlign w:val="bottom"/>
            <w:gridSpan w:val="23"/>
            <w:shd w:val="clear" w:color="auto" w:fill="CCEEFF"/>
          </w:tcPr>
          <w:p>
            <w:pPr>
              <w:ind w:left="140"/>
              <w:spacing w:after="0" w:line="176"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Consolidated Financial Statements</w:t>
              </w:r>
            </w:hyperlink>
          </w:p>
        </w:tc>
        <w:tc>
          <w:tcPr>
            <w:tcW w:w="420" w:type="dxa"/>
            <w:vAlign w:val="bottom"/>
            <w:gridSpan w:val="3"/>
            <w:shd w:val="clear" w:color="auto" w:fill="CCEEFF"/>
          </w:tcPr>
          <w:p>
            <w:pPr>
              <w:ind w:left="240"/>
              <w:spacing w:after="0" w:line="176"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3</w:t>
              </w:r>
            </w:hyperlink>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7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140" w:type="dxa"/>
            <w:vAlign w:val="bottom"/>
            <w:gridSpan w:val="23"/>
            <w:shd w:val="clear" w:color="auto" w:fill="CCEEFF"/>
          </w:tcPr>
          <w:p>
            <w:pPr>
              <w:ind w:left="140"/>
              <w:spacing w:after="0" w:line="176"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Consolidated Statements of Assets and Liabilities as of September 30, 2019 (unaudited) and December 31, 2018</w:t>
              </w:r>
            </w:hyperlink>
          </w:p>
        </w:tc>
        <w:tc>
          <w:tcPr>
            <w:tcW w:w="420" w:type="dxa"/>
            <w:vAlign w:val="bottom"/>
            <w:gridSpan w:val="3"/>
            <w:shd w:val="clear" w:color="auto" w:fill="CCEEFF"/>
          </w:tcPr>
          <w:p>
            <w:pPr>
              <w:ind w:left="240"/>
              <w:spacing w:after="0" w:line="176"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3</w:t>
              </w:r>
            </w:hyperlink>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7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140" w:type="dxa"/>
            <w:vAlign w:val="bottom"/>
            <w:tcBorders>
              <w:top w:val="single" w:sz="8" w:color="0000EE"/>
            </w:tcBorders>
            <w:shd w:val="clear" w:color="auto" w:fill="CCEEFF"/>
          </w:tcPr>
          <w:p>
            <w:pPr>
              <w:spacing w:after="0" w:line="20" w:lineRule="exact"/>
              <w:rPr>
                <w:sz w:val="1"/>
                <w:szCs w:val="1"/>
                <w:color w:val="auto"/>
              </w:rPr>
            </w:pPr>
          </w:p>
        </w:tc>
        <w:tc>
          <w:tcPr>
            <w:tcW w:w="90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140" w:type="dxa"/>
            <w:vAlign w:val="bottom"/>
            <w:gridSpan w:val="23"/>
          </w:tcPr>
          <w:p>
            <w:pPr>
              <w:ind w:left="140"/>
              <w:spacing w:after="0" w:line="17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Consolidated Statements of Operations for the three and nine months ended September 30, 2019 and 2018 (unaudited)</w:t>
              </w:r>
            </w:hyperlink>
          </w:p>
        </w:tc>
        <w:tc>
          <w:tcPr>
            <w:tcW w:w="420" w:type="dxa"/>
            <w:vAlign w:val="bottom"/>
            <w:gridSpan w:val="3"/>
          </w:tcPr>
          <w:p>
            <w:pPr>
              <w:ind w:left="240"/>
              <w:spacing w:after="0" w:line="17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4</w:t>
              </w:r>
            </w:hyperlink>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7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140" w:type="dxa"/>
            <w:vAlign w:val="bottom"/>
            <w:gridSpan w:val="23"/>
            <w:shd w:val="clear" w:color="auto" w:fill="CCEEFF"/>
          </w:tcPr>
          <w:p>
            <w:pPr>
              <w:ind w:left="140"/>
              <w:spacing w:after="0" w:line="17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Consolidated Statements of Changes in Net Assets for the three and nine months ended September 30, 2019 and 2018 (unaudited)</w:t>
              </w:r>
            </w:hyperlink>
          </w:p>
        </w:tc>
        <w:tc>
          <w:tcPr>
            <w:tcW w:w="420" w:type="dxa"/>
            <w:vAlign w:val="bottom"/>
            <w:gridSpan w:val="3"/>
            <w:shd w:val="clear" w:color="auto" w:fill="CCEEFF"/>
          </w:tcPr>
          <w:p>
            <w:pPr>
              <w:ind w:left="240"/>
              <w:spacing w:after="0" w:line="17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5</w:t>
              </w:r>
            </w:hyperlink>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7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140" w:type="dxa"/>
            <w:vAlign w:val="bottom"/>
            <w:tcBorders>
              <w:top w:val="single" w:sz="8" w:color="0000EE"/>
            </w:tcBorders>
            <w:shd w:val="clear" w:color="auto" w:fill="CCEEFF"/>
          </w:tcPr>
          <w:p>
            <w:pPr>
              <w:spacing w:after="0" w:line="20" w:lineRule="exact"/>
              <w:rPr>
                <w:sz w:val="1"/>
                <w:szCs w:val="1"/>
                <w:color w:val="auto"/>
              </w:rPr>
            </w:pPr>
          </w:p>
        </w:tc>
        <w:tc>
          <w:tcPr>
            <w:tcW w:w="90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84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140" w:type="dxa"/>
            <w:vAlign w:val="bottom"/>
            <w:gridSpan w:val="23"/>
          </w:tcPr>
          <w:p>
            <w:pPr>
              <w:ind w:left="140"/>
              <w:spacing w:after="0" w:line="176"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Consolidated Statements of Cash Flows for the nine months ended September 30, 2019 and 2018 (unaudited)</w:t>
              </w:r>
            </w:hyperlink>
          </w:p>
        </w:tc>
        <w:tc>
          <w:tcPr>
            <w:tcW w:w="420" w:type="dxa"/>
            <w:vAlign w:val="bottom"/>
            <w:gridSpan w:val="3"/>
          </w:tcPr>
          <w:p>
            <w:pPr>
              <w:ind w:left="240"/>
              <w:spacing w:after="0" w:line="176"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6</w:t>
              </w:r>
            </w:hyperlink>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7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140" w:type="dxa"/>
            <w:vAlign w:val="bottom"/>
            <w:gridSpan w:val="23"/>
            <w:shd w:val="clear" w:color="auto" w:fill="CCEEFF"/>
          </w:tcPr>
          <w:p>
            <w:pPr>
              <w:ind w:left="140"/>
              <w:spacing w:after="0" w:line="176" w:lineRule="exact"/>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Consolidated Schedules of Investments as of September 30, 2019 (unaudited) and December 31, 2018</w:t>
              </w:r>
            </w:hyperlink>
          </w:p>
        </w:tc>
        <w:tc>
          <w:tcPr>
            <w:tcW w:w="420" w:type="dxa"/>
            <w:vAlign w:val="bottom"/>
            <w:gridSpan w:val="3"/>
            <w:shd w:val="clear" w:color="auto" w:fill="CCEEFF"/>
          </w:tcPr>
          <w:p>
            <w:pPr>
              <w:ind w:left="240"/>
              <w:spacing w:after="0" w:line="176" w:lineRule="exact"/>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7</w:t>
              </w:r>
            </w:hyperlink>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7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140" w:type="dxa"/>
            <w:vAlign w:val="bottom"/>
            <w:tcBorders>
              <w:top w:val="single" w:sz="8" w:color="0000EE"/>
            </w:tcBorders>
            <w:shd w:val="clear" w:color="auto" w:fill="CCEEFF"/>
          </w:tcPr>
          <w:p>
            <w:pPr>
              <w:spacing w:after="0" w:line="20" w:lineRule="exact"/>
              <w:rPr>
                <w:sz w:val="1"/>
                <w:szCs w:val="1"/>
                <w:color w:val="auto"/>
              </w:rPr>
            </w:pPr>
          </w:p>
        </w:tc>
        <w:tc>
          <w:tcPr>
            <w:tcW w:w="90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140" w:type="dxa"/>
            <w:vAlign w:val="bottom"/>
            <w:gridSpan w:val="23"/>
          </w:tcPr>
          <w:p>
            <w:pPr>
              <w:ind w:left="140"/>
              <w:spacing w:after="0" w:line="176" w:lineRule="exact"/>
              <w:rPr>
                <w:rFonts w:ascii="Times New Roman" w:cs="Times New Roman" w:eastAsia="Times New Roman" w:hAnsi="Times New Roman"/>
                <w:sz w:val="18"/>
                <w:szCs w:val="18"/>
                <w:color w:val="0000EE"/>
              </w:rPr>
            </w:pPr>
            <w:hyperlink w:anchor="page18">
              <w:r>
                <w:rPr>
                  <w:rFonts w:ascii="Times New Roman" w:cs="Times New Roman" w:eastAsia="Times New Roman" w:hAnsi="Times New Roman"/>
                  <w:sz w:val="18"/>
                  <w:szCs w:val="18"/>
                  <w:color w:val="0000EE"/>
                </w:rPr>
                <w:t>Notes to the Consolidated Financial Statements (unaudited)</w:t>
              </w:r>
            </w:hyperlink>
          </w:p>
        </w:tc>
        <w:tc>
          <w:tcPr>
            <w:tcW w:w="420" w:type="dxa"/>
            <w:vAlign w:val="bottom"/>
            <w:gridSpan w:val="3"/>
          </w:tcPr>
          <w:p>
            <w:pPr>
              <w:ind w:left="240"/>
              <w:spacing w:after="0" w:line="176" w:lineRule="exact"/>
              <w:rPr>
                <w:rFonts w:ascii="Times New Roman" w:cs="Times New Roman" w:eastAsia="Times New Roman" w:hAnsi="Times New Roman"/>
                <w:sz w:val="18"/>
                <w:szCs w:val="18"/>
                <w:color w:val="0000EE"/>
                <w:w w:val="88"/>
              </w:rPr>
            </w:pPr>
            <w:hyperlink w:anchor="page18">
              <w:r>
                <w:rPr>
                  <w:rFonts w:ascii="Times New Roman" w:cs="Times New Roman" w:eastAsia="Times New Roman" w:hAnsi="Times New Roman"/>
                  <w:sz w:val="18"/>
                  <w:szCs w:val="18"/>
                  <w:color w:val="0000EE"/>
                  <w:w w:val="88"/>
                </w:rPr>
                <w:t>18</w:t>
              </w:r>
            </w:hyperlink>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7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500" w:type="dxa"/>
            <w:vAlign w:val="bottom"/>
            <w:shd w:val="clear" w:color="auto" w:fill="CCEEFF"/>
          </w:tcPr>
          <w:p>
            <w:pPr>
              <w:spacing w:after="0" w:line="176" w:lineRule="exact"/>
              <w:rPr>
                <w:rFonts w:ascii="Times New Roman" w:cs="Times New Roman" w:eastAsia="Times New Roman" w:hAnsi="Times New Roman"/>
                <w:sz w:val="18"/>
                <w:szCs w:val="18"/>
                <w:color w:val="0000EE"/>
                <w:w w:val="94"/>
              </w:rPr>
            </w:pPr>
            <w:hyperlink w:anchor="page48">
              <w:r>
                <w:rPr>
                  <w:rFonts w:ascii="Times New Roman" w:cs="Times New Roman" w:eastAsia="Times New Roman" w:hAnsi="Times New Roman"/>
                  <w:sz w:val="18"/>
                  <w:szCs w:val="18"/>
                  <w:color w:val="0000EE"/>
                  <w:w w:val="94"/>
                </w:rPr>
                <w:t>Item 2.</w:t>
              </w:r>
            </w:hyperlink>
          </w:p>
        </w:tc>
        <w:tc>
          <w:tcPr>
            <w:tcW w:w="120" w:type="dxa"/>
            <w:vAlign w:val="bottom"/>
            <w:gridSpan w:val="2"/>
            <w:shd w:val="clear" w:color="auto" w:fill="CCEEFF"/>
          </w:tcPr>
          <w:p>
            <w:pPr>
              <w:spacing w:after="0"/>
              <w:rPr>
                <w:sz w:val="15"/>
                <w:szCs w:val="15"/>
                <w:color w:val="auto"/>
              </w:rPr>
            </w:pPr>
          </w:p>
        </w:tc>
        <w:tc>
          <w:tcPr>
            <w:tcW w:w="10140" w:type="dxa"/>
            <w:vAlign w:val="bottom"/>
            <w:gridSpan w:val="23"/>
            <w:shd w:val="clear" w:color="auto" w:fill="CCEEFF"/>
          </w:tcPr>
          <w:p>
            <w:pPr>
              <w:ind w:left="140"/>
              <w:spacing w:after="0" w:line="176" w:lineRule="exact"/>
              <w:rPr>
                <w:rFonts w:ascii="Times New Roman" w:cs="Times New Roman" w:eastAsia="Times New Roman" w:hAnsi="Times New Roman"/>
                <w:sz w:val="18"/>
                <w:szCs w:val="18"/>
                <w:color w:val="0000EE"/>
              </w:rPr>
            </w:pPr>
            <w:hyperlink w:anchor="page48">
              <w:r>
                <w:rPr>
                  <w:rFonts w:ascii="Times New Roman" w:cs="Times New Roman" w:eastAsia="Times New Roman" w:hAnsi="Times New Roman"/>
                  <w:sz w:val="18"/>
                  <w:szCs w:val="18"/>
                  <w:color w:val="0000EE"/>
                </w:rPr>
                <w:t>Management’s Discussion and Analysis of Financial Condition and Results of Operations</w:t>
              </w:r>
            </w:hyperlink>
          </w:p>
        </w:tc>
        <w:tc>
          <w:tcPr>
            <w:tcW w:w="420" w:type="dxa"/>
            <w:vAlign w:val="bottom"/>
            <w:gridSpan w:val="3"/>
            <w:shd w:val="clear" w:color="auto" w:fill="CCEEFF"/>
          </w:tcPr>
          <w:p>
            <w:pPr>
              <w:ind w:left="240"/>
              <w:spacing w:after="0" w:line="176" w:lineRule="exact"/>
              <w:rPr>
                <w:rFonts w:ascii="Times New Roman" w:cs="Times New Roman" w:eastAsia="Times New Roman" w:hAnsi="Times New Roman"/>
                <w:sz w:val="18"/>
                <w:szCs w:val="18"/>
                <w:color w:val="0000EE"/>
                <w:w w:val="88"/>
              </w:rPr>
            </w:pPr>
            <w:hyperlink w:anchor="page48">
              <w:r>
                <w:rPr>
                  <w:rFonts w:ascii="Times New Roman" w:cs="Times New Roman" w:eastAsia="Times New Roman" w:hAnsi="Times New Roman"/>
                  <w:sz w:val="18"/>
                  <w:szCs w:val="18"/>
                  <w:color w:val="0000EE"/>
                  <w:w w:val="88"/>
                </w:rPr>
                <w:t>46</w:t>
              </w:r>
            </w:hyperlink>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7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140" w:type="dxa"/>
            <w:vAlign w:val="bottom"/>
            <w:tcBorders>
              <w:top w:val="single" w:sz="8" w:color="0000EE"/>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500" w:type="dxa"/>
            <w:vAlign w:val="bottom"/>
          </w:tcPr>
          <w:p>
            <w:pPr>
              <w:spacing w:after="0" w:line="176" w:lineRule="exact"/>
              <w:rPr>
                <w:rFonts w:ascii="Times New Roman" w:cs="Times New Roman" w:eastAsia="Times New Roman" w:hAnsi="Times New Roman"/>
                <w:sz w:val="18"/>
                <w:szCs w:val="18"/>
                <w:color w:val="0000EE"/>
                <w:w w:val="94"/>
              </w:rPr>
            </w:pPr>
            <w:hyperlink w:anchor="page69">
              <w:r>
                <w:rPr>
                  <w:rFonts w:ascii="Times New Roman" w:cs="Times New Roman" w:eastAsia="Times New Roman" w:hAnsi="Times New Roman"/>
                  <w:sz w:val="18"/>
                  <w:szCs w:val="18"/>
                  <w:color w:val="0000EE"/>
                  <w:w w:val="94"/>
                </w:rPr>
                <w:t>Item 3.</w:t>
              </w:r>
            </w:hyperlink>
          </w:p>
        </w:tc>
        <w:tc>
          <w:tcPr>
            <w:tcW w:w="120" w:type="dxa"/>
            <w:vAlign w:val="bottom"/>
            <w:gridSpan w:val="2"/>
          </w:tcPr>
          <w:p>
            <w:pPr>
              <w:spacing w:after="0"/>
              <w:rPr>
                <w:sz w:val="15"/>
                <w:szCs w:val="15"/>
                <w:color w:val="auto"/>
              </w:rPr>
            </w:pPr>
          </w:p>
        </w:tc>
        <w:tc>
          <w:tcPr>
            <w:tcW w:w="10140" w:type="dxa"/>
            <w:vAlign w:val="bottom"/>
            <w:gridSpan w:val="23"/>
          </w:tcPr>
          <w:p>
            <w:pPr>
              <w:ind w:left="140"/>
              <w:spacing w:after="0" w:line="176" w:lineRule="exact"/>
              <w:rPr>
                <w:rFonts w:ascii="Times New Roman" w:cs="Times New Roman" w:eastAsia="Times New Roman" w:hAnsi="Times New Roman"/>
                <w:sz w:val="18"/>
                <w:szCs w:val="18"/>
                <w:color w:val="0000EE"/>
              </w:rPr>
            </w:pPr>
            <w:hyperlink w:anchor="page69">
              <w:r>
                <w:rPr>
                  <w:rFonts w:ascii="Times New Roman" w:cs="Times New Roman" w:eastAsia="Times New Roman" w:hAnsi="Times New Roman"/>
                  <w:sz w:val="18"/>
                  <w:szCs w:val="18"/>
                  <w:color w:val="0000EE"/>
                </w:rPr>
                <w:t>Quantitative and Qualitative Disclosures About Market Risk</w:t>
              </w:r>
            </w:hyperlink>
          </w:p>
        </w:tc>
        <w:tc>
          <w:tcPr>
            <w:tcW w:w="420" w:type="dxa"/>
            <w:vAlign w:val="bottom"/>
            <w:gridSpan w:val="3"/>
          </w:tcPr>
          <w:p>
            <w:pPr>
              <w:ind w:left="240"/>
              <w:spacing w:after="0" w:line="176" w:lineRule="exact"/>
              <w:rPr>
                <w:rFonts w:ascii="Times New Roman" w:cs="Times New Roman" w:eastAsia="Times New Roman" w:hAnsi="Times New Roman"/>
                <w:sz w:val="18"/>
                <w:szCs w:val="18"/>
                <w:color w:val="0000EE"/>
                <w:w w:val="88"/>
              </w:rPr>
            </w:pPr>
            <w:hyperlink w:anchor="page69">
              <w:r>
                <w:rPr>
                  <w:rFonts w:ascii="Times New Roman" w:cs="Times New Roman" w:eastAsia="Times New Roman" w:hAnsi="Times New Roman"/>
                  <w:sz w:val="18"/>
                  <w:szCs w:val="18"/>
                  <w:color w:val="0000EE"/>
                  <w:w w:val="88"/>
                </w:rPr>
                <w:t>67</w:t>
              </w:r>
            </w:hyperlink>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7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620" w:type="dxa"/>
            <w:vAlign w:val="bottom"/>
            <w:gridSpan w:val="3"/>
            <w:shd w:val="clear" w:color="auto" w:fill="CCEEFF"/>
          </w:tcPr>
          <w:p>
            <w:pPr>
              <w:spacing w:after="0" w:line="176" w:lineRule="exact"/>
              <w:rPr>
                <w:rFonts w:ascii="Times New Roman" w:cs="Times New Roman" w:eastAsia="Times New Roman" w:hAnsi="Times New Roman"/>
                <w:sz w:val="18"/>
                <w:szCs w:val="18"/>
                <w:color w:val="0000EE"/>
              </w:rPr>
            </w:pPr>
            <w:hyperlink w:anchor="page70">
              <w:r>
                <w:rPr>
                  <w:rFonts w:ascii="Times New Roman" w:cs="Times New Roman" w:eastAsia="Times New Roman" w:hAnsi="Times New Roman"/>
                  <w:sz w:val="18"/>
                  <w:szCs w:val="18"/>
                  <w:color w:val="0000EE"/>
                </w:rPr>
                <w:t>Item 4.</w:t>
              </w:r>
            </w:hyperlink>
          </w:p>
        </w:tc>
        <w:tc>
          <w:tcPr>
            <w:tcW w:w="10140" w:type="dxa"/>
            <w:vAlign w:val="bottom"/>
            <w:gridSpan w:val="23"/>
            <w:shd w:val="clear" w:color="auto" w:fill="CCEEFF"/>
          </w:tcPr>
          <w:p>
            <w:pPr>
              <w:ind w:left="140"/>
              <w:spacing w:after="0" w:line="176" w:lineRule="exact"/>
              <w:rPr>
                <w:rFonts w:ascii="Times New Roman" w:cs="Times New Roman" w:eastAsia="Times New Roman" w:hAnsi="Times New Roman"/>
                <w:sz w:val="18"/>
                <w:szCs w:val="18"/>
                <w:color w:val="0000EE"/>
              </w:rPr>
            </w:pPr>
            <w:hyperlink w:anchor="page70">
              <w:r>
                <w:rPr>
                  <w:rFonts w:ascii="Times New Roman" w:cs="Times New Roman" w:eastAsia="Times New Roman" w:hAnsi="Times New Roman"/>
                  <w:sz w:val="18"/>
                  <w:szCs w:val="18"/>
                  <w:color w:val="0000EE"/>
                </w:rPr>
                <w:t>Controls and Procedures</w:t>
              </w:r>
            </w:hyperlink>
          </w:p>
        </w:tc>
        <w:tc>
          <w:tcPr>
            <w:tcW w:w="420" w:type="dxa"/>
            <w:vAlign w:val="bottom"/>
            <w:gridSpan w:val="3"/>
            <w:shd w:val="clear" w:color="auto" w:fill="CCEEFF"/>
          </w:tcPr>
          <w:p>
            <w:pPr>
              <w:ind w:left="240"/>
              <w:spacing w:after="0" w:line="176" w:lineRule="exact"/>
              <w:rPr>
                <w:rFonts w:ascii="Times New Roman" w:cs="Times New Roman" w:eastAsia="Times New Roman" w:hAnsi="Times New Roman"/>
                <w:sz w:val="18"/>
                <w:szCs w:val="18"/>
                <w:color w:val="0000EE"/>
                <w:w w:val="88"/>
              </w:rPr>
            </w:pPr>
            <w:hyperlink w:anchor="page70">
              <w:r>
                <w:rPr>
                  <w:rFonts w:ascii="Times New Roman" w:cs="Times New Roman" w:eastAsia="Times New Roman" w:hAnsi="Times New Roman"/>
                  <w:sz w:val="18"/>
                  <w:szCs w:val="18"/>
                  <w:color w:val="0000EE"/>
                  <w:w w:val="88"/>
                </w:rPr>
                <w:t>68</w:t>
              </w:r>
            </w:hyperlink>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7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320" w:type="dxa"/>
            <w:vAlign w:val="bottom"/>
            <w:gridSpan w:val="10"/>
            <w:shd w:val="clear" w:color="auto" w:fill="CCEEFF"/>
          </w:tcPr>
          <w:p>
            <w:pPr>
              <w:jc w:val="center"/>
              <w:ind w:right="4680"/>
              <w:spacing w:after="0" w:line="176" w:lineRule="exact"/>
              <w:rPr>
                <w:rFonts w:ascii="Times New Roman" w:cs="Times New Roman" w:eastAsia="Times New Roman" w:hAnsi="Times New Roman"/>
                <w:sz w:val="18"/>
                <w:szCs w:val="18"/>
                <w:b w:val="1"/>
                <w:bCs w:val="1"/>
                <w:color w:val="0000EE"/>
                <w:w w:val="94"/>
              </w:rPr>
            </w:pPr>
            <w:hyperlink w:anchor="page71">
              <w:r>
                <w:rPr>
                  <w:rFonts w:ascii="Times New Roman" w:cs="Times New Roman" w:eastAsia="Times New Roman" w:hAnsi="Times New Roman"/>
                  <w:sz w:val="18"/>
                  <w:szCs w:val="18"/>
                  <w:b w:val="1"/>
                  <w:bCs w:val="1"/>
                  <w:color w:val="0000EE"/>
                  <w:w w:val="94"/>
                </w:rPr>
                <w:t>PART II</w:t>
              </w:r>
            </w:hyperlink>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20" w:type="dxa"/>
            <w:vAlign w:val="bottom"/>
            <w:tcBorders>
              <w:top w:val="single" w:sz="8" w:color="CCEEFF"/>
            </w:tcBorders>
            <w:gridSpan w:val="3"/>
          </w:tcPr>
          <w:p>
            <w:pPr>
              <w:spacing w:after="0" w:line="176" w:lineRule="exact"/>
              <w:rPr>
                <w:rFonts w:ascii="Times New Roman" w:cs="Times New Roman" w:eastAsia="Times New Roman" w:hAnsi="Times New Roman"/>
                <w:sz w:val="18"/>
                <w:szCs w:val="18"/>
                <w:color w:val="0000EE"/>
              </w:rPr>
            </w:pPr>
            <w:hyperlink w:anchor="page71">
              <w:r>
                <w:rPr>
                  <w:rFonts w:ascii="Times New Roman" w:cs="Times New Roman" w:eastAsia="Times New Roman" w:hAnsi="Times New Roman"/>
                  <w:sz w:val="18"/>
                  <w:szCs w:val="18"/>
                  <w:color w:val="0000EE"/>
                </w:rPr>
                <w:t>Item 1.</w:t>
              </w:r>
            </w:hyperlink>
          </w:p>
        </w:tc>
        <w:tc>
          <w:tcPr>
            <w:tcW w:w="4820" w:type="dxa"/>
            <w:vAlign w:val="bottom"/>
            <w:tcBorders>
              <w:top w:val="single" w:sz="8" w:color="CCEEFF"/>
            </w:tcBorders>
            <w:gridSpan w:val="13"/>
          </w:tcPr>
          <w:p>
            <w:pPr>
              <w:ind w:left="140"/>
              <w:spacing w:after="0" w:line="176" w:lineRule="exact"/>
              <w:rPr>
                <w:rFonts w:ascii="Times New Roman" w:cs="Times New Roman" w:eastAsia="Times New Roman" w:hAnsi="Times New Roman"/>
                <w:sz w:val="18"/>
                <w:szCs w:val="18"/>
                <w:color w:val="0000EE"/>
              </w:rPr>
            </w:pPr>
            <w:hyperlink w:anchor="page71">
              <w:r>
                <w:rPr>
                  <w:rFonts w:ascii="Times New Roman" w:cs="Times New Roman" w:eastAsia="Times New Roman" w:hAnsi="Times New Roman"/>
                  <w:sz w:val="18"/>
                  <w:szCs w:val="18"/>
                  <w:color w:val="0000EE"/>
                </w:rPr>
                <w:t>Legal Proceedings</w:t>
              </w:r>
            </w:hyperlink>
          </w:p>
        </w:tc>
        <w:tc>
          <w:tcPr>
            <w:tcW w:w="640" w:type="dxa"/>
            <w:vAlign w:val="bottom"/>
            <w:tcBorders>
              <w:top w:val="single" w:sz="8" w:color="0000EE"/>
            </w:tcBorders>
            <w:gridSpan w:val="3"/>
          </w:tcPr>
          <w:p>
            <w:pPr>
              <w:spacing w:after="0"/>
              <w:rPr>
                <w:sz w:val="15"/>
                <w:szCs w:val="15"/>
                <w:color w:val="auto"/>
              </w:rPr>
            </w:pPr>
          </w:p>
        </w:tc>
        <w:tc>
          <w:tcPr>
            <w:tcW w:w="4680" w:type="dxa"/>
            <w:vAlign w:val="bottom"/>
            <w:tcBorders>
              <w:top w:val="single" w:sz="8" w:color="CCEEFF"/>
            </w:tcBorders>
            <w:gridSpan w:val="7"/>
          </w:tcPr>
          <w:p>
            <w:pPr>
              <w:spacing w:after="0"/>
              <w:rPr>
                <w:sz w:val="15"/>
                <w:szCs w:val="15"/>
                <w:color w:val="auto"/>
              </w:rPr>
            </w:pPr>
          </w:p>
        </w:tc>
        <w:tc>
          <w:tcPr>
            <w:tcW w:w="420" w:type="dxa"/>
            <w:vAlign w:val="bottom"/>
            <w:tcBorders>
              <w:top w:val="single" w:sz="8" w:color="CCEEFF"/>
            </w:tcBorders>
            <w:gridSpan w:val="3"/>
          </w:tcPr>
          <w:p>
            <w:pPr>
              <w:ind w:left="240"/>
              <w:spacing w:after="0" w:line="176" w:lineRule="exact"/>
              <w:rPr>
                <w:rFonts w:ascii="Times New Roman" w:cs="Times New Roman" w:eastAsia="Times New Roman" w:hAnsi="Times New Roman"/>
                <w:sz w:val="18"/>
                <w:szCs w:val="18"/>
                <w:color w:val="0000EE"/>
                <w:w w:val="88"/>
              </w:rPr>
            </w:pPr>
            <w:hyperlink w:anchor="page71">
              <w:r>
                <w:rPr>
                  <w:rFonts w:ascii="Times New Roman" w:cs="Times New Roman" w:eastAsia="Times New Roman" w:hAnsi="Times New Roman"/>
                  <w:sz w:val="18"/>
                  <w:szCs w:val="18"/>
                  <w:color w:val="0000EE"/>
                  <w:w w:val="88"/>
                </w:rPr>
                <w:t>69</w:t>
              </w:r>
            </w:hyperlink>
          </w:p>
        </w:tc>
        <w:tc>
          <w:tcPr>
            <w:tcW w:w="2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620" w:type="dxa"/>
            <w:vAlign w:val="bottom"/>
            <w:gridSpan w:val="3"/>
            <w:shd w:val="clear" w:color="auto" w:fill="CCEEFF"/>
          </w:tcPr>
          <w:p>
            <w:pPr>
              <w:spacing w:after="0" w:line="176" w:lineRule="exact"/>
              <w:rPr>
                <w:rFonts w:ascii="Times New Roman" w:cs="Times New Roman" w:eastAsia="Times New Roman" w:hAnsi="Times New Roman"/>
                <w:sz w:val="18"/>
                <w:szCs w:val="18"/>
                <w:color w:val="0000EE"/>
                <w:w w:val="93"/>
              </w:rPr>
            </w:pPr>
            <w:hyperlink w:anchor="page71">
              <w:r>
                <w:rPr>
                  <w:rFonts w:ascii="Times New Roman" w:cs="Times New Roman" w:eastAsia="Times New Roman" w:hAnsi="Times New Roman"/>
                  <w:sz w:val="18"/>
                  <w:szCs w:val="18"/>
                  <w:color w:val="0000EE"/>
                  <w:w w:val="93"/>
                </w:rPr>
                <w:t>Item 1A.</w:t>
              </w:r>
            </w:hyperlink>
          </w:p>
        </w:tc>
        <w:tc>
          <w:tcPr>
            <w:tcW w:w="10140" w:type="dxa"/>
            <w:vAlign w:val="bottom"/>
            <w:gridSpan w:val="23"/>
            <w:shd w:val="clear" w:color="auto" w:fill="CCEEFF"/>
          </w:tcPr>
          <w:p>
            <w:pPr>
              <w:ind w:left="140"/>
              <w:spacing w:after="0" w:line="176" w:lineRule="exact"/>
              <w:rPr>
                <w:rFonts w:ascii="Times New Roman" w:cs="Times New Roman" w:eastAsia="Times New Roman" w:hAnsi="Times New Roman"/>
                <w:sz w:val="18"/>
                <w:szCs w:val="18"/>
                <w:color w:val="0000EE"/>
              </w:rPr>
            </w:pPr>
            <w:hyperlink w:anchor="page71">
              <w:r>
                <w:rPr>
                  <w:rFonts w:ascii="Times New Roman" w:cs="Times New Roman" w:eastAsia="Times New Roman" w:hAnsi="Times New Roman"/>
                  <w:sz w:val="18"/>
                  <w:szCs w:val="18"/>
                  <w:color w:val="0000EE"/>
                </w:rPr>
                <w:t>Risk Factors</w:t>
              </w:r>
            </w:hyperlink>
          </w:p>
        </w:tc>
        <w:tc>
          <w:tcPr>
            <w:tcW w:w="420" w:type="dxa"/>
            <w:vAlign w:val="bottom"/>
            <w:gridSpan w:val="3"/>
            <w:shd w:val="clear" w:color="auto" w:fill="CCEEFF"/>
          </w:tcPr>
          <w:p>
            <w:pPr>
              <w:ind w:left="240"/>
              <w:spacing w:after="0" w:line="176" w:lineRule="exact"/>
              <w:rPr>
                <w:rFonts w:ascii="Times New Roman" w:cs="Times New Roman" w:eastAsia="Times New Roman" w:hAnsi="Times New Roman"/>
                <w:sz w:val="18"/>
                <w:szCs w:val="18"/>
                <w:color w:val="0000EE"/>
                <w:w w:val="88"/>
              </w:rPr>
            </w:pPr>
            <w:hyperlink w:anchor="page71">
              <w:r>
                <w:rPr>
                  <w:rFonts w:ascii="Times New Roman" w:cs="Times New Roman" w:eastAsia="Times New Roman" w:hAnsi="Times New Roman"/>
                  <w:sz w:val="18"/>
                  <w:szCs w:val="18"/>
                  <w:color w:val="0000EE"/>
                  <w:w w:val="88"/>
                </w:rPr>
                <w:t>69</w:t>
              </w:r>
            </w:hyperlink>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7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620" w:type="dxa"/>
            <w:vAlign w:val="bottom"/>
            <w:gridSpan w:val="3"/>
          </w:tcPr>
          <w:p>
            <w:pPr>
              <w:spacing w:after="0" w:line="176" w:lineRule="exact"/>
              <w:rPr>
                <w:rFonts w:ascii="Times New Roman" w:cs="Times New Roman" w:eastAsia="Times New Roman" w:hAnsi="Times New Roman"/>
                <w:sz w:val="18"/>
                <w:szCs w:val="18"/>
                <w:color w:val="0000EE"/>
              </w:rPr>
            </w:pPr>
            <w:hyperlink w:anchor="page71">
              <w:r>
                <w:rPr>
                  <w:rFonts w:ascii="Times New Roman" w:cs="Times New Roman" w:eastAsia="Times New Roman" w:hAnsi="Times New Roman"/>
                  <w:sz w:val="18"/>
                  <w:szCs w:val="18"/>
                  <w:color w:val="0000EE"/>
                </w:rPr>
                <w:t>Item 2.</w:t>
              </w:r>
            </w:hyperlink>
          </w:p>
        </w:tc>
        <w:tc>
          <w:tcPr>
            <w:tcW w:w="10140" w:type="dxa"/>
            <w:vAlign w:val="bottom"/>
            <w:gridSpan w:val="23"/>
          </w:tcPr>
          <w:p>
            <w:pPr>
              <w:ind w:left="140"/>
              <w:spacing w:after="0" w:line="176" w:lineRule="exact"/>
              <w:rPr>
                <w:rFonts w:ascii="Times New Roman" w:cs="Times New Roman" w:eastAsia="Times New Roman" w:hAnsi="Times New Roman"/>
                <w:sz w:val="18"/>
                <w:szCs w:val="18"/>
                <w:color w:val="0000EE"/>
              </w:rPr>
            </w:pPr>
            <w:hyperlink w:anchor="page71">
              <w:r>
                <w:rPr>
                  <w:rFonts w:ascii="Times New Roman" w:cs="Times New Roman" w:eastAsia="Times New Roman" w:hAnsi="Times New Roman"/>
                  <w:sz w:val="18"/>
                  <w:szCs w:val="18"/>
                  <w:color w:val="0000EE"/>
                </w:rPr>
                <w:t>Unregistered Sales of Equity Securities and Use of Proceeds</w:t>
              </w:r>
            </w:hyperlink>
          </w:p>
        </w:tc>
        <w:tc>
          <w:tcPr>
            <w:tcW w:w="420" w:type="dxa"/>
            <w:vAlign w:val="bottom"/>
            <w:gridSpan w:val="3"/>
          </w:tcPr>
          <w:p>
            <w:pPr>
              <w:ind w:left="240"/>
              <w:spacing w:after="0" w:line="176" w:lineRule="exact"/>
              <w:rPr>
                <w:rFonts w:ascii="Times New Roman" w:cs="Times New Roman" w:eastAsia="Times New Roman" w:hAnsi="Times New Roman"/>
                <w:sz w:val="18"/>
                <w:szCs w:val="18"/>
                <w:color w:val="0000EE"/>
                <w:w w:val="88"/>
              </w:rPr>
            </w:pPr>
            <w:hyperlink w:anchor="page71">
              <w:r>
                <w:rPr>
                  <w:rFonts w:ascii="Times New Roman" w:cs="Times New Roman" w:eastAsia="Times New Roman" w:hAnsi="Times New Roman"/>
                  <w:sz w:val="18"/>
                  <w:szCs w:val="18"/>
                  <w:color w:val="0000EE"/>
                  <w:w w:val="88"/>
                </w:rPr>
                <w:t>69</w:t>
              </w:r>
            </w:hyperlink>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7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500" w:type="dxa"/>
            <w:vAlign w:val="bottom"/>
            <w:shd w:val="clear" w:color="auto" w:fill="CCEEFF"/>
          </w:tcPr>
          <w:p>
            <w:pPr>
              <w:spacing w:after="0" w:line="176" w:lineRule="exact"/>
              <w:rPr>
                <w:rFonts w:ascii="Times New Roman" w:cs="Times New Roman" w:eastAsia="Times New Roman" w:hAnsi="Times New Roman"/>
                <w:sz w:val="18"/>
                <w:szCs w:val="18"/>
                <w:color w:val="0000EE"/>
                <w:w w:val="94"/>
              </w:rPr>
            </w:pPr>
            <w:hyperlink w:anchor="page71">
              <w:r>
                <w:rPr>
                  <w:rFonts w:ascii="Times New Roman" w:cs="Times New Roman" w:eastAsia="Times New Roman" w:hAnsi="Times New Roman"/>
                  <w:sz w:val="18"/>
                  <w:szCs w:val="18"/>
                  <w:color w:val="0000EE"/>
                  <w:w w:val="94"/>
                </w:rPr>
                <w:t>Item 3.</w:t>
              </w:r>
            </w:hyperlink>
          </w:p>
        </w:tc>
        <w:tc>
          <w:tcPr>
            <w:tcW w:w="120" w:type="dxa"/>
            <w:vAlign w:val="bottom"/>
            <w:gridSpan w:val="2"/>
            <w:shd w:val="clear" w:color="auto" w:fill="CCEEFF"/>
          </w:tcPr>
          <w:p>
            <w:pPr>
              <w:spacing w:after="0"/>
              <w:rPr>
                <w:sz w:val="15"/>
                <w:szCs w:val="15"/>
                <w:color w:val="auto"/>
              </w:rPr>
            </w:pPr>
          </w:p>
        </w:tc>
        <w:tc>
          <w:tcPr>
            <w:tcW w:w="10140" w:type="dxa"/>
            <w:vAlign w:val="bottom"/>
            <w:gridSpan w:val="23"/>
            <w:shd w:val="clear" w:color="auto" w:fill="CCEEFF"/>
          </w:tcPr>
          <w:p>
            <w:pPr>
              <w:ind w:left="140"/>
              <w:spacing w:after="0" w:line="176" w:lineRule="exact"/>
              <w:rPr>
                <w:rFonts w:ascii="Times New Roman" w:cs="Times New Roman" w:eastAsia="Times New Roman" w:hAnsi="Times New Roman"/>
                <w:sz w:val="18"/>
                <w:szCs w:val="18"/>
                <w:color w:val="0000EE"/>
              </w:rPr>
            </w:pPr>
            <w:hyperlink w:anchor="page71">
              <w:r>
                <w:rPr>
                  <w:rFonts w:ascii="Times New Roman" w:cs="Times New Roman" w:eastAsia="Times New Roman" w:hAnsi="Times New Roman"/>
                  <w:sz w:val="18"/>
                  <w:szCs w:val="18"/>
                  <w:color w:val="0000EE"/>
                </w:rPr>
                <w:t>Defaults Upon Senior Securities</w:t>
              </w:r>
            </w:hyperlink>
          </w:p>
        </w:tc>
        <w:tc>
          <w:tcPr>
            <w:tcW w:w="420" w:type="dxa"/>
            <w:vAlign w:val="bottom"/>
            <w:gridSpan w:val="3"/>
            <w:shd w:val="clear" w:color="auto" w:fill="CCEEFF"/>
          </w:tcPr>
          <w:p>
            <w:pPr>
              <w:ind w:left="240"/>
              <w:spacing w:after="0" w:line="176" w:lineRule="exact"/>
              <w:rPr>
                <w:rFonts w:ascii="Times New Roman" w:cs="Times New Roman" w:eastAsia="Times New Roman" w:hAnsi="Times New Roman"/>
                <w:sz w:val="18"/>
                <w:szCs w:val="18"/>
                <w:color w:val="0000EE"/>
                <w:w w:val="88"/>
              </w:rPr>
            </w:pPr>
            <w:hyperlink w:anchor="page71">
              <w:r>
                <w:rPr>
                  <w:rFonts w:ascii="Times New Roman" w:cs="Times New Roman" w:eastAsia="Times New Roman" w:hAnsi="Times New Roman"/>
                  <w:sz w:val="18"/>
                  <w:szCs w:val="18"/>
                  <w:color w:val="0000EE"/>
                  <w:w w:val="88"/>
                </w:rPr>
                <w:t>69</w:t>
              </w:r>
            </w:hyperlink>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7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500" w:type="dxa"/>
            <w:vAlign w:val="bottom"/>
          </w:tcPr>
          <w:p>
            <w:pPr>
              <w:spacing w:after="0" w:line="176" w:lineRule="exact"/>
              <w:rPr>
                <w:rFonts w:ascii="Times New Roman" w:cs="Times New Roman" w:eastAsia="Times New Roman" w:hAnsi="Times New Roman"/>
                <w:sz w:val="18"/>
                <w:szCs w:val="18"/>
                <w:color w:val="0000EE"/>
                <w:w w:val="94"/>
              </w:rPr>
            </w:pPr>
            <w:hyperlink w:anchor="page71">
              <w:r>
                <w:rPr>
                  <w:rFonts w:ascii="Times New Roman" w:cs="Times New Roman" w:eastAsia="Times New Roman" w:hAnsi="Times New Roman"/>
                  <w:sz w:val="18"/>
                  <w:szCs w:val="18"/>
                  <w:color w:val="0000EE"/>
                  <w:w w:val="94"/>
                </w:rPr>
                <w:t>Item 4.</w:t>
              </w:r>
            </w:hyperlink>
          </w:p>
        </w:tc>
        <w:tc>
          <w:tcPr>
            <w:tcW w:w="120" w:type="dxa"/>
            <w:vAlign w:val="bottom"/>
            <w:gridSpan w:val="2"/>
          </w:tcPr>
          <w:p>
            <w:pPr>
              <w:spacing w:after="0"/>
              <w:rPr>
                <w:sz w:val="15"/>
                <w:szCs w:val="15"/>
                <w:color w:val="auto"/>
              </w:rPr>
            </w:pPr>
          </w:p>
        </w:tc>
        <w:tc>
          <w:tcPr>
            <w:tcW w:w="10140" w:type="dxa"/>
            <w:vAlign w:val="bottom"/>
            <w:gridSpan w:val="23"/>
          </w:tcPr>
          <w:p>
            <w:pPr>
              <w:ind w:left="140"/>
              <w:spacing w:after="0" w:line="176" w:lineRule="exact"/>
              <w:rPr>
                <w:rFonts w:ascii="Times New Roman" w:cs="Times New Roman" w:eastAsia="Times New Roman" w:hAnsi="Times New Roman"/>
                <w:sz w:val="18"/>
                <w:szCs w:val="18"/>
                <w:color w:val="0000EE"/>
              </w:rPr>
            </w:pPr>
            <w:hyperlink w:anchor="page71">
              <w:r>
                <w:rPr>
                  <w:rFonts w:ascii="Times New Roman" w:cs="Times New Roman" w:eastAsia="Times New Roman" w:hAnsi="Times New Roman"/>
                  <w:sz w:val="18"/>
                  <w:szCs w:val="18"/>
                  <w:color w:val="0000EE"/>
                </w:rPr>
                <w:t>Mine Safety Disclosures</w:t>
              </w:r>
            </w:hyperlink>
          </w:p>
        </w:tc>
        <w:tc>
          <w:tcPr>
            <w:tcW w:w="420" w:type="dxa"/>
            <w:vAlign w:val="bottom"/>
            <w:gridSpan w:val="3"/>
          </w:tcPr>
          <w:p>
            <w:pPr>
              <w:ind w:left="240"/>
              <w:spacing w:after="0" w:line="176" w:lineRule="exact"/>
              <w:rPr>
                <w:rFonts w:ascii="Times New Roman" w:cs="Times New Roman" w:eastAsia="Times New Roman" w:hAnsi="Times New Roman"/>
                <w:sz w:val="18"/>
                <w:szCs w:val="18"/>
                <w:color w:val="0000EE"/>
                <w:w w:val="88"/>
              </w:rPr>
            </w:pPr>
            <w:hyperlink w:anchor="page71">
              <w:r>
                <w:rPr>
                  <w:rFonts w:ascii="Times New Roman" w:cs="Times New Roman" w:eastAsia="Times New Roman" w:hAnsi="Times New Roman"/>
                  <w:sz w:val="18"/>
                  <w:szCs w:val="18"/>
                  <w:color w:val="0000EE"/>
                  <w:w w:val="88"/>
                </w:rPr>
                <w:t>69</w:t>
              </w:r>
            </w:hyperlink>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500" w:type="dxa"/>
            <w:vAlign w:val="bottom"/>
            <w:shd w:val="clear" w:color="auto" w:fill="CCEEFF"/>
          </w:tcPr>
          <w:p>
            <w:pPr>
              <w:spacing w:after="0" w:line="176" w:lineRule="exact"/>
              <w:rPr>
                <w:rFonts w:ascii="Times New Roman" w:cs="Times New Roman" w:eastAsia="Times New Roman" w:hAnsi="Times New Roman"/>
                <w:sz w:val="18"/>
                <w:szCs w:val="18"/>
                <w:color w:val="0000EE"/>
                <w:w w:val="94"/>
              </w:rPr>
            </w:pPr>
            <w:hyperlink w:anchor="page72">
              <w:r>
                <w:rPr>
                  <w:rFonts w:ascii="Times New Roman" w:cs="Times New Roman" w:eastAsia="Times New Roman" w:hAnsi="Times New Roman"/>
                  <w:sz w:val="18"/>
                  <w:szCs w:val="18"/>
                  <w:color w:val="0000EE"/>
                  <w:w w:val="94"/>
                </w:rPr>
                <w:t>Item 5.</w:t>
              </w:r>
            </w:hyperlink>
          </w:p>
        </w:tc>
        <w:tc>
          <w:tcPr>
            <w:tcW w:w="120" w:type="dxa"/>
            <w:vAlign w:val="bottom"/>
            <w:gridSpan w:val="2"/>
            <w:shd w:val="clear" w:color="auto" w:fill="CCEEFF"/>
          </w:tcPr>
          <w:p>
            <w:pPr>
              <w:spacing w:after="0"/>
              <w:rPr>
                <w:sz w:val="15"/>
                <w:szCs w:val="15"/>
                <w:color w:val="auto"/>
              </w:rPr>
            </w:pPr>
          </w:p>
        </w:tc>
        <w:tc>
          <w:tcPr>
            <w:tcW w:w="10140" w:type="dxa"/>
            <w:vAlign w:val="bottom"/>
            <w:gridSpan w:val="23"/>
            <w:shd w:val="clear" w:color="auto" w:fill="CCEEFF"/>
          </w:tcPr>
          <w:p>
            <w:pPr>
              <w:ind w:left="140"/>
              <w:spacing w:after="0" w:line="176" w:lineRule="exact"/>
              <w:rPr>
                <w:rFonts w:ascii="Times New Roman" w:cs="Times New Roman" w:eastAsia="Times New Roman" w:hAnsi="Times New Roman"/>
                <w:sz w:val="18"/>
                <w:szCs w:val="18"/>
                <w:color w:val="0000EE"/>
              </w:rPr>
            </w:pPr>
            <w:hyperlink w:anchor="page72">
              <w:r>
                <w:rPr>
                  <w:rFonts w:ascii="Times New Roman" w:cs="Times New Roman" w:eastAsia="Times New Roman" w:hAnsi="Times New Roman"/>
                  <w:sz w:val="18"/>
                  <w:szCs w:val="18"/>
                  <w:color w:val="0000EE"/>
                </w:rPr>
                <w:t>Other Information</w:t>
              </w:r>
            </w:hyperlink>
          </w:p>
        </w:tc>
        <w:tc>
          <w:tcPr>
            <w:tcW w:w="420" w:type="dxa"/>
            <w:vAlign w:val="bottom"/>
            <w:gridSpan w:val="3"/>
            <w:shd w:val="clear" w:color="auto" w:fill="CCEEFF"/>
          </w:tcPr>
          <w:p>
            <w:pPr>
              <w:ind w:left="240"/>
              <w:spacing w:after="0" w:line="176" w:lineRule="exact"/>
              <w:rPr>
                <w:rFonts w:ascii="Times New Roman" w:cs="Times New Roman" w:eastAsia="Times New Roman" w:hAnsi="Times New Roman"/>
                <w:sz w:val="18"/>
                <w:szCs w:val="18"/>
                <w:color w:val="0000EE"/>
                <w:w w:val="88"/>
              </w:rPr>
            </w:pPr>
            <w:hyperlink w:anchor="page72">
              <w:r>
                <w:rPr>
                  <w:rFonts w:ascii="Times New Roman" w:cs="Times New Roman" w:eastAsia="Times New Roman" w:hAnsi="Times New Roman"/>
                  <w:sz w:val="18"/>
                  <w:szCs w:val="18"/>
                  <w:color w:val="0000EE"/>
                  <w:w w:val="88"/>
                </w:rPr>
                <w:t>70</w:t>
              </w:r>
            </w:hyperlink>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7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500" w:type="dxa"/>
            <w:vAlign w:val="bottom"/>
          </w:tcPr>
          <w:p>
            <w:pPr>
              <w:spacing w:after="0" w:line="176" w:lineRule="exact"/>
              <w:rPr>
                <w:rFonts w:ascii="Times New Roman" w:cs="Times New Roman" w:eastAsia="Times New Roman" w:hAnsi="Times New Roman"/>
                <w:sz w:val="18"/>
                <w:szCs w:val="18"/>
                <w:color w:val="0000EE"/>
                <w:w w:val="94"/>
              </w:rPr>
            </w:pPr>
            <w:hyperlink w:anchor="page72">
              <w:r>
                <w:rPr>
                  <w:rFonts w:ascii="Times New Roman" w:cs="Times New Roman" w:eastAsia="Times New Roman" w:hAnsi="Times New Roman"/>
                  <w:sz w:val="18"/>
                  <w:szCs w:val="18"/>
                  <w:color w:val="0000EE"/>
                  <w:w w:val="94"/>
                </w:rPr>
                <w:t>Item 6.</w:t>
              </w:r>
            </w:hyperlink>
          </w:p>
        </w:tc>
        <w:tc>
          <w:tcPr>
            <w:tcW w:w="120" w:type="dxa"/>
            <w:vAlign w:val="bottom"/>
            <w:gridSpan w:val="2"/>
          </w:tcPr>
          <w:p>
            <w:pPr>
              <w:spacing w:after="0"/>
              <w:rPr>
                <w:sz w:val="15"/>
                <w:szCs w:val="15"/>
                <w:color w:val="auto"/>
              </w:rPr>
            </w:pPr>
          </w:p>
        </w:tc>
        <w:tc>
          <w:tcPr>
            <w:tcW w:w="10140" w:type="dxa"/>
            <w:vAlign w:val="bottom"/>
            <w:gridSpan w:val="23"/>
          </w:tcPr>
          <w:p>
            <w:pPr>
              <w:ind w:left="140"/>
              <w:spacing w:after="0" w:line="176" w:lineRule="exact"/>
              <w:rPr>
                <w:rFonts w:ascii="Times New Roman" w:cs="Times New Roman" w:eastAsia="Times New Roman" w:hAnsi="Times New Roman"/>
                <w:sz w:val="18"/>
                <w:szCs w:val="18"/>
                <w:color w:val="0000EE"/>
              </w:rPr>
            </w:pPr>
            <w:hyperlink w:anchor="page72">
              <w:r>
                <w:rPr>
                  <w:rFonts w:ascii="Times New Roman" w:cs="Times New Roman" w:eastAsia="Times New Roman" w:hAnsi="Times New Roman"/>
                  <w:sz w:val="18"/>
                  <w:szCs w:val="18"/>
                  <w:color w:val="0000EE"/>
                </w:rPr>
                <w:t>Exhibits</w:t>
              </w:r>
            </w:hyperlink>
          </w:p>
        </w:tc>
        <w:tc>
          <w:tcPr>
            <w:tcW w:w="420" w:type="dxa"/>
            <w:vAlign w:val="bottom"/>
            <w:gridSpan w:val="3"/>
          </w:tcPr>
          <w:p>
            <w:pPr>
              <w:ind w:left="240"/>
              <w:spacing w:after="0" w:line="176" w:lineRule="exact"/>
              <w:rPr>
                <w:rFonts w:ascii="Times New Roman" w:cs="Times New Roman" w:eastAsia="Times New Roman" w:hAnsi="Times New Roman"/>
                <w:sz w:val="18"/>
                <w:szCs w:val="18"/>
                <w:color w:val="0000EE"/>
                <w:w w:val="88"/>
              </w:rPr>
            </w:pPr>
            <w:hyperlink w:anchor="page72">
              <w:r>
                <w:rPr>
                  <w:rFonts w:ascii="Times New Roman" w:cs="Times New Roman" w:eastAsia="Times New Roman" w:hAnsi="Times New Roman"/>
                  <w:sz w:val="18"/>
                  <w:szCs w:val="18"/>
                  <w:color w:val="0000EE"/>
                  <w:w w:val="88"/>
                </w:rPr>
                <w:t>70</w:t>
              </w:r>
            </w:hyperlink>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140" w:type="dxa"/>
            <w:vAlign w:val="bottom"/>
            <w:gridSpan w:val="23"/>
            <w:shd w:val="clear" w:color="auto" w:fill="CCEEFF"/>
          </w:tcPr>
          <w:p>
            <w:pPr>
              <w:ind w:left="140"/>
              <w:spacing w:after="0" w:line="176" w:lineRule="exact"/>
              <w:rPr>
                <w:rFonts w:ascii="Times New Roman" w:cs="Times New Roman" w:eastAsia="Times New Roman" w:hAnsi="Times New Roman"/>
                <w:sz w:val="18"/>
                <w:szCs w:val="18"/>
                <w:color w:val="0000EE"/>
              </w:rPr>
            </w:pPr>
            <w:hyperlink w:anchor="page73">
              <w:r>
                <w:rPr>
                  <w:rFonts w:ascii="Times New Roman" w:cs="Times New Roman" w:eastAsia="Times New Roman" w:hAnsi="Times New Roman"/>
                  <w:sz w:val="18"/>
                  <w:szCs w:val="18"/>
                  <w:color w:val="0000EE"/>
                </w:rPr>
                <w:t>Signatures</w:t>
              </w:r>
            </w:hyperlink>
          </w:p>
        </w:tc>
        <w:tc>
          <w:tcPr>
            <w:tcW w:w="420" w:type="dxa"/>
            <w:vAlign w:val="bottom"/>
            <w:gridSpan w:val="3"/>
            <w:shd w:val="clear" w:color="auto" w:fill="CCEEFF"/>
          </w:tcPr>
          <w:p>
            <w:pPr>
              <w:ind w:left="240"/>
              <w:spacing w:after="0" w:line="176" w:lineRule="exact"/>
              <w:rPr>
                <w:rFonts w:ascii="Times New Roman" w:cs="Times New Roman" w:eastAsia="Times New Roman" w:hAnsi="Times New Roman"/>
                <w:sz w:val="18"/>
                <w:szCs w:val="18"/>
                <w:color w:val="0000EE"/>
                <w:w w:val="88"/>
              </w:rPr>
            </w:pPr>
            <w:hyperlink w:anchor="page73">
              <w:r>
                <w:rPr>
                  <w:rFonts w:ascii="Times New Roman" w:cs="Times New Roman" w:eastAsia="Times New Roman" w:hAnsi="Times New Roman"/>
                  <w:sz w:val="18"/>
                  <w:szCs w:val="18"/>
                  <w:color w:val="0000EE"/>
                  <w:w w:val="88"/>
                </w:rPr>
                <w:t>71</w:t>
              </w:r>
            </w:hyperlink>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20" w:type="dxa"/>
            <w:vAlign w:val="bottom"/>
            <w:tcBorders>
              <w:top w:val="single" w:sz="8" w:color="CCEEFF"/>
            </w:tcBorders>
            <w:gridSpan w:val="3"/>
          </w:tcPr>
          <w:p>
            <w:pPr>
              <w:spacing w:after="0" w:line="176" w:lineRule="exact"/>
              <w:rPr>
                <w:rFonts w:ascii="Times New Roman" w:cs="Times New Roman" w:eastAsia="Times New Roman" w:hAnsi="Times New Roman"/>
                <w:sz w:val="18"/>
                <w:szCs w:val="18"/>
                <w:color w:val="0000EE"/>
                <w:w w:val="97"/>
              </w:rPr>
            </w:pPr>
            <w:hyperlink w:anchor="page74">
              <w:r>
                <w:rPr>
                  <w:rFonts w:ascii="Times New Roman" w:cs="Times New Roman" w:eastAsia="Times New Roman" w:hAnsi="Times New Roman"/>
                  <w:sz w:val="18"/>
                  <w:szCs w:val="18"/>
                  <w:color w:val="0000EE"/>
                  <w:w w:val="97"/>
                </w:rPr>
                <w:t>EX-31.1</w:t>
              </w:r>
            </w:hyperlink>
          </w:p>
        </w:tc>
        <w:tc>
          <w:tcPr>
            <w:tcW w:w="140" w:type="dxa"/>
            <w:vAlign w:val="bottom"/>
            <w:tcBorders>
              <w:top w:val="single" w:sz="8" w:color="CCEEFF"/>
            </w:tcBorders>
          </w:tcPr>
          <w:p>
            <w:pPr>
              <w:spacing w:after="0"/>
              <w:rPr>
                <w:sz w:val="15"/>
                <w:szCs w:val="15"/>
                <w:color w:val="auto"/>
              </w:rPr>
            </w:pPr>
          </w:p>
        </w:tc>
        <w:tc>
          <w:tcPr>
            <w:tcW w:w="60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4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420" w:type="dxa"/>
            <w:vAlign w:val="bottom"/>
            <w:tcBorders>
              <w:top w:val="single" w:sz="8" w:color="CCEEFF"/>
            </w:tcBorders>
          </w:tcPr>
          <w:p>
            <w:pPr>
              <w:spacing w:after="0"/>
              <w:rPr>
                <w:sz w:val="15"/>
                <w:szCs w:val="15"/>
                <w:color w:val="auto"/>
              </w:rPr>
            </w:pPr>
          </w:p>
        </w:tc>
        <w:tc>
          <w:tcPr>
            <w:tcW w:w="56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178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58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140" w:type="dxa"/>
            <w:vAlign w:val="bottom"/>
            <w:tcBorders>
              <w:top w:val="single" w:sz="8" w:color="CCEEFF"/>
            </w:tcBorders>
          </w:tcPr>
          <w:p>
            <w:pPr>
              <w:spacing w:after="0"/>
              <w:rPr>
                <w:sz w:val="15"/>
                <w:szCs w:val="15"/>
                <w:color w:val="auto"/>
              </w:rPr>
            </w:pPr>
          </w:p>
        </w:tc>
        <w:tc>
          <w:tcPr>
            <w:tcW w:w="900" w:type="dxa"/>
            <w:vAlign w:val="bottom"/>
            <w:tcBorders>
              <w:top w:val="single" w:sz="8" w:color="CCEEFF"/>
            </w:tcBorders>
          </w:tcPr>
          <w:p>
            <w:pPr>
              <w:spacing w:after="0"/>
              <w:rPr>
                <w:sz w:val="15"/>
                <w:szCs w:val="15"/>
                <w:color w:val="auto"/>
              </w:rPr>
            </w:pPr>
          </w:p>
        </w:tc>
        <w:tc>
          <w:tcPr>
            <w:tcW w:w="500" w:type="dxa"/>
            <w:vAlign w:val="bottom"/>
            <w:tcBorders>
              <w:top w:val="single" w:sz="8" w:color="CCEE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420" w:type="dxa"/>
            <w:vAlign w:val="bottom"/>
            <w:tcBorders>
              <w:top w:val="single" w:sz="8" w:color="CCEEFF"/>
            </w:tcBorders>
          </w:tcPr>
          <w:p>
            <w:pPr>
              <w:spacing w:after="0"/>
              <w:rPr>
                <w:sz w:val="15"/>
                <w:szCs w:val="15"/>
                <w:color w:val="auto"/>
              </w:rPr>
            </w:pPr>
          </w:p>
        </w:tc>
        <w:tc>
          <w:tcPr>
            <w:tcW w:w="840" w:type="dxa"/>
            <w:vAlign w:val="bottom"/>
            <w:tcBorders>
              <w:top w:val="single" w:sz="8" w:color="CCEEFF"/>
            </w:tcBorders>
          </w:tcPr>
          <w:p>
            <w:pPr>
              <w:spacing w:after="0"/>
              <w:rPr>
                <w:sz w:val="15"/>
                <w:szCs w:val="15"/>
                <w:color w:val="auto"/>
              </w:rPr>
            </w:pPr>
          </w:p>
        </w:tc>
        <w:tc>
          <w:tcPr>
            <w:tcW w:w="640" w:type="dxa"/>
            <w:vAlign w:val="bottom"/>
            <w:tcBorders>
              <w:top w:val="single" w:sz="8" w:color="CCEE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620" w:type="dxa"/>
            <w:vAlign w:val="bottom"/>
            <w:gridSpan w:val="3"/>
            <w:shd w:val="clear" w:color="auto" w:fill="CCEEFF"/>
          </w:tcPr>
          <w:p>
            <w:pPr>
              <w:spacing w:after="0" w:line="176" w:lineRule="exact"/>
              <w:rPr>
                <w:rFonts w:ascii="Times New Roman" w:cs="Times New Roman" w:eastAsia="Times New Roman" w:hAnsi="Times New Roman"/>
                <w:sz w:val="18"/>
                <w:szCs w:val="18"/>
                <w:color w:val="0000EE"/>
                <w:w w:val="97"/>
              </w:rPr>
            </w:pPr>
            <w:hyperlink w:anchor="page75">
              <w:r>
                <w:rPr>
                  <w:rFonts w:ascii="Times New Roman" w:cs="Times New Roman" w:eastAsia="Times New Roman" w:hAnsi="Times New Roman"/>
                  <w:sz w:val="18"/>
                  <w:szCs w:val="18"/>
                  <w:color w:val="0000EE"/>
                  <w:w w:val="97"/>
                </w:rPr>
                <w:t>EX-31.2</w:t>
              </w:r>
            </w:hyperlink>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7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620" w:type="dxa"/>
            <w:vAlign w:val="bottom"/>
            <w:gridSpan w:val="3"/>
          </w:tcPr>
          <w:p>
            <w:pPr>
              <w:spacing w:after="0" w:line="176" w:lineRule="exact"/>
              <w:rPr>
                <w:rFonts w:ascii="Times New Roman" w:cs="Times New Roman" w:eastAsia="Times New Roman" w:hAnsi="Times New Roman"/>
                <w:sz w:val="18"/>
                <w:szCs w:val="18"/>
                <w:color w:val="0000EE"/>
                <w:w w:val="97"/>
              </w:rPr>
            </w:pPr>
            <w:hyperlink w:anchor="page76">
              <w:r>
                <w:rPr>
                  <w:rFonts w:ascii="Times New Roman" w:cs="Times New Roman" w:eastAsia="Times New Roman" w:hAnsi="Times New Roman"/>
                  <w:sz w:val="18"/>
                  <w:szCs w:val="18"/>
                  <w:color w:val="0000EE"/>
                  <w:w w:val="97"/>
                </w:rPr>
                <w:t>EX-32.1</w:t>
              </w:r>
            </w:hyperlink>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620" w:type="dxa"/>
            <w:vAlign w:val="bottom"/>
            <w:gridSpan w:val="3"/>
            <w:shd w:val="clear" w:color="auto" w:fill="CCEEFF"/>
          </w:tcPr>
          <w:p>
            <w:pPr>
              <w:spacing w:after="0" w:line="176" w:lineRule="exact"/>
              <w:rPr>
                <w:rFonts w:ascii="Times New Roman" w:cs="Times New Roman" w:eastAsia="Times New Roman" w:hAnsi="Times New Roman"/>
                <w:sz w:val="18"/>
                <w:szCs w:val="18"/>
                <w:color w:val="0000EE"/>
                <w:w w:val="97"/>
              </w:rPr>
            </w:pPr>
            <w:hyperlink w:anchor="page77">
              <w:r>
                <w:rPr>
                  <w:rFonts w:ascii="Times New Roman" w:cs="Times New Roman" w:eastAsia="Times New Roman" w:hAnsi="Times New Roman"/>
                  <w:sz w:val="18"/>
                  <w:szCs w:val="18"/>
                  <w:color w:val="0000EE"/>
                  <w:w w:val="97"/>
                </w:rPr>
                <w:t>EX-32.2</w:t>
              </w:r>
            </w:hyperlink>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7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8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 Consolidated Financial Statements</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480" w:type="dxa"/>
            <w:vAlign w:val="bottom"/>
          </w:tcPr>
          <w:p>
            <w:pPr>
              <w:jc w:val="center"/>
              <w:ind w:left="2810"/>
              <w:spacing w:after="0"/>
              <w:rPr>
                <w:sz w:val="20"/>
                <w:szCs w:val="20"/>
                <w:color w:val="auto"/>
              </w:rPr>
            </w:pPr>
            <w:r>
              <w:rPr>
                <w:rFonts w:ascii="Times New Roman" w:cs="Times New Roman" w:eastAsia="Times New Roman" w:hAnsi="Times New Roman"/>
                <w:sz w:val="18"/>
                <w:szCs w:val="18"/>
                <w:b w:val="1"/>
                <w:bCs w:val="1"/>
                <w:color w:val="auto"/>
                <w:w w:val="99"/>
              </w:rPr>
              <w:t>Horizon Technology Finance Corporation and Subsidiaries</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8480" w:type="dxa"/>
            <w:vAlign w:val="bottom"/>
          </w:tcPr>
          <w:p>
            <w:pPr>
              <w:jc w:val="center"/>
              <w:ind w:left="2810"/>
              <w:spacing w:after="0"/>
              <w:rPr>
                <w:sz w:val="20"/>
                <w:szCs w:val="20"/>
                <w:color w:val="auto"/>
              </w:rPr>
            </w:pPr>
            <w:r>
              <w:rPr>
                <w:rFonts w:ascii="Times New Roman" w:cs="Times New Roman" w:eastAsia="Times New Roman" w:hAnsi="Times New Roman"/>
                <w:sz w:val="18"/>
                <w:szCs w:val="18"/>
                <w:b w:val="1"/>
                <w:bCs w:val="1"/>
                <w:color w:val="auto"/>
              </w:rPr>
              <w:t>Consolidated Statements of Assets and Liabilities</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480" w:type="dxa"/>
            <w:vAlign w:val="bottom"/>
          </w:tcPr>
          <w:p>
            <w:pPr>
              <w:jc w:val="center"/>
              <w:ind w:left="2810"/>
              <w:spacing w:after="0"/>
              <w:rPr>
                <w:sz w:val="20"/>
                <w:szCs w:val="20"/>
                <w:color w:val="auto"/>
              </w:rPr>
            </w:pPr>
            <w:r>
              <w:rPr>
                <w:rFonts w:ascii="Times New Roman" w:cs="Times New Roman" w:eastAsia="Times New Roman" w:hAnsi="Times New Roman"/>
                <w:sz w:val="18"/>
                <w:szCs w:val="18"/>
                <w:b w:val="1"/>
                <w:bCs w:val="1"/>
                <w:color w:val="auto"/>
                <w:w w:val="99"/>
              </w:rPr>
              <w:t>(Dollars in thousands, except share and per share data)</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Non-affiliate investments at fair value (cost of $259,778 and $229,772, respectively)</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258,249</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227,624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Non-controlled affiliate investments at fair value (cost of $7,241 and $7,887, respectively) (Note 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8,947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7,574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Controlled affiliate investments at fair value (cost of $14,358 and $13,262, respectively) (Note 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14,323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13,243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investments at fair value (cost of $281,377 and $250,921, respectively) (Note 4)</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281,519</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248,441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Cash</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16,958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12,591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in money market funds</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18,199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Restricted investments in money market funds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1,201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receivable</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4,966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3,966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2,108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1,751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324,951</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266,749</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Borrowings (Note 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149,920</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126,853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Distributions payable</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4,324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3,461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Base management fee payable (Note 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470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Incentive fee payable (Note 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1,443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991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Other accrued expenses</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650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765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156,807</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132,492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assets</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4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Preferred stock, par value $0.001 per share, 1,000,000 shares authorized, zero shares issued and outstanding as of</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September 30, 2019 and December 31, 2019</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4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par value $0.001 per share, 100,000,000 shares authorized, 14,579,940 and 11,702,594 shares issued</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and 14,412,475 and 11,535,129 shares outstanding as of September 30, 2019 and December 31, 2018, respectively</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Paid-in capital in excess of par</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213,007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179,616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Distributable earnings</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(44,878)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(45,371)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net assets</w:t>
            </w:r>
          </w:p>
        </w:tc>
        <w:tc>
          <w:tcPr>
            <w:tcW w:w="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168,144</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134,257</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net assets</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324,951</w:t>
            </w:r>
          </w:p>
        </w:tc>
        <w:tc>
          <w:tcPr>
            <w:tcW w:w="2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266,749</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asset value per common share</w:t>
            </w:r>
          </w:p>
        </w:tc>
        <w:tc>
          <w:tcPr>
            <w:tcW w:w="8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48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11.67</w:t>
            </w:r>
          </w:p>
        </w:tc>
        <w:tc>
          <w:tcPr>
            <w:tcW w:w="20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11.64</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740" w:type="dxa"/>
            <w:vAlign w:val="bottom"/>
            <w:gridSpan w:val="6"/>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20" w:type="dxa"/>
            <w:vAlign w:val="bottom"/>
            <w:gridSpan w:val="6"/>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c>
          <w:tcPr>
            <w:tcW w:w="0" w:type="dxa"/>
            <w:vAlign w:val="bottom"/>
          </w:tcPr>
          <w:p>
            <w:pPr>
              <w:spacing w:after="0"/>
              <w:rPr>
                <w:sz w:val="1"/>
                <w:szCs w:val="1"/>
                <w:color w:val="auto"/>
              </w:rPr>
            </w:pPr>
          </w:p>
        </w:tc>
      </w:tr>
      <w:tr>
        <w:trPr>
          <w:trHeight w:val="238"/>
        </w:trPr>
        <w:tc>
          <w:tcPr>
            <w:tcW w:w="56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6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w w:val="99"/>
              </w:rPr>
              <w:t>2018</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9"/>
              </w:rPr>
              <w:t>2018</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Investment income</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Interest income on investments</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on non-affiliate investments</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8,974</w:t>
            </w: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7,094</w:t>
            </w:r>
          </w:p>
        </w:tc>
        <w:tc>
          <w:tcPr>
            <w:tcW w:w="26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25,429</w:t>
            </w:r>
          </w:p>
        </w:tc>
        <w:tc>
          <w:tcPr>
            <w:tcW w:w="50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20,385</w:t>
            </w:r>
          </w:p>
        </w:tc>
        <w:tc>
          <w:tcPr>
            <w:tcW w:w="0" w:type="dxa"/>
            <w:vAlign w:val="bottom"/>
          </w:tcPr>
          <w:p>
            <w:pPr>
              <w:spacing w:after="0"/>
              <w:rPr>
                <w:sz w:val="1"/>
                <w:szCs w:val="1"/>
                <w:color w:val="auto"/>
              </w:rPr>
            </w:pPr>
          </w:p>
        </w:tc>
      </w:tr>
      <w:tr>
        <w:trPr>
          <w:trHeight w:val="230"/>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on affiliate investments</w:t>
            </w:r>
          </w:p>
        </w:tc>
        <w:tc>
          <w:tcPr>
            <w:tcW w:w="18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210</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645</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528</w:t>
            </w:r>
          </w:p>
        </w:tc>
        <w:tc>
          <w:tcPr>
            <w:tcW w:w="0" w:type="dxa"/>
            <w:vAlign w:val="bottom"/>
          </w:tcPr>
          <w:p>
            <w:pPr>
              <w:spacing w:after="0"/>
              <w:rPr>
                <w:sz w:val="1"/>
                <w:szCs w:val="1"/>
                <w:color w:val="auto"/>
              </w:rPr>
            </w:pP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interest income on investments</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9,184</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26,074</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20,913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Fee income</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Fee income on non-affiliate investments</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382</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865</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Fee income on affiliate investments</w:t>
            </w:r>
          </w:p>
        </w:tc>
        <w:tc>
          <w:tcPr>
            <w:tcW w:w="18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Prepayment fee income on non-affiliate investments</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639</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1,373</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414</w:t>
            </w:r>
          </w:p>
        </w:tc>
        <w:tc>
          <w:tcPr>
            <w:tcW w:w="0" w:type="dxa"/>
            <w:vAlign w:val="bottom"/>
          </w:tcPr>
          <w:p>
            <w:pPr>
              <w:spacing w:after="0"/>
              <w:rPr>
                <w:sz w:val="1"/>
                <w:szCs w:val="1"/>
                <w:color w:val="auto"/>
              </w:rPr>
            </w:pPr>
          </w:p>
        </w:tc>
      </w:tr>
      <w:tr>
        <w:trPr>
          <w:trHeight w:val="270"/>
        </w:trPr>
        <w:tc>
          <w:tcPr>
            <w:tcW w:w="5620" w:type="dxa"/>
            <w:vAlign w:val="bottom"/>
          </w:tcPr>
          <w:p>
            <w:pPr>
              <w:spacing w:after="0" w:line="269" w:lineRule="exact"/>
              <w:rPr>
                <w:sz w:val="20"/>
                <w:szCs w:val="20"/>
                <w:color w:val="auto"/>
              </w:rPr>
            </w:pPr>
            <w:r>
              <w:rPr>
                <w:rFonts w:ascii="Times New Roman" w:cs="Times New Roman" w:eastAsia="Times New Roman" w:hAnsi="Times New Roman"/>
                <w:sz w:val="18"/>
                <w:szCs w:val="18"/>
                <w:color w:val="auto"/>
              </w:rPr>
              <w:t xml:space="preserve">Revenue based payments on non-affiliate investments </w:t>
            </w:r>
            <w:r>
              <w:rPr>
                <w:rFonts w:ascii="Times New Roman" w:cs="Times New Roman" w:eastAsia="Times New Roman" w:hAnsi="Times New Roman"/>
                <w:sz w:val="30"/>
                <w:szCs w:val="30"/>
                <w:color w:val="auto"/>
                <w:vertAlign w:val="superscript"/>
              </w:rPr>
              <w:t>1</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1,080</w:t>
            </w: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fee income</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1,730</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2,853</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Dividend income</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income on controlled affiliate investments</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461</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1,223</w:t>
            </w:r>
          </w:p>
        </w:tc>
        <w:tc>
          <w:tcPr>
            <w:tcW w:w="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10"/>
        </w:trPr>
        <w:tc>
          <w:tcPr>
            <w:tcW w:w="5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dividend income</w:t>
            </w:r>
          </w:p>
        </w:tc>
        <w:tc>
          <w:tcPr>
            <w:tcW w:w="1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1,223</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investment income</w:t>
            </w:r>
          </w:p>
        </w:tc>
        <w:tc>
          <w:tcPr>
            <w:tcW w:w="1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30,150</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1,681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6,209</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4,616</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Base management fee (Note 3)</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1,197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4,055</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3,399</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Performance based incentive fee (Note 3)</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1,297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5,352</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2,823</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Administrative fee (Note 3)</w:t>
            </w:r>
          </w:p>
        </w:tc>
        <w:tc>
          <w:tcPr>
            <w:tcW w:w="18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212</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631</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517</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279</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1,045</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997</w:t>
            </w:r>
          </w:p>
        </w:tc>
        <w:tc>
          <w:tcPr>
            <w:tcW w:w="0" w:type="dxa"/>
            <w:vAlign w:val="bottom"/>
          </w:tcPr>
          <w:p>
            <w:pPr>
              <w:spacing w:after="0"/>
              <w:rPr>
                <w:sz w:val="1"/>
                <w:szCs w:val="1"/>
                <w:color w:val="auto"/>
              </w:rPr>
            </w:pPr>
          </w:p>
        </w:tc>
      </w:tr>
      <w:tr>
        <w:trPr>
          <w:trHeight w:val="230"/>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228</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688</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636</w:t>
            </w:r>
          </w:p>
        </w:tc>
        <w:tc>
          <w:tcPr>
            <w:tcW w:w="0" w:type="dxa"/>
            <w:vAlign w:val="bottom"/>
          </w:tcPr>
          <w:p>
            <w:pPr>
              <w:spacing w:after="0"/>
              <w:rPr>
                <w:sz w:val="1"/>
                <w:szCs w:val="1"/>
                <w:color w:val="auto"/>
              </w:rPr>
            </w:pP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expenses</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5,602</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17,980</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Performance based incentive fee waived (Note 3)</w:t>
            </w: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(1,848</w:t>
            </w:r>
          </w:p>
        </w:tc>
        <w:tc>
          <w:tcPr>
            <w:tcW w:w="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expenses</w:t>
            </w:r>
          </w:p>
        </w:tc>
        <w:tc>
          <w:tcPr>
            <w:tcW w:w="1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16,132</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investment income</w:t>
            </w: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5,773</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3,402</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14,018</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9,902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realized and unrealized (loss) gain on investments</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Net realized (loss) gain on non-affiliate investments</w:t>
            </w:r>
          </w:p>
        </w:tc>
        <w:tc>
          <w:tcPr>
            <w:tcW w:w="180" w:type="dxa"/>
            <w:vAlign w:val="bottom"/>
          </w:tcPr>
          <w:p>
            <w:pPr>
              <w:spacing w:after="0"/>
              <w:rPr>
                <w:sz w:val="19"/>
                <w:szCs w:val="19"/>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(424)</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(3,871)</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0" w:type="dxa"/>
            <w:vAlign w:val="bottom"/>
          </w:tcPr>
          <w:p>
            <w:pPr>
              <w:spacing w:after="0"/>
              <w:rPr>
                <w:sz w:val="1"/>
                <w:szCs w:val="1"/>
                <w:color w:val="auto"/>
              </w:rPr>
            </w:pP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realized (loss) gain on investments</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60" w:type="dxa"/>
            <w:vAlign w:val="bottom"/>
            <w:tcBorders>
              <w:top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(3,871</w:t>
            </w: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Net unrealized (depreciation) appreciation on non-affiliate investments</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6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unrealized appreciation (depreciation) on non-controlled affiliate</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investments</w:t>
            </w:r>
          </w:p>
        </w:tc>
        <w:tc>
          <w:tcPr>
            <w:tcW w:w="1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2,019</w:t>
            </w:r>
          </w:p>
        </w:tc>
        <w:tc>
          <w:tcPr>
            <w:tcW w:w="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30"/>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Net unrealized depreciation on controlled affiliate investments</w:t>
            </w:r>
          </w:p>
        </w:tc>
        <w:tc>
          <w:tcPr>
            <w:tcW w:w="180" w:type="dxa"/>
            <w:vAlign w:val="bottom"/>
          </w:tcPr>
          <w:p>
            <w:pPr>
              <w:spacing w:after="0"/>
              <w:rPr>
                <w:sz w:val="19"/>
                <w:szCs w:val="19"/>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unrealized (depreciation) appreciation on investments</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60" w:type="dxa"/>
            <w:vAlign w:val="bottom"/>
            <w:tcBorders>
              <w:top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2,622</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realized and unrealized (loss) gain on investments</w:t>
            </w: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160" w:type="dxa"/>
            <w:vAlign w:val="bottom"/>
            <w:tcBorders>
              <w:bottom w:val="single" w:sz="8" w:color="CCEEFF"/>
            </w:tcBorders>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(1,249</w:t>
            </w:r>
          </w:p>
        </w:tc>
        <w:tc>
          <w:tcPr>
            <w:tcW w:w="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23"/>
        </w:trPr>
        <w:tc>
          <w:tcPr>
            <w:tcW w:w="5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increase in net assets resulting from operations</w:t>
            </w:r>
          </w:p>
        </w:tc>
        <w:tc>
          <w:tcPr>
            <w:tcW w:w="1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5,206</w:t>
            </w:r>
          </w:p>
        </w:tc>
        <w:tc>
          <w:tcPr>
            <w:tcW w:w="1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4,259</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12,769</w:t>
            </w:r>
          </w:p>
        </w:tc>
        <w:tc>
          <w:tcPr>
            <w:tcW w:w="1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investment income per common share</w:t>
            </w: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2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0.42</w:t>
            </w:r>
          </w:p>
        </w:tc>
        <w:tc>
          <w:tcPr>
            <w:tcW w:w="16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vMerge w:val="continue"/>
          </w:tcPr>
          <w:p>
            <w:pPr>
              <w:spacing w:after="0"/>
              <w:rPr>
                <w:sz w:val="20"/>
                <w:szCs w:val="20"/>
                <w:color w:val="auto"/>
              </w:rPr>
            </w:pPr>
          </w:p>
        </w:tc>
        <w:tc>
          <w:tcPr>
            <w:tcW w:w="440" w:type="dxa"/>
            <w:vAlign w:val="bottom"/>
            <w:tcBorders>
              <w:bottom w:val="single" w:sz="8" w:color="auto"/>
            </w:tcBorders>
          </w:tcPr>
          <w:p>
            <w:pPr>
              <w:jc w:val="right"/>
              <w:ind w:right="2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0.30</w:t>
            </w:r>
          </w:p>
        </w:tc>
        <w:tc>
          <w:tcPr>
            <w:tcW w:w="14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1.08</w:t>
            </w:r>
          </w:p>
        </w:tc>
        <w:tc>
          <w:tcPr>
            <w:tcW w:w="140" w:type="dxa"/>
            <w:vAlign w:val="bottom"/>
            <w:tcBorders>
              <w:bottom w:val="single" w:sz="8" w:color="CCEEFF"/>
            </w:tcBorders>
            <w:vMerge w:val="continue"/>
          </w:tcPr>
          <w:p>
            <w:pPr>
              <w:spacing w:after="0"/>
              <w:rPr>
                <w:sz w:val="20"/>
                <w:szCs w:val="20"/>
                <w:color w:val="auto"/>
              </w:rPr>
            </w:pPr>
          </w:p>
        </w:tc>
        <w:tc>
          <w:tcPr>
            <w:tcW w:w="60" w:type="dxa"/>
            <w:vAlign w:val="bottom"/>
            <w:tcBorders>
              <w:bottom w:val="single" w:sz="8" w:color="CCEEFF"/>
            </w:tcBorders>
            <w:vMerge w:val="continue"/>
          </w:tcPr>
          <w:p>
            <w:pPr>
              <w:spacing w:after="0"/>
              <w:rPr>
                <w:sz w:val="20"/>
                <w:szCs w:val="20"/>
                <w:color w:val="auto"/>
              </w:rPr>
            </w:pPr>
          </w:p>
        </w:tc>
        <w:tc>
          <w:tcPr>
            <w:tcW w:w="440" w:type="dxa"/>
            <w:vAlign w:val="bottom"/>
            <w:tcBorders>
              <w:bottom w:val="single" w:sz="8" w:color="auto"/>
            </w:tcBorders>
          </w:tcPr>
          <w:p>
            <w:pPr>
              <w:jc w:val="right"/>
              <w:ind w:right="2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0.86</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5620" w:type="dxa"/>
            <w:vAlign w:val="bottom"/>
            <w:tcBorders>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Net increase in net assets per common share</w:t>
            </w:r>
          </w:p>
        </w:tc>
        <w:tc>
          <w:tcPr>
            <w:tcW w:w="1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0.38</w:t>
            </w:r>
          </w:p>
        </w:tc>
        <w:tc>
          <w:tcPr>
            <w:tcW w:w="1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ind w:right="2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0.37</w:t>
            </w: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0.98</w:t>
            </w:r>
          </w:p>
        </w:tc>
        <w:tc>
          <w:tcPr>
            <w:tcW w:w="1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ind w:right="2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0.85</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Distributions declared per share</w:t>
            </w: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2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0.30</w:t>
            </w:r>
          </w:p>
        </w:tc>
        <w:tc>
          <w:tcPr>
            <w:tcW w:w="16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vMerge w:val="continue"/>
          </w:tcPr>
          <w:p>
            <w:pPr>
              <w:spacing w:after="0"/>
              <w:rPr>
                <w:sz w:val="20"/>
                <w:szCs w:val="20"/>
                <w:color w:val="auto"/>
              </w:rPr>
            </w:pPr>
          </w:p>
        </w:tc>
        <w:tc>
          <w:tcPr>
            <w:tcW w:w="440" w:type="dxa"/>
            <w:vAlign w:val="bottom"/>
            <w:tcBorders>
              <w:bottom w:val="single" w:sz="8" w:color="auto"/>
            </w:tcBorders>
          </w:tcPr>
          <w:p>
            <w:pPr>
              <w:jc w:val="right"/>
              <w:ind w:right="2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0.30</w:t>
            </w:r>
          </w:p>
        </w:tc>
        <w:tc>
          <w:tcPr>
            <w:tcW w:w="14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0.90</w:t>
            </w:r>
          </w:p>
        </w:tc>
        <w:tc>
          <w:tcPr>
            <w:tcW w:w="140" w:type="dxa"/>
            <w:vAlign w:val="bottom"/>
            <w:tcBorders>
              <w:bottom w:val="single" w:sz="8" w:color="CCEEFF"/>
            </w:tcBorders>
            <w:vMerge w:val="continue"/>
          </w:tcPr>
          <w:p>
            <w:pPr>
              <w:spacing w:after="0"/>
              <w:rPr>
                <w:sz w:val="20"/>
                <w:szCs w:val="20"/>
                <w:color w:val="auto"/>
              </w:rPr>
            </w:pPr>
          </w:p>
        </w:tc>
        <w:tc>
          <w:tcPr>
            <w:tcW w:w="60" w:type="dxa"/>
            <w:vAlign w:val="bottom"/>
            <w:tcBorders>
              <w:bottom w:val="single" w:sz="8" w:color="CCEEFF"/>
            </w:tcBorders>
            <w:vMerge w:val="continue"/>
          </w:tcPr>
          <w:p>
            <w:pPr>
              <w:spacing w:after="0"/>
              <w:rPr>
                <w:sz w:val="20"/>
                <w:szCs w:val="20"/>
                <w:color w:val="auto"/>
              </w:rPr>
            </w:pPr>
          </w:p>
        </w:tc>
        <w:tc>
          <w:tcPr>
            <w:tcW w:w="440" w:type="dxa"/>
            <w:vAlign w:val="bottom"/>
            <w:tcBorders>
              <w:bottom w:val="single" w:sz="8" w:color="auto"/>
            </w:tcBorders>
          </w:tcPr>
          <w:p>
            <w:pPr>
              <w:jc w:val="right"/>
              <w:ind w:right="2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0.90</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5620" w:type="dxa"/>
            <w:vAlign w:val="bottom"/>
            <w:tcBorders>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Weighted average shares outstanding</w:t>
            </w:r>
          </w:p>
        </w:tc>
        <w:tc>
          <w:tcPr>
            <w:tcW w:w="1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13,816,082</w:t>
            </w:r>
          </w:p>
        </w:tc>
        <w:tc>
          <w:tcPr>
            <w:tcW w:w="1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11,529,611</w:t>
            </w: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13,016,839</w:t>
            </w:r>
          </w:p>
        </w:tc>
        <w:tc>
          <w:tcPr>
            <w:tcW w:w="1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8"/>
              </w:rPr>
              <w:t>11,525,906</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8097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53" w:lineRule="exact"/>
        <w:rPr>
          <w:sz w:val="20"/>
          <w:szCs w:val="20"/>
          <w:color w:val="auto"/>
        </w:rPr>
      </w:pPr>
    </w:p>
    <w:p>
      <w:pPr>
        <w:ind w:firstLine="8"/>
        <w:spacing w:after="0" w:line="195" w:lineRule="auto"/>
        <w:tabs>
          <w:tab w:leader="none" w:pos="122" w:val="left"/>
        </w:tabs>
        <w:numPr>
          <w:ilvl w:val="0"/>
          <w:numId w:val="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Revenue Based Payments consist of payments made to the Company by a portfolio company based upon a percentage of such portfolio company’s revenue. Such payments were made in addition to the portfolio company’s regularly scheduled payments of principal and interest.</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Net Assets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Paid-In Capital</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2540" w:type="dxa"/>
            <w:vAlign w:val="bottom"/>
            <w:tcBorders>
              <w:bottom w:val="single" w:sz="8" w:color="auto"/>
            </w:tcBorders>
            <w:gridSpan w:val="3"/>
          </w:tcPr>
          <w:p>
            <w:pPr>
              <w:jc w:val="right"/>
              <w:ind w:right="453"/>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in Excess of</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Distributable</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6"/>
              </w:rPr>
              <w:t>Total Net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152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Par</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June 30, 2018</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11,527,764</w:t>
            </w:r>
          </w:p>
        </w:tc>
        <w:tc>
          <w:tcPr>
            <w:tcW w:w="2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853"/>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12</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179,720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(45,961)</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133,771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1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increase in net assets resulting from operations, net</w:t>
            </w: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of excise tax:</w:t>
            </w:r>
          </w:p>
        </w:tc>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investment income, net of excise tax</w:t>
            </w:r>
          </w:p>
        </w:tc>
        <w:tc>
          <w:tcPr>
            <w:tcW w:w="15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3,402</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Net realized gain on investments</w:t>
            </w: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spacing w:after="0"/>
              <w:rPr>
                <w:sz w:val="18"/>
                <w:szCs w:val="18"/>
                <w:color w:val="auto"/>
              </w:rPr>
            </w:pPr>
          </w:p>
        </w:tc>
        <w:tc>
          <w:tcPr>
            <w:tcW w:w="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66</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unrealized appreciation on investments</w:t>
            </w:r>
          </w:p>
        </w:tc>
        <w:tc>
          <w:tcPr>
            <w:tcW w:w="15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791</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Financing costs</w:t>
            </w: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spacing w:after="0"/>
              <w:rPr>
                <w:sz w:val="18"/>
                <w:szCs w:val="18"/>
                <w:color w:val="auto"/>
              </w:rPr>
            </w:pPr>
          </w:p>
        </w:tc>
        <w:tc>
          <w:tcPr>
            <w:tcW w:w="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1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under dividend</w:t>
            </w:r>
          </w:p>
        </w:tc>
        <w:tc>
          <w:tcPr>
            <w:tcW w:w="1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reinvestment plan</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3,635</w:t>
            </w:r>
          </w:p>
        </w:tc>
        <w:tc>
          <w:tcPr>
            <w:tcW w:w="2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5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Distributions declared</w:t>
            </w: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spacing w:after="0"/>
              <w:rPr>
                <w:sz w:val="19"/>
                <w:szCs w:val="19"/>
                <w:color w:val="auto"/>
              </w:rPr>
            </w:pPr>
          </w:p>
        </w:tc>
        <w:tc>
          <w:tcPr>
            <w:tcW w:w="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(3,460)</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(3,460)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September 30, 2018</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11,531,399</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12</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179,606</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(45,162</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134,456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June 30, 2019</w:t>
            </w:r>
          </w:p>
        </w:tc>
        <w:tc>
          <w:tcPr>
            <w:tcW w:w="15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13,542,873</w:t>
            </w: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14</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202,855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(45,733)</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157,136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stock, net of offering costs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865,728</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10,106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10,107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1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increase in net assets resulting from operations, net</w:t>
            </w:r>
          </w:p>
        </w:tc>
        <w:tc>
          <w:tcPr>
            <w:tcW w:w="1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of excise tax:</w:t>
            </w:r>
          </w:p>
        </w:tc>
        <w:tc>
          <w:tcPr>
            <w:tcW w:w="12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Net investment income, net of excise tax</w:t>
            </w: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spacing w:after="0"/>
              <w:rPr>
                <w:sz w:val="18"/>
                <w:szCs w:val="18"/>
                <w:color w:val="auto"/>
              </w:rPr>
            </w:pPr>
          </w:p>
        </w:tc>
        <w:tc>
          <w:tcPr>
            <w:tcW w:w="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5,773</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realized loss on investments</w:t>
            </w:r>
          </w:p>
        </w:tc>
        <w:tc>
          <w:tcPr>
            <w:tcW w:w="15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Net unrealized depreciation on investments</w:t>
            </w: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spacing w:after="0"/>
              <w:rPr>
                <w:sz w:val="18"/>
                <w:szCs w:val="18"/>
                <w:color w:val="auto"/>
              </w:rPr>
            </w:pPr>
          </w:p>
        </w:tc>
        <w:tc>
          <w:tcPr>
            <w:tcW w:w="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1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under dividend</w:t>
            </w:r>
          </w:p>
        </w:tc>
        <w:tc>
          <w:tcPr>
            <w:tcW w:w="1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reinvestment plan</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3,874</w:t>
            </w:r>
          </w:p>
        </w:tc>
        <w:tc>
          <w:tcPr>
            <w:tcW w:w="2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5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Distributions declared</w:t>
            </w: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spacing w:after="0"/>
              <w:rPr>
                <w:sz w:val="19"/>
                <w:szCs w:val="19"/>
                <w:color w:val="auto"/>
              </w:rPr>
            </w:pPr>
          </w:p>
        </w:tc>
        <w:tc>
          <w:tcPr>
            <w:tcW w:w="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(4,351)</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September 30, 2019</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14,412,475</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ind w:right="853"/>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tcBorders>
              <w:top w:val="single" w:sz="8" w:color="auto"/>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15</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213,007</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(44,878</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168,144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Paid-In Capital</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2540" w:type="dxa"/>
            <w:vAlign w:val="bottom"/>
            <w:tcBorders>
              <w:bottom w:val="single" w:sz="8" w:color="auto"/>
            </w:tcBorders>
            <w:gridSpan w:val="3"/>
          </w:tcPr>
          <w:p>
            <w:pPr>
              <w:jc w:val="right"/>
              <w:ind w:right="453"/>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in Excess of</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Distributable</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6"/>
              </w:rPr>
              <w:t>Total Net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152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Par</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2017</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11,520,406</w:t>
            </w:r>
          </w:p>
        </w:tc>
        <w:tc>
          <w:tcPr>
            <w:tcW w:w="2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853"/>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12</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179,641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(44,578)</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135,075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1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increase in net assets resulting from operations, net</w:t>
            </w: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of excise tax:</w:t>
            </w:r>
          </w:p>
        </w:tc>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investment income, net of excise tax</w:t>
            </w:r>
          </w:p>
        </w:tc>
        <w:tc>
          <w:tcPr>
            <w:tcW w:w="15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9,902</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Net realized loss on investments</w:t>
            </w: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spacing w:after="0"/>
              <w:rPr>
                <w:sz w:val="18"/>
                <w:szCs w:val="18"/>
                <w:color w:val="auto"/>
              </w:rPr>
            </w:pPr>
          </w:p>
        </w:tc>
        <w:tc>
          <w:tcPr>
            <w:tcW w:w="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unrealized appreciation on investments</w:t>
            </w:r>
          </w:p>
        </w:tc>
        <w:tc>
          <w:tcPr>
            <w:tcW w:w="15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127</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Financing costs</w:t>
            </w: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spacing w:after="0"/>
              <w:rPr>
                <w:sz w:val="18"/>
                <w:szCs w:val="18"/>
                <w:color w:val="auto"/>
              </w:rPr>
            </w:pPr>
          </w:p>
        </w:tc>
        <w:tc>
          <w:tcPr>
            <w:tcW w:w="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1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under dividend</w:t>
            </w:r>
          </w:p>
        </w:tc>
        <w:tc>
          <w:tcPr>
            <w:tcW w:w="1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reinvestment plan</w:t>
            </w:r>
          </w:p>
        </w:tc>
        <w:tc>
          <w:tcPr>
            <w:tcW w:w="15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10,993</w:t>
            </w:r>
          </w:p>
        </w:tc>
        <w:tc>
          <w:tcPr>
            <w:tcW w:w="1020" w:type="dxa"/>
            <w:vAlign w:val="bottom"/>
            <w:shd w:val="clear" w:color="auto" w:fill="CCEEFF"/>
          </w:tcPr>
          <w:p>
            <w:pPr>
              <w:spacing w:after="0"/>
              <w:rPr>
                <w:sz w:val="20"/>
                <w:szCs w:val="20"/>
                <w:color w:val="auto"/>
              </w:rPr>
            </w:pPr>
          </w:p>
        </w:tc>
        <w:tc>
          <w:tcPr>
            <w:tcW w:w="5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120</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Distributions declared</w:t>
            </w: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spacing w:after="0"/>
              <w:rPr>
                <w:sz w:val="19"/>
                <w:szCs w:val="19"/>
                <w:color w:val="auto"/>
              </w:rPr>
            </w:pPr>
          </w:p>
        </w:tc>
        <w:tc>
          <w:tcPr>
            <w:tcW w:w="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(10,376)</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(10,376)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September 30, 2018</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11,531,399</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12</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179,606</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(45,162</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134,456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100" w:type="dxa"/>
            <w:vAlign w:val="bottom"/>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2018</w:t>
            </w:r>
          </w:p>
        </w:tc>
        <w:tc>
          <w:tcPr>
            <w:tcW w:w="15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11,535,129</w:t>
            </w: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12</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179,616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(45,371)</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134,257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stock, net of offering costs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2,865,728</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33,251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33,254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1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increase in net assets resulting from operations, net</w:t>
            </w:r>
          </w:p>
        </w:tc>
        <w:tc>
          <w:tcPr>
            <w:tcW w:w="1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of excise tax:</w:t>
            </w:r>
          </w:p>
        </w:tc>
        <w:tc>
          <w:tcPr>
            <w:tcW w:w="12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Net investment income, net of excise tax</w:t>
            </w: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spacing w:after="0"/>
              <w:rPr>
                <w:sz w:val="18"/>
                <w:szCs w:val="18"/>
                <w:color w:val="auto"/>
              </w:rPr>
            </w:pPr>
          </w:p>
        </w:tc>
        <w:tc>
          <w:tcPr>
            <w:tcW w:w="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14,018</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realized loss on investments</w:t>
            </w:r>
          </w:p>
        </w:tc>
        <w:tc>
          <w:tcPr>
            <w:tcW w:w="15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(3,871)</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Net unrealized appreciation on investments</w:t>
            </w: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spacing w:after="0"/>
              <w:rPr>
                <w:sz w:val="18"/>
                <w:szCs w:val="18"/>
                <w:color w:val="auto"/>
              </w:rPr>
            </w:pPr>
          </w:p>
        </w:tc>
        <w:tc>
          <w:tcPr>
            <w:tcW w:w="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2,622</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2,622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1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under dividend</w:t>
            </w:r>
          </w:p>
        </w:tc>
        <w:tc>
          <w:tcPr>
            <w:tcW w:w="1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reinvestment plan</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11,618</w:t>
            </w:r>
          </w:p>
        </w:tc>
        <w:tc>
          <w:tcPr>
            <w:tcW w:w="2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5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140</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Distributions declared</w:t>
            </w: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spacing w:after="0"/>
              <w:rPr>
                <w:sz w:val="19"/>
                <w:szCs w:val="19"/>
                <w:color w:val="auto"/>
              </w:rPr>
            </w:pPr>
          </w:p>
        </w:tc>
        <w:tc>
          <w:tcPr>
            <w:tcW w:w="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(12,276)</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(12,276)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September 30, 2019</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14,412,475</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ind w:right="853"/>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tcBorders>
              <w:top w:val="single" w:sz="8" w:color="auto"/>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15</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213,007</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(44,878</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168,144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8"/>
        </w:trPr>
        <w:tc>
          <w:tcPr>
            <w:tcW w:w="8460" w:type="dxa"/>
            <w:vAlign w:val="bottom"/>
          </w:tcPr>
          <w:p>
            <w:pPr>
              <w:jc w:val="center"/>
              <w:ind w:left="2870"/>
              <w:spacing w:after="0"/>
              <w:rPr>
                <w:sz w:val="20"/>
                <w:szCs w:val="20"/>
                <w:color w:val="auto"/>
              </w:rPr>
            </w:pPr>
            <w:r>
              <w:rPr>
                <w:rFonts w:ascii="Times New Roman" w:cs="Times New Roman" w:eastAsia="Times New Roman" w:hAnsi="Times New Roman"/>
                <w:sz w:val="18"/>
                <w:szCs w:val="18"/>
                <w:b w:val="1"/>
                <w:bCs w:val="1"/>
                <w:color w:val="auto"/>
                <w:w w:val="99"/>
              </w:rPr>
              <w:t>Horizon Technology Finance Corporation and Subsidiaries</w:t>
            </w: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8460" w:type="dxa"/>
            <w:vAlign w:val="bottom"/>
          </w:tcPr>
          <w:p>
            <w:pPr>
              <w:jc w:val="center"/>
              <w:ind w:left="289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Cash Flows (Unaudited)</w:t>
            </w: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8460" w:type="dxa"/>
            <w:vAlign w:val="bottom"/>
          </w:tcPr>
          <w:p>
            <w:pPr>
              <w:jc w:val="center"/>
              <w:ind w:left="2870"/>
              <w:spacing w:after="0"/>
              <w:rPr>
                <w:sz w:val="20"/>
                <w:szCs w:val="20"/>
                <w:color w:val="auto"/>
              </w:rPr>
            </w:pPr>
            <w:r>
              <w:rPr>
                <w:rFonts w:ascii="Times New Roman" w:cs="Times New Roman" w:eastAsia="Times New Roman" w:hAnsi="Times New Roman"/>
                <w:sz w:val="18"/>
                <w:szCs w:val="18"/>
                <w:b w:val="1"/>
                <w:bCs w:val="1"/>
                <w:color w:val="auto"/>
                <w:w w:val="99"/>
              </w:rPr>
              <w:t>(Dollars in thousands)</w:t>
            </w: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8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40" w:type="dxa"/>
            <w:vAlign w:val="bottom"/>
            <w:gridSpan w:val="6"/>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c>
          <w:tcPr>
            <w:tcW w:w="0" w:type="dxa"/>
            <w:vAlign w:val="bottom"/>
          </w:tcPr>
          <w:p>
            <w:pPr>
              <w:spacing w:after="0"/>
              <w:rPr>
                <w:sz w:val="1"/>
                <w:szCs w:val="1"/>
                <w:color w:val="auto"/>
              </w:rPr>
            </w:pPr>
          </w:p>
        </w:tc>
      </w:tr>
      <w:tr>
        <w:trPr>
          <w:trHeight w:val="238"/>
        </w:trPr>
        <w:tc>
          <w:tcPr>
            <w:tcW w:w="84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4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in net assets resulting from operations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12,769</w:t>
            </w:r>
          </w:p>
        </w:tc>
        <w:tc>
          <w:tcPr>
            <w:tcW w:w="54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9,792</w:t>
            </w:r>
          </w:p>
        </w:tc>
        <w:tc>
          <w:tcPr>
            <w:tcW w:w="0" w:type="dxa"/>
            <w:vAlign w:val="bottom"/>
          </w:tcPr>
          <w:p>
            <w:pPr>
              <w:spacing w:after="0"/>
              <w:rPr>
                <w:sz w:val="1"/>
                <w:szCs w:val="1"/>
                <w:color w:val="auto"/>
              </w:rPr>
            </w:pPr>
          </w:p>
        </w:tc>
      </w:tr>
      <w:tr>
        <w:trPr>
          <w:trHeight w:val="198"/>
        </w:trPr>
        <w:tc>
          <w:tcPr>
            <w:tcW w:w="84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Adjustments to reconcile net increase in net assets resulting from operations to net cash used in operating</w:t>
            </w: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activities:</w:t>
            </w:r>
          </w:p>
        </w:tc>
        <w:tc>
          <w:tcPr>
            <w:tcW w:w="2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46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2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522</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420</w:t>
            </w:r>
          </w:p>
        </w:tc>
        <w:tc>
          <w:tcPr>
            <w:tcW w:w="0" w:type="dxa"/>
            <w:vAlign w:val="bottom"/>
          </w:tcPr>
          <w:p>
            <w:pPr>
              <w:spacing w:after="0"/>
              <w:rPr>
                <w:sz w:val="1"/>
                <w:szCs w:val="1"/>
                <w:color w:val="auto"/>
              </w:rPr>
            </w:pPr>
          </w:p>
        </w:tc>
      </w:tr>
      <w:tr>
        <w:trPr>
          <w:trHeight w:val="216"/>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realized loss on investments</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237</w:t>
            </w:r>
          </w:p>
        </w:tc>
        <w:tc>
          <w:tcPr>
            <w:tcW w:w="0" w:type="dxa"/>
            <w:vAlign w:val="bottom"/>
          </w:tcPr>
          <w:p>
            <w:pPr>
              <w:spacing w:after="0"/>
              <w:rPr>
                <w:sz w:val="1"/>
                <w:szCs w:val="1"/>
                <w:color w:val="auto"/>
              </w:rPr>
            </w:pPr>
          </w:p>
        </w:tc>
      </w:tr>
      <w:tr>
        <w:trPr>
          <w:trHeight w:val="216"/>
        </w:trPr>
        <w:tc>
          <w:tcPr>
            <w:tcW w:w="8460" w:type="dxa"/>
            <w:vAlign w:val="bottom"/>
          </w:tcPr>
          <w:p>
            <w:pPr>
              <w:spacing w:after="0"/>
              <w:rPr>
                <w:sz w:val="20"/>
                <w:szCs w:val="20"/>
                <w:color w:val="auto"/>
              </w:rPr>
            </w:pPr>
            <w:r>
              <w:rPr>
                <w:rFonts w:ascii="Times New Roman" w:cs="Times New Roman" w:eastAsia="Times New Roman" w:hAnsi="Times New Roman"/>
                <w:sz w:val="18"/>
                <w:szCs w:val="18"/>
                <w:color w:val="auto"/>
              </w:rPr>
              <w:t>Net unrealized appreciation on investments</w:t>
            </w:r>
          </w:p>
        </w:tc>
        <w:tc>
          <w:tcPr>
            <w:tcW w:w="2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(2,622)</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16"/>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investments</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(135,284)</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(62,246)</w:t>
            </w:r>
          </w:p>
        </w:tc>
        <w:tc>
          <w:tcPr>
            <w:tcW w:w="0" w:type="dxa"/>
            <w:vAlign w:val="bottom"/>
          </w:tcPr>
          <w:p>
            <w:pPr>
              <w:spacing w:after="0"/>
              <w:rPr>
                <w:sz w:val="1"/>
                <w:szCs w:val="1"/>
                <w:color w:val="auto"/>
              </w:rPr>
            </w:pPr>
          </w:p>
        </w:tc>
      </w:tr>
      <w:tr>
        <w:trPr>
          <w:trHeight w:val="216"/>
        </w:trPr>
        <w:tc>
          <w:tcPr>
            <w:tcW w:w="8460" w:type="dxa"/>
            <w:vAlign w:val="bottom"/>
          </w:tcPr>
          <w:p>
            <w:pPr>
              <w:spacing w:after="0"/>
              <w:rPr>
                <w:sz w:val="20"/>
                <w:szCs w:val="20"/>
                <w:color w:val="auto"/>
              </w:rPr>
            </w:pPr>
            <w:r>
              <w:rPr>
                <w:rFonts w:ascii="Times New Roman" w:cs="Times New Roman" w:eastAsia="Times New Roman" w:hAnsi="Times New Roman"/>
                <w:sz w:val="18"/>
                <w:szCs w:val="18"/>
                <w:color w:val="auto"/>
              </w:rPr>
              <w:t>Principal payments received on investments</w:t>
            </w:r>
          </w:p>
        </w:tc>
        <w:tc>
          <w:tcPr>
            <w:tcW w:w="2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101,117</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46,503</w:t>
            </w:r>
          </w:p>
        </w:tc>
        <w:tc>
          <w:tcPr>
            <w:tcW w:w="0" w:type="dxa"/>
            <w:vAlign w:val="bottom"/>
          </w:tcPr>
          <w:p>
            <w:pPr>
              <w:spacing w:after="0"/>
              <w:rPr>
                <w:sz w:val="1"/>
                <w:szCs w:val="1"/>
                <w:color w:val="auto"/>
              </w:rPr>
            </w:pPr>
          </w:p>
        </w:tc>
      </w:tr>
      <w:tr>
        <w:trPr>
          <w:trHeight w:val="216"/>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sale of investments</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3,360</w:t>
            </w:r>
          </w:p>
        </w:tc>
        <w:tc>
          <w:tcPr>
            <w:tcW w:w="0" w:type="dxa"/>
            <w:vAlign w:val="bottom"/>
          </w:tcPr>
          <w:p>
            <w:pPr>
              <w:spacing w:after="0"/>
              <w:rPr>
                <w:sz w:val="1"/>
                <w:szCs w:val="1"/>
                <w:color w:val="auto"/>
              </w:rPr>
            </w:pPr>
          </w:p>
        </w:tc>
      </w:tr>
      <w:tr>
        <w:trPr>
          <w:trHeight w:val="216"/>
        </w:trPr>
        <w:tc>
          <w:tcPr>
            <w:tcW w:w="846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 controlled affiliate investments</w:t>
            </w:r>
          </w:p>
        </w:tc>
        <w:tc>
          <w:tcPr>
            <w:tcW w:w="2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(589)</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(4,413)</w:t>
            </w:r>
          </w:p>
        </w:tc>
        <w:tc>
          <w:tcPr>
            <w:tcW w:w="0" w:type="dxa"/>
            <w:vAlign w:val="bottom"/>
          </w:tcPr>
          <w:p>
            <w:pPr>
              <w:spacing w:after="0"/>
              <w:rPr>
                <w:sz w:val="1"/>
                <w:szCs w:val="1"/>
                <w:color w:val="auto"/>
              </w:rPr>
            </w:pPr>
          </w:p>
        </w:tc>
      </w:tr>
      <w:tr>
        <w:trPr>
          <w:trHeight w:val="216"/>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Distributions from controlled affiliate investment</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715</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460" w:type="dxa"/>
            <w:vAlign w:val="bottom"/>
          </w:tcPr>
          <w:p>
            <w:pPr>
              <w:spacing w:after="0"/>
              <w:rPr>
                <w:sz w:val="20"/>
                <w:szCs w:val="20"/>
                <w:color w:val="auto"/>
              </w:rPr>
            </w:pPr>
            <w:r>
              <w:rPr>
                <w:rFonts w:ascii="Times New Roman" w:cs="Times New Roman" w:eastAsia="Times New Roman" w:hAnsi="Times New Roman"/>
                <w:sz w:val="18"/>
                <w:szCs w:val="18"/>
                <w:color w:val="auto"/>
              </w:rPr>
              <w:t>Dividends from controlled affiliate investment</w:t>
            </w:r>
          </w:p>
        </w:tc>
        <w:tc>
          <w:tcPr>
            <w:tcW w:w="2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(1,223)</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received in settlement of fee income</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0" w:type="dxa"/>
            <w:vAlign w:val="bottom"/>
          </w:tcPr>
          <w:p>
            <w:pPr>
              <w:spacing w:after="0"/>
              <w:rPr>
                <w:sz w:val="1"/>
                <w:szCs w:val="1"/>
                <w:color w:val="auto"/>
              </w:rPr>
            </w:pPr>
          </w:p>
        </w:tc>
      </w:tr>
      <w:tr>
        <w:trPr>
          <w:trHeight w:val="216"/>
        </w:trPr>
        <w:tc>
          <w:tcPr>
            <w:tcW w:w="8460" w:type="dxa"/>
            <w:vAlign w:val="bottom"/>
          </w:tcPr>
          <w:p>
            <w:pPr>
              <w:spacing w:after="0"/>
              <w:rPr>
                <w:sz w:val="20"/>
                <w:szCs w:val="20"/>
                <w:color w:val="auto"/>
              </w:rPr>
            </w:pPr>
            <w:r>
              <w:rPr>
                <w:rFonts w:ascii="Times New Roman" w:cs="Times New Roman" w:eastAsia="Times New Roman" w:hAnsi="Times New Roman"/>
                <w:sz w:val="18"/>
                <w:szCs w:val="18"/>
                <w:color w:val="auto"/>
              </w:rPr>
              <w:t>Warrants received in settlement of fee income</w:t>
            </w:r>
          </w:p>
        </w:tc>
        <w:tc>
          <w:tcPr>
            <w:tcW w:w="2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16"/>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Increase in money market funds</w:t>
            </w:r>
          </w:p>
        </w:tc>
        <w:tc>
          <w:tcPr>
            <w:tcW w:w="2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(18,199)</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Increase in restricted account</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(1,201)</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Increase in interest receivable</w:t>
            </w:r>
          </w:p>
        </w:tc>
        <w:tc>
          <w:tcPr>
            <w:tcW w:w="2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(507)</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6"/>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Increase in end-of-term payments</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(493)</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0" w:type="dxa"/>
            <w:vAlign w:val="bottom"/>
          </w:tcPr>
          <w:p>
            <w:pPr>
              <w:spacing w:after="0"/>
              <w:rPr>
                <w:sz w:val="1"/>
                <w:szCs w:val="1"/>
                <w:color w:val="auto"/>
              </w:rPr>
            </w:pPr>
          </w:p>
        </w:tc>
      </w:tr>
      <w:tr>
        <w:trPr>
          <w:trHeight w:val="216"/>
        </w:trPr>
        <w:tc>
          <w:tcPr>
            <w:tcW w:w="8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Decrease in unearned income</w:t>
            </w:r>
          </w:p>
        </w:tc>
        <w:tc>
          <w:tcPr>
            <w:tcW w:w="2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(1,491)</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0" w:type="dxa"/>
            <w:vAlign w:val="bottom"/>
          </w:tcPr>
          <w:p>
            <w:pPr>
              <w:spacing w:after="0"/>
              <w:rPr>
                <w:sz w:val="1"/>
                <w:szCs w:val="1"/>
                <w:color w:val="auto"/>
              </w:rPr>
            </w:pPr>
          </w:p>
        </w:tc>
      </w:tr>
      <w:tr>
        <w:trPr>
          <w:trHeight w:val="216"/>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(Increase) decrease in other assets</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(516)</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16"/>
        </w:trPr>
        <w:tc>
          <w:tcPr>
            <w:tcW w:w="8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(Decrease) increase in other accrued expenses</w:t>
            </w:r>
          </w:p>
        </w:tc>
        <w:tc>
          <w:tcPr>
            <w:tcW w:w="2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16"/>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Increase in base management fee payable</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30"/>
        </w:trPr>
        <w:tc>
          <w:tcPr>
            <w:tcW w:w="8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Increase in incentive fee payable</w:t>
            </w:r>
          </w:p>
        </w:tc>
        <w:tc>
          <w:tcPr>
            <w:tcW w:w="220" w:type="dxa"/>
            <w:vAlign w:val="bottom"/>
          </w:tcPr>
          <w:p>
            <w:pPr>
              <w:spacing w:after="0"/>
              <w:rPr>
                <w:sz w:val="19"/>
                <w:szCs w:val="19"/>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452</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310</w:t>
            </w:r>
          </w:p>
        </w:tc>
        <w:tc>
          <w:tcPr>
            <w:tcW w:w="0" w:type="dxa"/>
            <w:vAlign w:val="bottom"/>
          </w:tcPr>
          <w:p>
            <w:pPr>
              <w:spacing w:after="0"/>
              <w:rPr>
                <w:sz w:val="1"/>
                <w:szCs w:val="1"/>
                <w:color w:val="auto"/>
              </w:rPr>
            </w:pPr>
          </w:p>
        </w:tc>
      </w:tr>
      <w:tr>
        <w:trPr>
          <w:trHeight w:val="210"/>
        </w:trPr>
        <w:tc>
          <w:tcPr>
            <w:tcW w:w="846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(40,307</w:t>
            </w:r>
          </w:p>
        </w:tc>
        <w:tc>
          <w:tcPr>
            <w:tcW w:w="200" w:type="dxa"/>
            <w:vAlign w:val="bottom"/>
            <w:tcBorders>
              <w:top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(7,730</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8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issuance of common stock, net of offering costs</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33,254</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46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Asset-Backed Notes</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Advances on credit facility</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49,500</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28,000</w:t>
            </w:r>
          </w:p>
        </w:tc>
        <w:tc>
          <w:tcPr>
            <w:tcW w:w="0" w:type="dxa"/>
            <w:vAlign w:val="bottom"/>
          </w:tcPr>
          <w:p>
            <w:pPr>
              <w:spacing w:after="0"/>
              <w:rPr>
                <w:sz w:val="1"/>
                <w:szCs w:val="1"/>
                <w:color w:val="auto"/>
              </w:rPr>
            </w:pPr>
          </w:p>
        </w:tc>
      </w:tr>
      <w:tr>
        <w:trPr>
          <w:trHeight w:val="216"/>
        </w:trPr>
        <w:tc>
          <w:tcPr>
            <w:tcW w:w="8460" w:type="dxa"/>
            <w:vAlign w:val="bottom"/>
          </w:tcPr>
          <w:p>
            <w:pPr>
              <w:spacing w:after="0"/>
              <w:rPr>
                <w:sz w:val="20"/>
                <w:szCs w:val="20"/>
                <w:color w:val="auto"/>
              </w:rPr>
            </w:pPr>
            <w:r>
              <w:rPr>
                <w:rFonts w:ascii="Times New Roman" w:cs="Times New Roman" w:eastAsia="Times New Roman" w:hAnsi="Times New Roman"/>
                <w:sz w:val="18"/>
                <w:szCs w:val="18"/>
                <w:color w:val="auto"/>
              </w:rPr>
              <w:t>Repayment of credit facility</w:t>
            </w:r>
          </w:p>
        </w:tc>
        <w:tc>
          <w:tcPr>
            <w:tcW w:w="2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(125,000)</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16"/>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issuance costs</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(1,808)</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0" w:type="dxa"/>
            <w:vAlign w:val="bottom"/>
          </w:tcPr>
          <w:p>
            <w:pPr>
              <w:spacing w:after="0"/>
              <w:rPr>
                <w:sz w:val="1"/>
                <w:szCs w:val="1"/>
                <w:color w:val="auto"/>
              </w:rPr>
            </w:pPr>
          </w:p>
        </w:tc>
      </w:tr>
      <w:tr>
        <w:trPr>
          <w:trHeight w:val="216"/>
        </w:trPr>
        <w:tc>
          <w:tcPr>
            <w:tcW w:w="8460" w:type="dxa"/>
            <w:vAlign w:val="bottom"/>
          </w:tcPr>
          <w:p>
            <w:pPr>
              <w:spacing w:after="0"/>
              <w:rPr>
                <w:sz w:val="20"/>
                <w:szCs w:val="20"/>
                <w:color w:val="auto"/>
              </w:rPr>
            </w:pPr>
            <w:r>
              <w:rPr>
                <w:rFonts w:ascii="Times New Roman" w:cs="Times New Roman" w:eastAsia="Times New Roman" w:hAnsi="Times New Roman"/>
                <w:sz w:val="18"/>
                <w:szCs w:val="18"/>
                <w:color w:val="auto"/>
              </w:rPr>
              <w:t>Distributions paid</w:t>
            </w:r>
          </w:p>
        </w:tc>
        <w:tc>
          <w:tcPr>
            <w:tcW w:w="2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(11,272)</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(10,253)</w:t>
            </w:r>
          </w:p>
        </w:tc>
        <w:tc>
          <w:tcPr>
            <w:tcW w:w="0" w:type="dxa"/>
            <w:vAlign w:val="bottom"/>
          </w:tcPr>
          <w:p>
            <w:pPr>
              <w:spacing w:after="0"/>
              <w:rPr>
                <w:sz w:val="1"/>
                <w:szCs w:val="1"/>
                <w:color w:val="auto"/>
              </w:rPr>
            </w:pPr>
          </w:p>
        </w:tc>
      </w:tr>
      <w:tr>
        <w:trPr>
          <w:trHeight w:val="230"/>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costs</w:t>
            </w: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10"/>
        </w:trPr>
        <w:tc>
          <w:tcPr>
            <w:tcW w:w="8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44,674</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7,045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increase(decrease) in cash</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w:t>
            </w: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of period</w:t>
            </w: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12,591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6,594</w:t>
            </w:r>
          </w:p>
        </w:tc>
        <w:tc>
          <w:tcPr>
            <w:tcW w:w="0" w:type="dxa"/>
            <w:vAlign w:val="bottom"/>
          </w:tcPr>
          <w:p>
            <w:pPr>
              <w:spacing w:after="0"/>
              <w:rPr>
                <w:sz w:val="1"/>
                <w:szCs w:val="1"/>
                <w:color w:val="auto"/>
              </w:rPr>
            </w:pPr>
          </w:p>
        </w:tc>
      </w:tr>
      <w:tr>
        <w:trPr>
          <w:trHeight w:val="263"/>
        </w:trPr>
        <w:tc>
          <w:tcPr>
            <w:tcW w:w="8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End of period</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16,958</w:t>
            </w:r>
          </w:p>
        </w:tc>
        <w:tc>
          <w:tcPr>
            <w:tcW w:w="2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5,909</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84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8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paid for interest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5,801</w:t>
            </w:r>
          </w:p>
        </w:tc>
        <w:tc>
          <w:tcPr>
            <w:tcW w:w="200" w:type="dxa"/>
            <w:vAlign w:val="bottom"/>
          </w:tcPr>
          <w:p>
            <w:pPr>
              <w:spacing w:after="0"/>
              <w:rPr>
                <w:sz w:val="24"/>
                <w:szCs w:val="24"/>
                <w:color w:val="auto"/>
              </w:rPr>
            </w:pPr>
          </w:p>
        </w:tc>
        <w:tc>
          <w:tcPr>
            <w:tcW w:w="54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4,085</w:t>
            </w:r>
          </w:p>
        </w:tc>
        <w:tc>
          <w:tcPr>
            <w:tcW w:w="0" w:type="dxa"/>
            <w:vAlign w:val="bottom"/>
          </w:tcPr>
          <w:p>
            <w:pPr>
              <w:spacing w:after="0"/>
              <w:rPr>
                <w:sz w:val="1"/>
                <w:szCs w:val="1"/>
                <w:color w:val="auto"/>
              </w:rPr>
            </w:pPr>
          </w:p>
        </w:tc>
      </w:tr>
      <w:tr>
        <w:trPr>
          <w:trHeight w:val="197"/>
        </w:trPr>
        <w:tc>
          <w:tcPr>
            <w:tcW w:w="84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Supplemental non-cash investing and financing activities:</w:t>
            </w:r>
          </w:p>
        </w:tc>
        <w:tc>
          <w:tcPr>
            <w:tcW w:w="2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8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Warrant investments received and recorded as unearned income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1,675</w:t>
            </w:r>
          </w:p>
        </w:tc>
        <w:tc>
          <w:tcPr>
            <w:tcW w:w="200" w:type="dxa"/>
            <w:vAlign w:val="bottom"/>
          </w:tcPr>
          <w:p>
            <w:pPr>
              <w:spacing w:after="0"/>
              <w:rPr>
                <w:sz w:val="24"/>
                <w:szCs w:val="24"/>
                <w:color w:val="auto"/>
              </w:rPr>
            </w:pPr>
          </w:p>
        </w:tc>
        <w:tc>
          <w:tcPr>
            <w:tcW w:w="54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1,007</w:t>
            </w:r>
          </w:p>
        </w:tc>
        <w:tc>
          <w:tcPr>
            <w:tcW w:w="0" w:type="dxa"/>
            <w:vAlign w:val="bottom"/>
          </w:tcPr>
          <w:p>
            <w:pPr>
              <w:spacing w:after="0"/>
              <w:rPr>
                <w:sz w:val="1"/>
                <w:szCs w:val="1"/>
                <w:color w:val="auto"/>
              </w:rPr>
            </w:pPr>
          </w:p>
        </w:tc>
      </w:tr>
      <w:tr>
        <w:trPr>
          <w:trHeight w:val="197"/>
        </w:trPr>
        <w:tc>
          <w:tcPr>
            <w:tcW w:w="8460" w:type="dxa"/>
            <w:vAlign w:val="bottom"/>
            <w:tcBorders>
              <w:top w:val="single" w:sz="8" w:color="CCEEFF"/>
              <w:bottom w:val="single" w:sz="8" w:color="CCEEFF"/>
            </w:tcBorders>
            <w:shd w:val="clear" w:color="auto" w:fill="CCEEFF"/>
          </w:tcPr>
          <w:p>
            <w:pPr>
              <w:ind w:left="180"/>
              <w:spacing w:after="0" w:line="195" w:lineRule="exact"/>
              <w:rPr>
                <w:sz w:val="20"/>
                <w:szCs w:val="20"/>
                <w:color w:val="auto"/>
              </w:rPr>
            </w:pPr>
            <w:r>
              <w:rPr>
                <w:rFonts w:ascii="Times New Roman" w:cs="Times New Roman" w:eastAsia="Times New Roman" w:hAnsi="Times New Roman"/>
                <w:sz w:val="18"/>
                <w:szCs w:val="18"/>
                <w:color w:val="auto"/>
              </w:rPr>
              <w:t>Distributions payable</w:t>
            </w:r>
          </w:p>
        </w:tc>
        <w:tc>
          <w:tcPr>
            <w:tcW w:w="220" w:type="dxa"/>
            <w:vAlign w:val="bottom"/>
            <w:tcBorders>
              <w:top w:val="single" w:sz="8" w:color="auto"/>
              <w:bottom w:val="single" w:sz="8" w:color="auto"/>
            </w:tcBorders>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4,324</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jc w:val="right"/>
              <w:ind w:right="2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3,459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6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End-of-term payments receivable</w:t>
            </w: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460" w:type="dxa"/>
            <w:vAlign w:val="bottom"/>
            <w:tcBorders>
              <w:bottom w:val="single" w:sz="8" w:color="CCEEFF"/>
            </w:tcBorders>
            <w:vMerge w:val="continue"/>
          </w:tcPr>
          <w:p>
            <w:pPr>
              <w:spacing w:after="0"/>
              <w:rPr>
                <w:sz w:val="20"/>
                <w:szCs w:val="20"/>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3,508</w:t>
            </w:r>
          </w:p>
        </w:tc>
        <w:tc>
          <w:tcPr>
            <w:tcW w:w="2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420" w:type="dxa"/>
            <w:vAlign w:val="bottom"/>
            <w:tcBorders>
              <w:bottom w:val="single" w:sz="8" w:color="auto"/>
            </w:tcBorders>
          </w:tcPr>
          <w:p>
            <w:pPr>
              <w:jc w:val="right"/>
              <w:ind w:right="2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3,667</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8460" w:type="dxa"/>
            <w:vAlign w:val="bottom"/>
            <w:tcBorders>
              <w:bottom w:val="single" w:sz="8" w:color="CCEEFF"/>
            </w:tcBorders>
            <w:shd w:val="clear" w:color="auto" w:fill="CCEEFF"/>
          </w:tcPr>
          <w:p>
            <w:pPr>
              <w:ind w:left="180"/>
              <w:spacing w:after="0" w:line="195" w:lineRule="exact"/>
              <w:rPr>
                <w:sz w:val="20"/>
                <w:szCs w:val="20"/>
                <w:color w:val="auto"/>
              </w:rPr>
            </w:pPr>
            <w:r>
              <w:rPr>
                <w:rFonts w:ascii="Times New Roman" w:cs="Times New Roman" w:eastAsia="Times New Roman" w:hAnsi="Times New Roman"/>
                <w:sz w:val="18"/>
                <w:szCs w:val="18"/>
                <w:color w:val="auto"/>
              </w:rPr>
              <w:t>Receivable resulting from sale of investment</w:t>
            </w: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500</w:t>
            </w: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ind w:right="2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59</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Schedule of Investments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2019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7"/>
              </w:rPr>
              <w:t>Principal</w:t>
            </w:r>
          </w:p>
        </w:tc>
        <w:tc>
          <w:tcPr>
            <w:tcW w:w="160" w:type="dxa"/>
            <w:vAlign w:val="bottom"/>
          </w:tcPr>
          <w:p>
            <w:pPr>
              <w:spacing w:after="0"/>
              <w:rPr>
                <w:sz w:val="12"/>
                <w:szCs w:val="12"/>
                <w:color w:val="auto"/>
              </w:rPr>
            </w:pPr>
          </w:p>
        </w:tc>
        <w:tc>
          <w:tcPr>
            <w:tcW w:w="86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6"/>
              </w:rPr>
              <w:t>Cost of</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Fair</w:t>
            </w:r>
          </w:p>
        </w:tc>
      </w:tr>
      <w:tr>
        <w:trPr>
          <w:trHeight w:val="155"/>
        </w:trPr>
        <w:tc>
          <w:tcPr>
            <w:tcW w:w="39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Portfolio Company (1)(3)</w:t>
            </w:r>
          </w:p>
        </w:tc>
        <w:tc>
          <w:tcPr>
            <w:tcW w:w="1140" w:type="dxa"/>
            <w:vAlign w:val="bottom"/>
          </w:tcPr>
          <w:p>
            <w:pPr>
              <w:ind w:left="400"/>
              <w:spacing w:after="0"/>
              <w:rPr>
                <w:sz w:val="20"/>
                <w:szCs w:val="20"/>
                <w:color w:val="auto"/>
              </w:rPr>
            </w:pPr>
            <w:r>
              <w:rPr>
                <w:rFonts w:ascii="Times New Roman" w:cs="Times New Roman" w:eastAsia="Times New Roman" w:hAnsi="Times New Roman"/>
                <w:sz w:val="13"/>
                <w:szCs w:val="13"/>
                <w:b w:val="1"/>
                <w:bCs w:val="1"/>
                <w:color w:val="auto"/>
              </w:rPr>
              <w:t>Sector</w:t>
            </w: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740" w:type="dxa"/>
            <w:vAlign w:val="bottom"/>
            <w:gridSpan w:val="3"/>
          </w:tcPr>
          <w:p>
            <w:pPr>
              <w:ind w:left="200"/>
              <w:spacing w:after="0"/>
              <w:rPr>
                <w:sz w:val="20"/>
                <w:szCs w:val="20"/>
                <w:color w:val="auto"/>
              </w:rPr>
            </w:pPr>
            <w:r>
              <w:rPr>
                <w:rFonts w:ascii="Times New Roman" w:cs="Times New Roman" w:eastAsia="Times New Roman" w:hAnsi="Times New Roman"/>
                <w:sz w:val="13"/>
                <w:szCs w:val="13"/>
                <w:b w:val="1"/>
                <w:bCs w:val="1"/>
                <w:color w:val="auto"/>
              </w:rPr>
              <w:t>Type of Investment (4)(7)(9)(10)</w:t>
            </w: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102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Investments (6)</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8"/>
              </w:rPr>
              <w:t>Value</w:t>
            </w:r>
          </w:p>
        </w:tc>
      </w:tr>
      <w:tr>
        <w:trPr>
          <w:trHeight w:val="129"/>
        </w:trPr>
        <w:tc>
          <w:tcPr>
            <w:tcW w:w="378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Non-Affiliate Investments — 153.6% (8)</w:t>
            </w:r>
          </w:p>
        </w:tc>
        <w:tc>
          <w:tcPr>
            <w:tcW w:w="120" w:type="dxa"/>
            <w:vAlign w:val="bottom"/>
            <w:tcBorders>
              <w:top w:val="single" w:sz="8" w:color="CCEEFF"/>
            </w:tcBorders>
            <w:shd w:val="clear" w:color="auto" w:fill="CCEEFF"/>
          </w:tcPr>
          <w:p>
            <w:pPr>
              <w:spacing w:after="0"/>
              <w:rPr>
                <w:sz w:val="11"/>
                <w:szCs w:val="11"/>
                <w:color w:val="auto"/>
              </w:rPr>
            </w:pPr>
          </w:p>
        </w:tc>
        <w:tc>
          <w:tcPr>
            <w:tcW w:w="11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25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r>
      <w:tr>
        <w:trPr>
          <w:trHeight w:val="135"/>
        </w:trPr>
        <w:tc>
          <w:tcPr>
            <w:tcW w:w="390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Non-Affiliate Debt Investments — 146.9% (8)</w:t>
            </w: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90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Non-Affiliate Debt Investments — Life Science — 66.6% (8)</w:t>
            </w: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17"/>
        </w:trPr>
        <w:tc>
          <w:tcPr>
            <w:tcW w:w="3900" w:type="dxa"/>
            <w:vAlign w:val="bottom"/>
            <w:gridSpan w:val="2"/>
          </w:tcPr>
          <w:p>
            <w:pPr>
              <w:spacing w:after="0" w:line="117" w:lineRule="exact"/>
              <w:rPr>
                <w:sz w:val="20"/>
                <w:szCs w:val="20"/>
                <w:color w:val="auto"/>
              </w:rPr>
            </w:pPr>
            <w:r>
              <w:rPr>
                <w:rFonts w:ascii="Times New Roman" w:cs="Times New Roman" w:eastAsia="Times New Roman" w:hAnsi="Times New Roman"/>
                <w:sz w:val="13"/>
                <w:szCs w:val="13"/>
                <w:color w:val="auto"/>
              </w:rPr>
              <w:t>Celsion Corporation (2)(5)(12)</w:t>
            </w:r>
          </w:p>
        </w:tc>
        <w:tc>
          <w:tcPr>
            <w:tcW w:w="114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Biotechnology</w:t>
            </w:r>
          </w:p>
        </w:tc>
        <w:tc>
          <w:tcPr>
            <w:tcW w:w="3240" w:type="dxa"/>
            <w:vAlign w:val="bottom"/>
            <w:gridSpan w:val="5"/>
          </w:tcPr>
          <w:p>
            <w:pPr>
              <w:ind w:left="120"/>
              <w:spacing w:after="0" w:line="117" w:lineRule="exact"/>
              <w:rPr>
                <w:sz w:val="20"/>
                <w:szCs w:val="20"/>
                <w:color w:val="auto"/>
              </w:rPr>
            </w:pPr>
            <w:r>
              <w:rPr>
                <w:rFonts w:ascii="Times New Roman" w:cs="Times New Roman" w:eastAsia="Times New Roman" w:hAnsi="Times New Roman"/>
                <w:sz w:val="13"/>
                <w:szCs w:val="13"/>
                <w:color w:val="auto"/>
              </w:rPr>
              <w:t>Term Loan (9.73% cash (Libor + 7.63%; Floor 9.63%),   $</w:t>
            </w:r>
          </w:p>
        </w:tc>
        <w:tc>
          <w:tcPr>
            <w:tcW w:w="1000" w:type="dxa"/>
            <w:vAlign w:val="bottom"/>
            <w:gridSpan w:val="2"/>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2,500</w:t>
            </w:r>
          </w:p>
        </w:tc>
        <w:tc>
          <w:tcPr>
            <w:tcW w:w="160" w:type="dxa"/>
            <w:vAlign w:val="bottom"/>
          </w:tcPr>
          <w:p>
            <w:pPr>
              <w:jc w:val="right"/>
              <w:ind w:right="42"/>
              <w:spacing w:after="0" w:line="117" w:lineRule="exact"/>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tcPr>
          <w:p>
            <w:pPr>
              <w:jc w:val="right"/>
              <w:ind w:right="100"/>
              <w:spacing w:after="0" w:line="117" w:lineRule="exact"/>
              <w:rPr>
                <w:sz w:val="20"/>
                <w:szCs w:val="20"/>
                <w:color w:val="auto"/>
              </w:rPr>
            </w:pPr>
            <w:r>
              <w:rPr>
                <w:rFonts w:ascii="Times New Roman" w:cs="Times New Roman" w:eastAsia="Times New Roman" w:hAnsi="Times New Roman"/>
                <w:sz w:val="13"/>
                <w:szCs w:val="13"/>
                <w:color w:val="auto"/>
              </w:rPr>
              <w:t>2,460</w:t>
            </w:r>
          </w:p>
        </w:tc>
        <w:tc>
          <w:tcPr>
            <w:tcW w:w="280" w:type="dxa"/>
            <w:vAlign w:val="bottom"/>
            <w:gridSpan w:val="2"/>
          </w:tcPr>
          <w:p>
            <w:pPr>
              <w:jc w:val="right"/>
              <w:ind w:right="100"/>
              <w:spacing w:after="0" w:line="117"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00"/>
              <w:spacing w:after="0" w:line="117" w:lineRule="exact"/>
              <w:rPr>
                <w:sz w:val="20"/>
                <w:szCs w:val="20"/>
                <w:color w:val="auto"/>
              </w:rPr>
            </w:pPr>
            <w:r>
              <w:rPr>
                <w:rFonts w:ascii="Times New Roman" w:cs="Times New Roman" w:eastAsia="Times New Roman" w:hAnsi="Times New Roman"/>
                <w:sz w:val="13"/>
                <w:szCs w:val="13"/>
                <w:color w:val="auto"/>
              </w:rPr>
              <w:t>2,460</w:t>
            </w:r>
          </w:p>
        </w:tc>
      </w:tr>
      <w:tr>
        <w:trPr>
          <w:trHeight w:val="153"/>
        </w:trPr>
        <w:tc>
          <w:tcPr>
            <w:tcW w:w="3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4.00%</w:t>
            </w:r>
          </w:p>
        </w:tc>
        <w:tc>
          <w:tcPr>
            <w:tcW w:w="2740" w:type="dxa"/>
            <w:vAlign w:val="bottom"/>
            <w:gridSpan w:val="3"/>
          </w:tcPr>
          <w:p>
            <w:pPr>
              <w:ind w:left="80"/>
              <w:spacing w:after="0"/>
              <w:rPr>
                <w:sz w:val="20"/>
                <w:szCs w:val="20"/>
                <w:color w:val="auto"/>
              </w:rPr>
            </w:pPr>
            <w:r>
              <w:rPr>
                <w:rFonts w:ascii="Times New Roman" w:cs="Times New Roman" w:eastAsia="Times New Roman" w:hAnsi="Times New Roman"/>
                <w:sz w:val="13"/>
                <w:szCs w:val="13"/>
                <w:color w:val="auto"/>
              </w:rPr>
              <w:t>ETP, Due 7/1/22)</w:t>
            </w: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35"/>
        </w:trPr>
        <w:tc>
          <w:tcPr>
            <w:tcW w:w="3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80" w:type="dxa"/>
            <w:vAlign w:val="bottom"/>
            <w:gridSpan w:val="2"/>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17"/>
        </w:trPr>
        <w:tc>
          <w:tcPr>
            <w:tcW w:w="3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3240" w:type="dxa"/>
            <w:vAlign w:val="bottom"/>
            <w:gridSpan w:val="5"/>
          </w:tcPr>
          <w:p>
            <w:pPr>
              <w:ind w:left="120"/>
              <w:spacing w:after="0" w:line="117" w:lineRule="exact"/>
              <w:rPr>
                <w:sz w:val="20"/>
                <w:szCs w:val="20"/>
                <w:color w:val="auto"/>
              </w:rPr>
            </w:pPr>
            <w:r>
              <w:rPr>
                <w:rFonts w:ascii="Times New Roman" w:cs="Times New Roman" w:eastAsia="Times New Roman" w:hAnsi="Times New Roman"/>
                <w:sz w:val="13"/>
                <w:szCs w:val="13"/>
                <w:color w:val="auto"/>
              </w:rPr>
              <w:t>Term Loan (9.73% cash (Libor + 7.63%; Floor 9.63%),</w:t>
            </w:r>
          </w:p>
        </w:tc>
        <w:tc>
          <w:tcPr>
            <w:tcW w:w="1000" w:type="dxa"/>
            <w:vAlign w:val="bottom"/>
            <w:gridSpan w:val="2"/>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2,500</w:t>
            </w:r>
          </w:p>
        </w:tc>
        <w:tc>
          <w:tcPr>
            <w:tcW w:w="160" w:type="dxa"/>
            <w:vAlign w:val="bottom"/>
          </w:tcPr>
          <w:p>
            <w:pPr>
              <w:spacing w:after="0"/>
              <w:rPr>
                <w:sz w:val="10"/>
                <w:szCs w:val="10"/>
                <w:color w:val="auto"/>
              </w:rPr>
            </w:pPr>
          </w:p>
        </w:tc>
        <w:tc>
          <w:tcPr>
            <w:tcW w:w="860" w:type="dxa"/>
            <w:vAlign w:val="bottom"/>
            <w:gridSpan w:val="2"/>
          </w:tcPr>
          <w:p>
            <w:pPr>
              <w:jc w:val="right"/>
              <w:ind w:right="100"/>
              <w:spacing w:after="0" w:line="117" w:lineRule="exact"/>
              <w:rPr>
                <w:sz w:val="20"/>
                <w:szCs w:val="20"/>
                <w:color w:val="auto"/>
              </w:rPr>
            </w:pPr>
            <w:r>
              <w:rPr>
                <w:rFonts w:ascii="Times New Roman" w:cs="Times New Roman" w:eastAsia="Times New Roman" w:hAnsi="Times New Roman"/>
                <w:sz w:val="13"/>
                <w:szCs w:val="13"/>
                <w:color w:val="auto"/>
              </w:rPr>
              <w:t>2,460</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gridSpan w:val="2"/>
          </w:tcPr>
          <w:p>
            <w:pPr>
              <w:jc w:val="right"/>
              <w:ind w:right="100"/>
              <w:spacing w:after="0" w:line="117" w:lineRule="exact"/>
              <w:rPr>
                <w:sz w:val="20"/>
                <w:szCs w:val="20"/>
                <w:color w:val="auto"/>
              </w:rPr>
            </w:pPr>
            <w:r>
              <w:rPr>
                <w:rFonts w:ascii="Times New Roman" w:cs="Times New Roman" w:eastAsia="Times New Roman" w:hAnsi="Times New Roman"/>
                <w:sz w:val="13"/>
                <w:szCs w:val="13"/>
                <w:color w:val="auto"/>
              </w:rPr>
              <w:t>2,460</w:t>
            </w:r>
          </w:p>
        </w:tc>
      </w:tr>
      <w:tr>
        <w:trPr>
          <w:trHeight w:val="153"/>
        </w:trPr>
        <w:tc>
          <w:tcPr>
            <w:tcW w:w="3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4.00%</w:t>
            </w:r>
          </w:p>
        </w:tc>
        <w:tc>
          <w:tcPr>
            <w:tcW w:w="274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auto"/>
              </w:rPr>
              <w:t>ETP, Due 7/1/22)</w:t>
            </w: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17"/>
        </w:trPr>
        <w:tc>
          <w:tcPr>
            <w:tcW w:w="3900" w:type="dxa"/>
            <w:vAlign w:val="bottom"/>
            <w:gridSpan w:val="2"/>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Encore Dermatology, Inc. (2)(12)</w:t>
            </w:r>
          </w:p>
        </w:tc>
        <w:tc>
          <w:tcPr>
            <w:tcW w:w="114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Biotechnology</w:t>
            </w:r>
          </w:p>
        </w:tc>
        <w:tc>
          <w:tcPr>
            <w:tcW w:w="3240" w:type="dxa"/>
            <w:vAlign w:val="bottom"/>
            <w:gridSpan w:val="5"/>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Term Loan (10.00% cash (Libor + 7.50%; Floor</w:t>
            </w:r>
          </w:p>
        </w:tc>
        <w:tc>
          <w:tcPr>
            <w:tcW w:w="1000" w:type="dxa"/>
            <w:vAlign w:val="bottom"/>
            <w:gridSpan w:val="2"/>
            <w:shd w:val="clear" w:color="auto" w:fill="CCEEFF"/>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5,000</w:t>
            </w:r>
          </w:p>
        </w:tc>
        <w:tc>
          <w:tcPr>
            <w:tcW w:w="16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100"/>
              <w:spacing w:after="0" w:line="117" w:lineRule="exact"/>
              <w:rPr>
                <w:sz w:val="20"/>
                <w:szCs w:val="20"/>
                <w:color w:val="auto"/>
              </w:rPr>
            </w:pPr>
            <w:r>
              <w:rPr>
                <w:rFonts w:ascii="Times New Roman" w:cs="Times New Roman" w:eastAsia="Times New Roman" w:hAnsi="Times New Roman"/>
                <w:sz w:val="13"/>
                <w:szCs w:val="13"/>
                <w:color w:val="auto"/>
              </w:rPr>
              <w:t>4,835</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right"/>
              <w:ind w:right="100"/>
              <w:spacing w:after="0" w:line="117" w:lineRule="exact"/>
              <w:rPr>
                <w:sz w:val="20"/>
                <w:szCs w:val="20"/>
                <w:color w:val="auto"/>
              </w:rPr>
            </w:pPr>
            <w:r>
              <w:rPr>
                <w:rFonts w:ascii="Times New Roman" w:cs="Times New Roman" w:eastAsia="Times New Roman" w:hAnsi="Times New Roman"/>
                <w:sz w:val="13"/>
                <w:szCs w:val="13"/>
                <w:color w:val="auto"/>
              </w:rPr>
              <w:t>4,835</w:t>
            </w:r>
          </w:p>
        </w:tc>
      </w:tr>
      <w:tr>
        <w:trPr>
          <w:trHeight w:val="153"/>
        </w:trPr>
        <w:tc>
          <w:tcPr>
            <w:tcW w:w="3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3240" w:type="dxa"/>
            <w:vAlign w:val="bottom"/>
            <w:gridSpan w:val="5"/>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10.00%), 3.00%  ETP, Due 4/1/23)</w:t>
            </w:r>
          </w:p>
        </w:tc>
        <w:tc>
          <w:tcPr>
            <w:tcW w:w="8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17"/>
        </w:trPr>
        <w:tc>
          <w:tcPr>
            <w:tcW w:w="3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3240" w:type="dxa"/>
            <w:vAlign w:val="bottom"/>
            <w:gridSpan w:val="5"/>
          </w:tcPr>
          <w:p>
            <w:pPr>
              <w:ind w:left="120"/>
              <w:spacing w:after="0" w:line="117" w:lineRule="exact"/>
              <w:rPr>
                <w:sz w:val="20"/>
                <w:szCs w:val="20"/>
                <w:color w:val="auto"/>
              </w:rPr>
            </w:pPr>
            <w:r>
              <w:rPr>
                <w:rFonts w:ascii="Times New Roman" w:cs="Times New Roman" w:eastAsia="Times New Roman" w:hAnsi="Times New Roman"/>
                <w:sz w:val="13"/>
                <w:szCs w:val="13"/>
                <w:color w:val="auto"/>
              </w:rPr>
              <w:t>Term Loan (10.00% cash (Libor + 7.50%; Floor</w:t>
            </w:r>
          </w:p>
        </w:tc>
        <w:tc>
          <w:tcPr>
            <w:tcW w:w="1000" w:type="dxa"/>
            <w:vAlign w:val="bottom"/>
            <w:gridSpan w:val="2"/>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5,000</w:t>
            </w:r>
          </w:p>
        </w:tc>
        <w:tc>
          <w:tcPr>
            <w:tcW w:w="160" w:type="dxa"/>
            <w:vAlign w:val="bottom"/>
          </w:tcPr>
          <w:p>
            <w:pPr>
              <w:spacing w:after="0"/>
              <w:rPr>
                <w:sz w:val="10"/>
                <w:szCs w:val="10"/>
                <w:color w:val="auto"/>
              </w:rPr>
            </w:pPr>
          </w:p>
        </w:tc>
        <w:tc>
          <w:tcPr>
            <w:tcW w:w="860" w:type="dxa"/>
            <w:vAlign w:val="bottom"/>
            <w:gridSpan w:val="2"/>
          </w:tcPr>
          <w:p>
            <w:pPr>
              <w:jc w:val="right"/>
              <w:ind w:right="100"/>
              <w:spacing w:after="0" w:line="117" w:lineRule="exact"/>
              <w:rPr>
                <w:sz w:val="20"/>
                <w:szCs w:val="20"/>
                <w:color w:val="auto"/>
              </w:rPr>
            </w:pPr>
            <w:r>
              <w:rPr>
                <w:rFonts w:ascii="Times New Roman" w:cs="Times New Roman" w:eastAsia="Times New Roman" w:hAnsi="Times New Roman"/>
                <w:sz w:val="13"/>
                <w:szCs w:val="13"/>
                <w:color w:val="auto"/>
              </w:rPr>
              <w:t>4,923</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gridSpan w:val="2"/>
          </w:tcPr>
          <w:p>
            <w:pPr>
              <w:jc w:val="right"/>
              <w:ind w:right="100"/>
              <w:spacing w:after="0" w:line="117" w:lineRule="exact"/>
              <w:rPr>
                <w:sz w:val="20"/>
                <w:szCs w:val="20"/>
                <w:color w:val="auto"/>
              </w:rPr>
            </w:pPr>
            <w:r>
              <w:rPr>
                <w:rFonts w:ascii="Times New Roman" w:cs="Times New Roman" w:eastAsia="Times New Roman" w:hAnsi="Times New Roman"/>
                <w:sz w:val="13"/>
                <w:szCs w:val="13"/>
                <w:color w:val="auto"/>
              </w:rPr>
              <w:t>4,923</w:t>
            </w:r>
          </w:p>
        </w:tc>
      </w:tr>
      <w:tr>
        <w:trPr>
          <w:trHeight w:val="153"/>
        </w:trPr>
        <w:tc>
          <w:tcPr>
            <w:tcW w:w="3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240" w:type="dxa"/>
            <w:vAlign w:val="bottom"/>
            <w:gridSpan w:val="5"/>
          </w:tcPr>
          <w:p>
            <w:pPr>
              <w:ind w:left="120"/>
              <w:spacing w:after="0"/>
              <w:rPr>
                <w:sz w:val="20"/>
                <w:szCs w:val="20"/>
                <w:color w:val="auto"/>
              </w:rPr>
            </w:pPr>
            <w:r>
              <w:rPr>
                <w:rFonts w:ascii="Times New Roman" w:cs="Times New Roman" w:eastAsia="Times New Roman" w:hAnsi="Times New Roman"/>
                <w:sz w:val="13"/>
                <w:szCs w:val="13"/>
                <w:color w:val="auto"/>
              </w:rPr>
              <w:t>10.00%), 3.00%  ETP, Due 4/1/23)</w:t>
            </w: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17"/>
        </w:trPr>
        <w:tc>
          <w:tcPr>
            <w:tcW w:w="3900" w:type="dxa"/>
            <w:vAlign w:val="bottom"/>
            <w:gridSpan w:val="2"/>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Espero BioPharma, Inc. (2)(12)</w:t>
            </w:r>
          </w:p>
        </w:tc>
        <w:tc>
          <w:tcPr>
            <w:tcW w:w="114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Biotechnology</w:t>
            </w:r>
          </w:p>
        </w:tc>
        <w:tc>
          <w:tcPr>
            <w:tcW w:w="3240" w:type="dxa"/>
            <w:vAlign w:val="bottom"/>
            <w:gridSpan w:val="5"/>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Term Loan (12.00% cash (Libor + 9.90%; Floor</w:t>
            </w:r>
          </w:p>
        </w:tc>
        <w:tc>
          <w:tcPr>
            <w:tcW w:w="1000" w:type="dxa"/>
            <w:vAlign w:val="bottom"/>
            <w:gridSpan w:val="2"/>
            <w:shd w:val="clear" w:color="auto" w:fill="CCEEFF"/>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5,053</w:t>
            </w:r>
          </w:p>
        </w:tc>
        <w:tc>
          <w:tcPr>
            <w:tcW w:w="16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100"/>
              <w:spacing w:after="0" w:line="117" w:lineRule="exact"/>
              <w:rPr>
                <w:sz w:val="20"/>
                <w:szCs w:val="20"/>
                <w:color w:val="auto"/>
              </w:rPr>
            </w:pPr>
            <w:r>
              <w:rPr>
                <w:rFonts w:ascii="Times New Roman" w:cs="Times New Roman" w:eastAsia="Times New Roman" w:hAnsi="Times New Roman"/>
                <w:sz w:val="13"/>
                <w:szCs w:val="13"/>
                <w:color w:val="auto"/>
              </w:rPr>
              <w:t>5,053</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right"/>
              <w:ind w:right="100"/>
              <w:spacing w:after="0" w:line="117" w:lineRule="exact"/>
              <w:rPr>
                <w:sz w:val="20"/>
                <w:szCs w:val="20"/>
                <w:color w:val="auto"/>
              </w:rPr>
            </w:pPr>
            <w:r>
              <w:rPr>
                <w:rFonts w:ascii="Times New Roman" w:cs="Times New Roman" w:eastAsia="Times New Roman" w:hAnsi="Times New Roman"/>
                <w:sz w:val="13"/>
                <w:szCs w:val="13"/>
                <w:color w:val="auto"/>
              </w:rPr>
              <w:t>5,053</w:t>
            </w:r>
          </w:p>
        </w:tc>
      </w:tr>
      <w:tr>
        <w:trPr>
          <w:trHeight w:val="153"/>
        </w:trPr>
        <w:tc>
          <w:tcPr>
            <w:tcW w:w="3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3240" w:type="dxa"/>
            <w:vAlign w:val="bottom"/>
            <w:gridSpan w:val="5"/>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12.00%), 4.00%  ETP, Due 6/30/19) (11)</w:t>
            </w:r>
          </w:p>
        </w:tc>
        <w:tc>
          <w:tcPr>
            <w:tcW w:w="8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17"/>
        </w:trPr>
        <w:tc>
          <w:tcPr>
            <w:tcW w:w="3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3240" w:type="dxa"/>
            <w:vAlign w:val="bottom"/>
            <w:gridSpan w:val="5"/>
          </w:tcPr>
          <w:p>
            <w:pPr>
              <w:ind w:left="120"/>
              <w:spacing w:after="0" w:line="117" w:lineRule="exact"/>
              <w:rPr>
                <w:sz w:val="20"/>
                <w:szCs w:val="20"/>
                <w:color w:val="auto"/>
              </w:rPr>
            </w:pPr>
            <w:r>
              <w:rPr>
                <w:rFonts w:ascii="Times New Roman" w:cs="Times New Roman" w:eastAsia="Times New Roman" w:hAnsi="Times New Roman"/>
                <w:sz w:val="13"/>
                <w:szCs w:val="13"/>
                <w:color w:val="auto"/>
              </w:rPr>
              <w:t>Term Loan (12.00% cash (Libor + 9.90%; Floor</w:t>
            </w:r>
          </w:p>
        </w:tc>
        <w:tc>
          <w:tcPr>
            <w:tcW w:w="1000" w:type="dxa"/>
            <w:vAlign w:val="bottom"/>
            <w:gridSpan w:val="2"/>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4,727</w:t>
            </w:r>
          </w:p>
        </w:tc>
        <w:tc>
          <w:tcPr>
            <w:tcW w:w="160" w:type="dxa"/>
            <w:vAlign w:val="bottom"/>
          </w:tcPr>
          <w:p>
            <w:pPr>
              <w:spacing w:after="0"/>
              <w:rPr>
                <w:sz w:val="10"/>
                <w:szCs w:val="10"/>
                <w:color w:val="auto"/>
              </w:rPr>
            </w:pPr>
          </w:p>
        </w:tc>
        <w:tc>
          <w:tcPr>
            <w:tcW w:w="860" w:type="dxa"/>
            <w:vAlign w:val="bottom"/>
            <w:gridSpan w:val="2"/>
          </w:tcPr>
          <w:p>
            <w:pPr>
              <w:jc w:val="right"/>
              <w:ind w:right="100"/>
              <w:spacing w:after="0" w:line="117" w:lineRule="exact"/>
              <w:rPr>
                <w:sz w:val="20"/>
                <w:szCs w:val="20"/>
                <w:color w:val="auto"/>
              </w:rPr>
            </w:pPr>
            <w:r>
              <w:rPr>
                <w:rFonts w:ascii="Times New Roman" w:cs="Times New Roman" w:eastAsia="Times New Roman" w:hAnsi="Times New Roman"/>
                <w:sz w:val="13"/>
                <w:szCs w:val="13"/>
                <w:color w:val="auto"/>
              </w:rPr>
              <w:t>4,727</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gridSpan w:val="2"/>
          </w:tcPr>
          <w:p>
            <w:pPr>
              <w:jc w:val="right"/>
              <w:ind w:right="100"/>
              <w:spacing w:after="0" w:line="117" w:lineRule="exact"/>
              <w:rPr>
                <w:sz w:val="20"/>
                <w:szCs w:val="20"/>
                <w:color w:val="auto"/>
              </w:rPr>
            </w:pPr>
            <w:r>
              <w:rPr>
                <w:rFonts w:ascii="Times New Roman" w:cs="Times New Roman" w:eastAsia="Times New Roman" w:hAnsi="Times New Roman"/>
                <w:sz w:val="13"/>
                <w:szCs w:val="13"/>
                <w:color w:val="auto"/>
              </w:rPr>
              <w:t>4,727</w:t>
            </w:r>
          </w:p>
        </w:tc>
      </w:tr>
      <w:tr>
        <w:trPr>
          <w:trHeight w:val="153"/>
        </w:trPr>
        <w:tc>
          <w:tcPr>
            <w:tcW w:w="3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240" w:type="dxa"/>
            <w:vAlign w:val="bottom"/>
            <w:gridSpan w:val="5"/>
          </w:tcPr>
          <w:p>
            <w:pPr>
              <w:ind w:left="120"/>
              <w:spacing w:after="0"/>
              <w:rPr>
                <w:sz w:val="20"/>
                <w:szCs w:val="20"/>
                <w:color w:val="auto"/>
              </w:rPr>
            </w:pPr>
            <w:r>
              <w:rPr>
                <w:rFonts w:ascii="Times New Roman" w:cs="Times New Roman" w:eastAsia="Times New Roman" w:hAnsi="Times New Roman"/>
                <w:sz w:val="13"/>
                <w:szCs w:val="13"/>
                <w:color w:val="auto"/>
              </w:rPr>
              <w:t>12.00%), 4.00%  ETP, Due 12/31/19) (11)</w:t>
            </w: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17"/>
        </w:trPr>
        <w:tc>
          <w:tcPr>
            <w:tcW w:w="3900" w:type="dxa"/>
            <w:vAlign w:val="bottom"/>
            <w:gridSpan w:val="2"/>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LogicBio, Inc.(2)(5)(12)</w:t>
            </w:r>
          </w:p>
        </w:tc>
        <w:tc>
          <w:tcPr>
            <w:tcW w:w="114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Biotechnology</w:t>
            </w:r>
          </w:p>
        </w:tc>
        <w:tc>
          <w:tcPr>
            <w:tcW w:w="3240" w:type="dxa"/>
            <w:vAlign w:val="bottom"/>
            <w:gridSpan w:val="5"/>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Term Loan (8.75% cash (Libor + 6.25%; Floor 8.75%),</w:t>
            </w:r>
          </w:p>
        </w:tc>
        <w:tc>
          <w:tcPr>
            <w:tcW w:w="1000" w:type="dxa"/>
            <w:vAlign w:val="bottom"/>
            <w:gridSpan w:val="2"/>
            <w:shd w:val="clear" w:color="auto" w:fill="CCEEFF"/>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5,000</w:t>
            </w:r>
          </w:p>
        </w:tc>
        <w:tc>
          <w:tcPr>
            <w:tcW w:w="16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100"/>
              <w:spacing w:after="0" w:line="117" w:lineRule="exact"/>
              <w:rPr>
                <w:sz w:val="20"/>
                <w:szCs w:val="20"/>
                <w:color w:val="auto"/>
              </w:rPr>
            </w:pPr>
            <w:r>
              <w:rPr>
                <w:rFonts w:ascii="Times New Roman" w:cs="Times New Roman" w:eastAsia="Times New Roman" w:hAnsi="Times New Roman"/>
                <w:sz w:val="13"/>
                <w:szCs w:val="13"/>
                <w:color w:val="auto"/>
              </w:rPr>
              <w:t>4,968</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right"/>
              <w:ind w:right="100"/>
              <w:spacing w:after="0" w:line="117" w:lineRule="exact"/>
              <w:rPr>
                <w:sz w:val="20"/>
                <w:szCs w:val="20"/>
                <w:color w:val="auto"/>
              </w:rPr>
            </w:pPr>
            <w:r>
              <w:rPr>
                <w:rFonts w:ascii="Times New Roman" w:cs="Times New Roman" w:eastAsia="Times New Roman" w:hAnsi="Times New Roman"/>
                <w:sz w:val="13"/>
                <w:szCs w:val="13"/>
                <w:color w:val="auto"/>
              </w:rPr>
              <w:t>4,968</w:t>
            </w:r>
          </w:p>
        </w:tc>
      </w:tr>
      <w:tr>
        <w:trPr>
          <w:trHeight w:val="153"/>
        </w:trPr>
        <w:tc>
          <w:tcPr>
            <w:tcW w:w="3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4.50%</w:t>
            </w:r>
          </w:p>
        </w:tc>
        <w:tc>
          <w:tcPr>
            <w:tcW w:w="27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ETP, Due 6/1/24</w:t>
            </w:r>
          </w:p>
        </w:tc>
        <w:tc>
          <w:tcPr>
            <w:tcW w:w="8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17"/>
        </w:trPr>
        <w:tc>
          <w:tcPr>
            <w:tcW w:w="3900" w:type="dxa"/>
            <w:vAlign w:val="bottom"/>
            <w:gridSpan w:val="2"/>
          </w:tcPr>
          <w:p>
            <w:pPr>
              <w:spacing w:after="0" w:line="117" w:lineRule="exact"/>
              <w:rPr>
                <w:sz w:val="20"/>
                <w:szCs w:val="20"/>
                <w:color w:val="auto"/>
              </w:rPr>
            </w:pPr>
            <w:r>
              <w:rPr>
                <w:rFonts w:ascii="Times New Roman" w:cs="Times New Roman" w:eastAsia="Times New Roman" w:hAnsi="Times New Roman"/>
                <w:sz w:val="13"/>
                <w:szCs w:val="13"/>
                <w:color w:val="auto"/>
              </w:rPr>
              <w:t>Mustang Bio, Inc. (2)(5)(12)</w:t>
            </w:r>
          </w:p>
        </w:tc>
        <w:tc>
          <w:tcPr>
            <w:tcW w:w="114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Biotechnology</w:t>
            </w:r>
          </w:p>
        </w:tc>
        <w:tc>
          <w:tcPr>
            <w:tcW w:w="3240" w:type="dxa"/>
            <w:vAlign w:val="bottom"/>
            <w:gridSpan w:val="5"/>
          </w:tcPr>
          <w:p>
            <w:pPr>
              <w:ind w:left="120"/>
              <w:spacing w:after="0" w:line="117" w:lineRule="exact"/>
              <w:rPr>
                <w:sz w:val="20"/>
                <w:szCs w:val="20"/>
                <w:color w:val="auto"/>
              </w:rPr>
            </w:pPr>
            <w:r>
              <w:rPr>
                <w:rFonts w:ascii="Times New Roman" w:cs="Times New Roman" w:eastAsia="Times New Roman" w:hAnsi="Times New Roman"/>
                <w:sz w:val="13"/>
                <w:szCs w:val="13"/>
                <w:color w:val="auto"/>
              </w:rPr>
              <w:t>Term Loan (9.00% cash (Libor + 6.50%; Floor 9.00%),</w:t>
            </w:r>
          </w:p>
        </w:tc>
        <w:tc>
          <w:tcPr>
            <w:tcW w:w="1000" w:type="dxa"/>
            <w:vAlign w:val="bottom"/>
            <w:gridSpan w:val="2"/>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5,000</w:t>
            </w:r>
          </w:p>
        </w:tc>
        <w:tc>
          <w:tcPr>
            <w:tcW w:w="160" w:type="dxa"/>
            <w:vAlign w:val="bottom"/>
          </w:tcPr>
          <w:p>
            <w:pPr>
              <w:spacing w:after="0"/>
              <w:rPr>
                <w:sz w:val="10"/>
                <w:szCs w:val="10"/>
                <w:color w:val="auto"/>
              </w:rPr>
            </w:pPr>
          </w:p>
        </w:tc>
        <w:tc>
          <w:tcPr>
            <w:tcW w:w="860" w:type="dxa"/>
            <w:vAlign w:val="bottom"/>
            <w:gridSpan w:val="2"/>
          </w:tcPr>
          <w:p>
            <w:pPr>
              <w:jc w:val="right"/>
              <w:ind w:right="100"/>
              <w:spacing w:after="0" w:line="117" w:lineRule="exact"/>
              <w:rPr>
                <w:sz w:val="20"/>
                <w:szCs w:val="20"/>
                <w:color w:val="auto"/>
              </w:rPr>
            </w:pPr>
            <w:r>
              <w:rPr>
                <w:rFonts w:ascii="Times New Roman" w:cs="Times New Roman" w:eastAsia="Times New Roman" w:hAnsi="Times New Roman"/>
                <w:sz w:val="13"/>
                <w:szCs w:val="13"/>
                <w:color w:val="auto"/>
              </w:rPr>
              <w:t>4,821</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gridSpan w:val="2"/>
          </w:tcPr>
          <w:p>
            <w:pPr>
              <w:jc w:val="right"/>
              <w:ind w:right="100"/>
              <w:spacing w:after="0" w:line="117" w:lineRule="exact"/>
              <w:rPr>
                <w:sz w:val="20"/>
                <w:szCs w:val="20"/>
                <w:color w:val="auto"/>
              </w:rPr>
            </w:pPr>
            <w:r>
              <w:rPr>
                <w:rFonts w:ascii="Times New Roman" w:cs="Times New Roman" w:eastAsia="Times New Roman" w:hAnsi="Times New Roman"/>
                <w:sz w:val="13"/>
                <w:szCs w:val="13"/>
                <w:color w:val="auto"/>
              </w:rPr>
              <w:t>4,821</w:t>
            </w:r>
          </w:p>
        </w:tc>
      </w:tr>
      <w:tr>
        <w:trPr>
          <w:trHeight w:val="153"/>
        </w:trPr>
        <w:tc>
          <w:tcPr>
            <w:tcW w:w="3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5.00%</w:t>
            </w:r>
          </w:p>
        </w:tc>
        <w:tc>
          <w:tcPr>
            <w:tcW w:w="274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auto"/>
              </w:rPr>
              <w:t>ETP, Due 10/1/22)</w:t>
            </w: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17"/>
        </w:trPr>
        <w:tc>
          <w:tcPr>
            <w:tcW w:w="3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3240" w:type="dxa"/>
            <w:vAlign w:val="bottom"/>
            <w:gridSpan w:val="5"/>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Term Loan (9.00% cash (Libor + 6.50%; Floor 9.00%),</w:t>
            </w:r>
          </w:p>
        </w:tc>
        <w:tc>
          <w:tcPr>
            <w:tcW w:w="1000" w:type="dxa"/>
            <w:vAlign w:val="bottom"/>
            <w:gridSpan w:val="2"/>
            <w:shd w:val="clear" w:color="auto" w:fill="CCEEFF"/>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5,000</w:t>
            </w:r>
          </w:p>
        </w:tc>
        <w:tc>
          <w:tcPr>
            <w:tcW w:w="16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100"/>
              <w:spacing w:after="0" w:line="117" w:lineRule="exact"/>
              <w:rPr>
                <w:sz w:val="20"/>
                <w:szCs w:val="20"/>
                <w:color w:val="auto"/>
              </w:rPr>
            </w:pPr>
            <w:r>
              <w:rPr>
                <w:rFonts w:ascii="Times New Roman" w:cs="Times New Roman" w:eastAsia="Times New Roman" w:hAnsi="Times New Roman"/>
                <w:sz w:val="13"/>
                <w:szCs w:val="13"/>
                <w:color w:val="auto"/>
              </w:rPr>
              <w:t>4,917</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right"/>
              <w:ind w:right="100"/>
              <w:spacing w:after="0" w:line="117" w:lineRule="exact"/>
              <w:rPr>
                <w:sz w:val="20"/>
                <w:szCs w:val="20"/>
                <w:color w:val="auto"/>
              </w:rPr>
            </w:pPr>
            <w:r>
              <w:rPr>
                <w:rFonts w:ascii="Times New Roman" w:cs="Times New Roman" w:eastAsia="Times New Roman" w:hAnsi="Times New Roman"/>
                <w:sz w:val="13"/>
                <w:szCs w:val="13"/>
                <w:color w:val="auto"/>
              </w:rPr>
              <w:t>4,917</w:t>
            </w:r>
          </w:p>
        </w:tc>
      </w:tr>
      <w:tr>
        <w:trPr>
          <w:trHeight w:val="153"/>
        </w:trPr>
        <w:tc>
          <w:tcPr>
            <w:tcW w:w="3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5.00%</w:t>
            </w:r>
          </w:p>
        </w:tc>
        <w:tc>
          <w:tcPr>
            <w:tcW w:w="27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ETP, Due 10/1/22)</w:t>
            </w:r>
          </w:p>
        </w:tc>
        <w:tc>
          <w:tcPr>
            <w:tcW w:w="8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17"/>
        </w:trPr>
        <w:tc>
          <w:tcPr>
            <w:tcW w:w="3900" w:type="dxa"/>
            <w:vAlign w:val="bottom"/>
            <w:gridSpan w:val="2"/>
          </w:tcPr>
          <w:p>
            <w:pPr>
              <w:spacing w:after="0" w:line="117" w:lineRule="exact"/>
              <w:rPr>
                <w:sz w:val="20"/>
                <w:szCs w:val="20"/>
                <w:color w:val="auto"/>
              </w:rPr>
            </w:pPr>
            <w:r>
              <w:rPr>
                <w:rFonts w:ascii="Times New Roman" w:cs="Times New Roman" w:eastAsia="Times New Roman" w:hAnsi="Times New Roman"/>
                <w:sz w:val="13"/>
                <w:szCs w:val="13"/>
                <w:color w:val="auto"/>
              </w:rPr>
              <w:t>vTv Therapeutics Inc. (2)(5)(12)</w:t>
            </w:r>
          </w:p>
        </w:tc>
        <w:tc>
          <w:tcPr>
            <w:tcW w:w="114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Biotechnology</w:t>
            </w:r>
          </w:p>
        </w:tc>
        <w:tc>
          <w:tcPr>
            <w:tcW w:w="3240" w:type="dxa"/>
            <w:vAlign w:val="bottom"/>
            <w:gridSpan w:val="5"/>
          </w:tcPr>
          <w:p>
            <w:pPr>
              <w:ind w:left="120"/>
              <w:spacing w:after="0" w:line="117" w:lineRule="exact"/>
              <w:rPr>
                <w:sz w:val="20"/>
                <w:szCs w:val="20"/>
                <w:color w:val="auto"/>
              </w:rPr>
            </w:pPr>
            <w:r>
              <w:rPr>
                <w:rFonts w:ascii="Times New Roman" w:cs="Times New Roman" w:eastAsia="Times New Roman" w:hAnsi="Times New Roman"/>
                <w:sz w:val="13"/>
                <w:szCs w:val="13"/>
                <w:color w:val="auto"/>
              </w:rPr>
              <w:t>Term Loan (12.10% cash (Libor + 10.00%; Floor</w:t>
            </w:r>
          </w:p>
        </w:tc>
        <w:tc>
          <w:tcPr>
            <w:tcW w:w="1000" w:type="dxa"/>
            <w:vAlign w:val="bottom"/>
            <w:gridSpan w:val="2"/>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1,823</w:t>
            </w:r>
          </w:p>
        </w:tc>
        <w:tc>
          <w:tcPr>
            <w:tcW w:w="160" w:type="dxa"/>
            <w:vAlign w:val="bottom"/>
          </w:tcPr>
          <w:p>
            <w:pPr>
              <w:spacing w:after="0"/>
              <w:rPr>
                <w:sz w:val="10"/>
                <w:szCs w:val="10"/>
                <w:color w:val="auto"/>
              </w:rPr>
            </w:pPr>
          </w:p>
        </w:tc>
        <w:tc>
          <w:tcPr>
            <w:tcW w:w="860" w:type="dxa"/>
            <w:vAlign w:val="bottom"/>
            <w:gridSpan w:val="2"/>
          </w:tcPr>
          <w:p>
            <w:pPr>
              <w:jc w:val="right"/>
              <w:ind w:right="100"/>
              <w:spacing w:after="0" w:line="117" w:lineRule="exact"/>
              <w:rPr>
                <w:sz w:val="20"/>
                <w:szCs w:val="20"/>
                <w:color w:val="auto"/>
              </w:rPr>
            </w:pPr>
            <w:r>
              <w:rPr>
                <w:rFonts w:ascii="Times New Roman" w:cs="Times New Roman" w:eastAsia="Times New Roman" w:hAnsi="Times New Roman"/>
                <w:sz w:val="13"/>
                <w:szCs w:val="13"/>
                <w:color w:val="auto"/>
              </w:rPr>
              <w:t>1,810</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gridSpan w:val="2"/>
          </w:tcPr>
          <w:p>
            <w:pPr>
              <w:jc w:val="right"/>
              <w:ind w:right="100"/>
              <w:spacing w:after="0" w:line="117" w:lineRule="exact"/>
              <w:rPr>
                <w:sz w:val="20"/>
                <w:szCs w:val="20"/>
                <w:color w:val="auto"/>
              </w:rPr>
            </w:pPr>
            <w:r>
              <w:rPr>
                <w:rFonts w:ascii="Times New Roman" w:cs="Times New Roman" w:eastAsia="Times New Roman" w:hAnsi="Times New Roman"/>
                <w:sz w:val="13"/>
                <w:szCs w:val="13"/>
                <w:color w:val="auto"/>
              </w:rPr>
              <w:t>1,810</w:t>
            </w:r>
          </w:p>
        </w:tc>
      </w:tr>
      <w:tr>
        <w:trPr>
          <w:trHeight w:val="153"/>
        </w:trPr>
        <w:tc>
          <w:tcPr>
            <w:tcW w:w="3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240" w:type="dxa"/>
            <w:vAlign w:val="bottom"/>
            <w:gridSpan w:val="5"/>
          </w:tcPr>
          <w:p>
            <w:pPr>
              <w:ind w:left="120"/>
              <w:spacing w:after="0"/>
              <w:rPr>
                <w:sz w:val="20"/>
                <w:szCs w:val="20"/>
                <w:color w:val="auto"/>
              </w:rPr>
            </w:pPr>
            <w:r>
              <w:rPr>
                <w:rFonts w:ascii="Times New Roman" w:cs="Times New Roman" w:eastAsia="Times New Roman" w:hAnsi="Times New Roman"/>
                <w:sz w:val="13"/>
                <w:szCs w:val="13"/>
                <w:color w:val="auto"/>
              </w:rPr>
              <w:t>10.50%), 6.00%  ETP, Due 5/1/20)</w:t>
            </w: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17"/>
        </w:trPr>
        <w:tc>
          <w:tcPr>
            <w:tcW w:w="3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3240" w:type="dxa"/>
            <w:vAlign w:val="bottom"/>
            <w:gridSpan w:val="5"/>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Term Loan (12.10% cash (Libor + 10.00%; Floor</w:t>
            </w:r>
          </w:p>
        </w:tc>
        <w:tc>
          <w:tcPr>
            <w:tcW w:w="1000" w:type="dxa"/>
            <w:vAlign w:val="bottom"/>
            <w:gridSpan w:val="2"/>
            <w:shd w:val="clear" w:color="auto" w:fill="CCEEFF"/>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1,875</w:t>
            </w:r>
          </w:p>
        </w:tc>
        <w:tc>
          <w:tcPr>
            <w:tcW w:w="16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100"/>
              <w:spacing w:after="0" w:line="117" w:lineRule="exact"/>
              <w:rPr>
                <w:sz w:val="20"/>
                <w:szCs w:val="20"/>
                <w:color w:val="auto"/>
              </w:rPr>
            </w:pPr>
            <w:r>
              <w:rPr>
                <w:rFonts w:ascii="Times New Roman" w:cs="Times New Roman" w:eastAsia="Times New Roman" w:hAnsi="Times New Roman"/>
                <w:sz w:val="13"/>
                <w:szCs w:val="13"/>
                <w:color w:val="auto"/>
              </w:rPr>
              <w:t>1,857</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right"/>
              <w:ind w:right="100"/>
              <w:spacing w:after="0" w:line="117" w:lineRule="exact"/>
              <w:rPr>
                <w:sz w:val="20"/>
                <w:szCs w:val="20"/>
                <w:color w:val="auto"/>
              </w:rPr>
            </w:pPr>
            <w:r>
              <w:rPr>
                <w:rFonts w:ascii="Times New Roman" w:cs="Times New Roman" w:eastAsia="Times New Roman" w:hAnsi="Times New Roman"/>
                <w:sz w:val="13"/>
                <w:szCs w:val="13"/>
                <w:color w:val="auto"/>
              </w:rPr>
              <w:t>1,857</w:t>
            </w:r>
          </w:p>
        </w:tc>
      </w:tr>
      <w:tr>
        <w:trPr>
          <w:trHeight w:val="153"/>
        </w:trPr>
        <w:tc>
          <w:tcPr>
            <w:tcW w:w="3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3240" w:type="dxa"/>
            <w:vAlign w:val="bottom"/>
            <w:gridSpan w:val="5"/>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10.50%), 6.00%  ETP, Due 10/1/20)</w:t>
            </w:r>
          </w:p>
        </w:tc>
        <w:tc>
          <w:tcPr>
            <w:tcW w:w="8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17"/>
        </w:trPr>
        <w:tc>
          <w:tcPr>
            <w:tcW w:w="3900" w:type="dxa"/>
            <w:vAlign w:val="bottom"/>
            <w:gridSpan w:val="2"/>
          </w:tcPr>
          <w:p>
            <w:pPr>
              <w:spacing w:after="0" w:line="117" w:lineRule="exact"/>
              <w:rPr>
                <w:sz w:val="20"/>
                <w:szCs w:val="20"/>
                <w:color w:val="auto"/>
              </w:rPr>
            </w:pPr>
            <w:r>
              <w:rPr>
                <w:rFonts w:ascii="Times New Roman" w:cs="Times New Roman" w:eastAsia="Times New Roman" w:hAnsi="Times New Roman"/>
                <w:sz w:val="13"/>
                <w:szCs w:val="13"/>
                <w:color w:val="auto"/>
              </w:rPr>
              <w:t>Titan Pharmaceuticals, Inc. (2)(5)(12)</w:t>
            </w:r>
          </w:p>
        </w:tc>
        <w:tc>
          <w:tcPr>
            <w:tcW w:w="114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Drug Delivery</w:t>
            </w:r>
          </w:p>
        </w:tc>
        <w:tc>
          <w:tcPr>
            <w:tcW w:w="3240" w:type="dxa"/>
            <w:vAlign w:val="bottom"/>
            <w:gridSpan w:val="5"/>
          </w:tcPr>
          <w:p>
            <w:pPr>
              <w:ind w:left="120"/>
              <w:spacing w:after="0" w:line="117" w:lineRule="exact"/>
              <w:rPr>
                <w:sz w:val="20"/>
                <w:szCs w:val="20"/>
                <w:color w:val="auto"/>
              </w:rPr>
            </w:pPr>
            <w:r>
              <w:rPr>
                <w:rFonts w:ascii="Times New Roman" w:cs="Times New Roman" w:eastAsia="Times New Roman" w:hAnsi="Times New Roman"/>
                <w:sz w:val="13"/>
                <w:szCs w:val="13"/>
                <w:color w:val="auto"/>
              </w:rPr>
              <w:t>Term Loan (10.50% cash (Libor + 8.40%; Floor 9.50%),</w:t>
            </w:r>
          </w:p>
        </w:tc>
        <w:tc>
          <w:tcPr>
            <w:tcW w:w="1000" w:type="dxa"/>
            <w:vAlign w:val="bottom"/>
            <w:gridSpan w:val="2"/>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1,600</w:t>
            </w:r>
          </w:p>
        </w:tc>
        <w:tc>
          <w:tcPr>
            <w:tcW w:w="160" w:type="dxa"/>
            <w:vAlign w:val="bottom"/>
          </w:tcPr>
          <w:p>
            <w:pPr>
              <w:spacing w:after="0"/>
              <w:rPr>
                <w:sz w:val="10"/>
                <w:szCs w:val="10"/>
                <w:color w:val="auto"/>
              </w:rPr>
            </w:pPr>
          </w:p>
        </w:tc>
        <w:tc>
          <w:tcPr>
            <w:tcW w:w="860" w:type="dxa"/>
            <w:vAlign w:val="bottom"/>
            <w:gridSpan w:val="2"/>
          </w:tcPr>
          <w:p>
            <w:pPr>
              <w:jc w:val="right"/>
              <w:ind w:right="100"/>
              <w:spacing w:after="0" w:line="117" w:lineRule="exact"/>
              <w:rPr>
                <w:sz w:val="20"/>
                <w:szCs w:val="20"/>
                <w:color w:val="auto"/>
              </w:rPr>
            </w:pPr>
            <w:r>
              <w:rPr>
                <w:rFonts w:ascii="Times New Roman" w:cs="Times New Roman" w:eastAsia="Times New Roman" w:hAnsi="Times New Roman"/>
                <w:sz w:val="13"/>
                <w:szCs w:val="13"/>
                <w:color w:val="auto"/>
              </w:rPr>
              <w:t>1,526</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gridSpan w:val="2"/>
          </w:tcPr>
          <w:p>
            <w:pPr>
              <w:jc w:val="right"/>
              <w:ind w:right="100"/>
              <w:spacing w:after="0" w:line="117" w:lineRule="exact"/>
              <w:rPr>
                <w:sz w:val="20"/>
                <w:szCs w:val="20"/>
                <w:color w:val="auto"/>
              </w:rPr>
            </w:pPr>
            <w:r>
              <w:rPr>
                <w:rFonts w:ascii="Times New Roman" w:cs="Times New Roman" w:eastAsia="Times New Roman" w:hAnsi="Times New Roman"/>
                <w:sz w:val="13"/>
                <w:szCs w:val="13"/>
                <w:color w:val="auto"/>
              </w:rPr>
              <w:t>1,526</w:t>
            </w:r>
          </w:p>
        </w:tc>
      </w:tr>
      <w:tr>
        <w:trPr>
          <w:trHeight w:val="153"/>
        </w:trPr>
        <w:tc>
          <w:tcPr>
            <w:tcW w:w="3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5.00%</w:t>
            </w:r>
          </w:p>
        </w:tc>
        <w:tc>
          <w:tcPr>
            <w:tcW w:w="274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auto"/>
              </w:rPr>
              <w:t>ETP, Due 6/1/22)</w:t>
            </w: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17"/>
        </w:trPr>
        <w:tc>
          <w:tcPr>
            <w:tcW w:w="3900" w:type="dxa"/>
            <w:vAlign w:val="bottom"/>
            <w:gridSpan w:val="2"/>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Conventus Orthopaedics, Inc. (2)(12)</w:t>
            </w:r>
          </w:p>
        </w:tc>
        <w:tc>
          <w:tcPr>
            <w:tcW w:w="114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Medical Device</w:t>
            </w:r>
          </w:p>
        </w:tc>
        <w:tc>
          <w:tcPr>
            <w:tcW w:w="3240" w:type="dxa"/>
            <w:vAlign w:val="bottom"/>
            <w:gridSpan w:val="5"/>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Revolving Loan (10.10% cash (Libor + 8.00%; Floor</w:t>
            </w:r>
          </w:p>
        </w:tc>
        <w:tc>
          <w:tcPr>
            <w:tcW w:w="1000" w:type="dxa"/>
            <w:vAlign w:val="bottom"/>
            <w:gridSpan w:val="2"/>
            <w:shd w:val="clear" w:color="auto" w:fill="CCEEFF"/>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10,621</w:t>
            </w:r>
          </w:p>
        </w:tc>
        <w:tc>
          <w:tcPr>
            <w:tcW w:w="16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100"/>
              <w:spacing w:after="0" w:line="117" w:lineRule="exact"/>
              <w:rPr>
                <w:sz w:val="20"/>
                <w:szCs w:val="20"/>
                <w:color w:val="auto"/>
              </w:rPr>
            </w:pPr>
            <w:r>
              <w:rPr>
                <w:rFonts w:ascii="Times New Roman" w:cs="Times New Roman" w:eastAsia="Times New Roman" w:hAnsi="Times New Roman"/>
                <w:sz w:val="13"/>
                <w:szCs w:val="13"/>
                <w:color w:val="auto"/>
              </w:rPr>
              <w:t>10,445</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right"/>
              <w:ind w:right="100"/>
              <w:spacing w:after="0" w:line="117" w:lineRule="exact"/>
              <w:rPr>
                <w:sz w:val="20"/>
                <w:szCs w:val="20"/>
                <w:color w:val="auto"/>
              </w:rPr>
            </w:pPr>
            <w:r>
              <w:rPr>
                <w:rFonts w:ascii="Times New Roman" w:cs="Times New Roman" w:eastAsia="Times New Roman" w:hAnsi="Times New Roman"/>
                <w:sz w:val="13"/>
                <w:szCs w:val="13"/>
                <w:color w:val="auto"/>
              </w:rPr>
              <w:t>10,445</w:t>
            </w:r>
          </w:p>
        </w:tc>
      </w:tr>
      <w:tr>
        <w:trPr>
          <w:trHeight w:val="153"/>
        </w:trPr>
        <w:tc>
          <w:tcPr>
            <w:tcW w:w="3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3240" w:type="dxa"/>
            <w:vAlign w:val="bottom"/>
            <w:gridSpan w:val="5"/>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9.25%), 6.00%  ETP, Due 7/1/21)</w:t>
            </w:r>
          </w:p>
        </w:tc>
        <w:tc>
          <w:tcPr>
            <w:tcW w:w="8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17"/>
        </w:trPr>
        <w:tc>
          <w:tcPr>
            <w:tcW w:w="3900" w:type="dxa"/>
            <w:vAlign w:val="bottom"/>
            <w:gridSpan w:val="2"/>
          </w:tcPr>
          <w:p>
            <w:pPr>
              <w:spacing w:after="0" w:line="117" w:lineRule="exact"/>
              <w:rPr>
                <w:sz w:val="20"/>
                <w:szCs w:val="20"/>
                <w:color w:val="auto"/>
              </w:rPr>
            </w:pPr>
            <w:r>
              <w:rPr>
                <w:rFonts w:ascii="Times New Roman" w:cs="Times New Roman" w:eastAsia="Times New Roman" w:hAnsi="Times New Roman"/>
                <w:sz w:val="13"/>
                <w:szCs w:val="13"/>
                <w:color w:val="auto"/>
              </w:rPr>
              <w:t>CSA Medical, Inc. (2)(12)</w:t>
            </w:r>
          </w:p>
        </w:tc>
        <w:tc>
          <w:tcPr>
            <w:tcW w:w="114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Medical Device</w:t>
            </w:r>
          </w:p>
        </w:tc>
        <w:tc>
          <w:tcPr>
            <w:tcW w:w="3240" w:type="dxa"/>
            <w:vAlign w:val="bottom"/>
            <w:gridSpan w:val="5"/>
          </w:tcPr>
          <w:p>
            <w:pPr>
              <w:ind w:left="120"/>
              <w:spacing w:after="0" w:line="117" w:lineRule="exact"/>
              <w:rPr>
                <w:sz w:val="20"/>
                <w:szCs w:val="20"/>
                <w:color w:val="auto"/>
              </w:rPr>
            </w:pPr>
            <w:r>
              <w:rPr>
                <w:rFonts w:ascii="Times New Roman" w:cs="Times New Roman" w:eastAsia="Times New Roman" w:hAnsi="Times New Roman"/>
                <w:sz w:val="13"/>
                <w:szCs w:val="13"/>
                <w:color w:val="auto"/>
              </w:rPr>
              <w:t>Term Loan (10.03% cash (Libor + 7.93%; Floor</w:t>
            </w:r>
          </w:p>
        </w:tc>
        <w:tc>
          <w:tcPr>
            <w:tcW w:w="1000" w:type="dxa"/>
            <w:vAlign w:val="bottom"/>
            <w:gridSpan w:val="2"/>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6,000</w:t>
            </w:r>
          </w:p>
        </w:tc>
        <w:tc>
          <w:tcPr>
            <w:tcW w:w="160" w:type="dxa"/>
            <w:vAlign w:val="bottom"/>
          </w:tcPr>
          <w:p>
            <w:pPr>
              <w:spacing w:after="0"/>
              <w:rPr>
                <w:sz w:val="10"/>
                <w:szCs w:val="10"/>
                <w:color w:val="auto"/>
              </w:rPr>
            </w:pPr>
          </w:p>
        </w:tc>
        <w:tc>
          <w:tcPr>
            <w:tcW w:w="860" w:type="dxa"/>
            <w:vAlign w:val="bottom"/>
            <w:gridSpan w:val="2"/>
          </w:tcPr>
          <w:p>
            <w:pPr>
              <w:jc w:val="right"/>
              <w:ind w:right="100"/>
              <w:spacing w:after="0" w:line="117" w:lineRule="exact"/>
              <w:rPr>
                <w:sz w:val="20"/>
                <w:szCs w:val="20"/>
                <w:color w:val="auto"/>
              </w:rPr>
            </w:pPr>
            <w:r>
              <w:rPr>
                <w:rFonts w:ascii="Times New Roman" w:cs="Times New Roman" w:eastAsia="Times New Roman" w:hAnsi="Times New Roman"/>
                <w:sz w:val="13"/>
                <w:szCs w:val="13"/>
                <w:color w:val="auto"/>
              </w:rPr>
              <w:t>5,874</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gridSpan w:val="2"/>
          </w:tcPr>
          <w:p>
            <w:pPr>
              <w:jc w:val="right"/>
              <w:ind w:right="100"/>
              <w:spacing w:after="0" w:line="117" w:lineRule="exact"/>
              <w:rPr>
                <w:sz w:val="20"/>
                <w:szCs w:val="20"/>
                <w:color w:val="auto"/>
              </w:rPr>
            </w:pPr>
            <w:r>
              <w:rPr>
                <w:rFonts w:ascii="Times New Roman" w:cs="Times New Roman" w:eastAsia="Times New Roman" w:hAnsi="Times New Roman"/>
                <w:sz w:val="13"/>
                <w:szCs w:val="13"/>
                <w:color w:val="auto"/>
              </w:rPr>
              <w:t>5,874</w:t>
            </w:r>
          </w:p>
        </w:tc>
      </w:tr>
      <w:tr>
        <w:trPr>
          <w:trHeight w:val="153"/>
        </w:trPr>
        <w:tc>
          <w:tcPr>
            <w:tcW w:w="3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240" w:type="dxa"/>
            <w:vAlign w:val="bottom"/>
            <w:gridSpan w:val="5"/>
          </w:tcPr>
          <w:p>
            <w:pPr>
              <w:ind w:left="120"/>
              <w:spacing w:after="0"/>
              <w:rPr>
                <w:sz w:val="20"/>
                <w:szCs w:val="20"/>
                <w:color w:val="auto"/>
              </w:rPr>
            </w:pPr>
            <w:r>
              <w:rPr>
                <w:rFonts w:ascii="Times New Roman" w:cs="Times New Roman" w:eastAsia="Times New Roman" w:hAnsi="Times New Roman"/>
                <w:sz w:val="13"/>
                <w:szCs w:val="13"/>
                <w:color w:val="auto"/>
              </w:rPr>
              <w:t>10.00%), 5.00%  ETP, Due 10/1/22)</w:t>
            </w: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17"/>
        </w:trPr>
        <w:tc>
          <w:tcPr>
            <w:tcW w:w="3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3240" w:type="dxa"/>
            <w:vAlign w:val="bottom"/>
            <w:gridSpan w:val="5"/>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Term Loan (10.03% cash (Libor + 7.93%; Floor</w:t>
            </w:r>
          </w:p>
        </w:tc>
        <w:tc>
          <w:tcPr>
            <w:tcW w:w="1000" w:type="dxa"/>
            <w:vAlign w:val="bottom"/>
            <w:gridSpan w:val="2"/>
            <w:shd w:val="clear" w:color="auto" w:fill="CCEEFF"/>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6,000</w:t>
            </w:r>
          </w:p>
        </w:tc>
        <w:tc>
          <w:tcPr>
            <w:tcW w:w="16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100"/>
              <w:spacing w:after="0" w:line="117" w:lineRule="exact"/>
              <w:rPr>
                <w:sz w:val="20"/>
                <w:szCs w:val="20"/>
                <w:color w:val="auto"/>
              </w:rPr>
            </w:pPr>
            <w:r>
              <w:rPr>
                <w:rFonts w:ascii="Times New Roman" w:cs="Times New Roman" w:eastAsia="Times New Roman" w:hAnsi="Times New Roman"/>
                <w:sz w:val="13"/>
                <w:szCs w:val="13"/>
                <w:color w:val="auto"/>
              </w:rPr>
              <w:t>5,898</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right"/>
              <w:ind w:right="100"/>
              <w:spacing w:after="0" w:line="117" w:lineRule="exact"/>
              <w:rPr>
                <w:sz w:val="20"/>
                <w:szCs w:val="20"/>
                <w:color w:val="auto"/>
              </w:rPr>
            </w:pPr>
            <w:r>
              <w:rPr>
                <w:rFonts w:ascii="Times New Roman" w:cs="Times New Roman" w:eastAsia="Times New Roman" w:hAnsi="Times New Roman"/>
                <w:sz w:val="13"/>
                <w:szCs w:val="13"/>
                <w:color w:val="auto"/>
              </w:rPr>
              <w:t>5,898</w:t>
            </w:r>
          </w:p>
        </w:tc>
      </w:tr>
      <w:tr>
        <w:trPr>
          <w:trHeight w:val="153"/>
        </w:trPr>
        <w:tc>
          <w:tcPr>
            <w:tcW w:w="3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3240" w:type="dxa"/>
            <w:vAlign w:val="bottom"/>
            <w:gridSpan w:val="5"/>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10.00%), 5.00%  ETP, Due 7/1/23)</w:t>
            </w:r>
          </w:p>
        </w:tc>
        <w:tc>
          <w:tcPr>
            <w:tcW w:w="8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17"/>
        </w:trPr>
        <w:tc>
          <w:tcPr>
            <w:tcW w:w="3900" w:type="dxa"/>
            <w:vAlign w:val="bottom"/>
            <w:gridSpan w:val="2"/>
          </w:tcPr>
          <w:p>
            <w:pPr>
              <w:spacing w:after="0" w:line="117" w:lineRule="exact"/>
              <w:rPr>
                <w:sz w:val="20"/>
                <w:szCs w:val="20"/>
                <w:color w:val="auto"/>
              </w:rPr>
            </w:pPr>
            <w:r>
              <w:rPr>
                <w:rFonts w:ascii="Times New Roman" w:cs="Times New Roman" w:eastAsia="Times New Roman" w:hAnsi="Times New Roman"/>
                <w:sz w:val="13"/>
                <w:szCs w:val="13"/>
                <w:color w:val="auto"/>
              </w:rPr>
              <w:t>Lantos Technologies, Inc. (2)(12)</w:t>
            </w:r>
          </w:p>
        </w:tc>
        <w:tc>
          <w:tcPr>
            <w:tcW w:w="114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Medical Device</w:t>
            </w:r>
          </w:p>
        </w:tc>
        <w:tc>
          <w:tcPr>
            <w:tcW w:w="3240" w:type="dxa"/>
            <w:vAlign w:val="bottom"/>
            <w:gridSpan w:val="5"/>
          </w:tcPr>
          <w:p>
            <w:pPr>
              <w:ind w:left="120"/>
              <w:spacing w:after="0" w:line="117" w:lineRule="exact"/>
              <w:rPr>
                <w:sz w:val="20"/>
                <w:szCs w:val="20"/>
                <w:color w:val="auto"/>
              </w:rPr>
            </w:pPr>
            <w:r>
              <w:rPr>
                <w:rFonts w:ascii="Times New Roman" w:cs="Times New Roman" w:eastAsia="Times New Roman" w:hAnsi="Times New Roman"/>
                <w:sz w:val="13"/>
                <w:szCs w:val="13"/>
                <w:color w:val="auto"/>
              </w:rPr>
              <w:t>Term Loan (10.53% cash (Libor + 8.43%; Floor</w:t>
            </w:r>
          </w:p>
        </w:tc>
        <w:tc>
          <w:tcPr>
            <w:tcW w:w="1000" w:type="dxa"/>
            <w:vAlign w:val="bottom"/>
            <w:gridSpan w:val="2"/>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3,750</w:t>
            </w:r>
          </w:p>
        </w:tc>
        <w:tc>
          <w:tcPr>
            <w:tcW w:w="160" w:type="dxa"/>
            <w:vAlign w:val="bottom"/>
          </w:tcPr>
          <w:p>
            <w:pPr>
              <w:spacing w:after="0"/>
              <w:rPr>
                <w:sz w:val="10"/>
                <w:szCs w:val="10"/>
                <w:color w:val="auto"/>
              </w:rPr>
            </w:pPr>
          </w:p>
        </w:tc>
        <w:tc>
          <w:tcPr>
            <w:tcW w:w="860" w:type="dxa"/>
            <w:vAlign w:val="bottom"/>
            <w:gridSpan w:val="2"/>
          </w:tcPr>
          <w:p>
            <w:pPr>
              <w:jc w:val="right"/>
              <w:ind w:right="100"/>
              <w:spacing w:after="0" w:line="117" w:lineRule="exact"/>
              <w:rPr>
                <w:sz w:val="20"/>
                <w:szCs w:val="20"/>
                <w:color w:val="auto"/>
              </w:rPr>
            </w:pPr>
            <w:r>
              <w:rPr>
                <w:rFonts w:ascii="Times New Roman" w:cs="Times New Roman" w:eastAsia="Times New Roman" w:hAnsi="Times New Roman"/>
                <w:sz w:val="13"/>
                <w:szCs w:val="13"/>
                <w:color w:val="auto"/>
              </w:rPr>
              <w:t>3,416</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gridSpan w:val="2"/>
          </w:tcPr>
          <w:p>
            <w:pPr>
              <w:jc w:val="right"/>
              <w:ind w:right="100"/>
              <w:spacing w:after="0" w:line="117" w:lineRule="exact"/>
              <w:rPr>
                <w:sz w:val="20"/>
                <w:szCs w:val="20"/>
                <w:color w:val="auto"/>
              </w:rPr>
            </w:pPr>
            <w:r>
              <w:rPr>
                <w:rFonts w:ascii="Times New Roman" w:cs="Times New Roman" w:eastAsia="Times New Roman" w:hAnsi="Times New Roman"/>
                <w:sz w:val="13"/>
                <w:szCs w:val="13"/>
                <w:color w:val="auto"/>
              </w:rPr>
              <w:t>3,416</w:t>
            </w:r>
          </w:p>
        </w:tc>
      </w:tr>
      <w:tr>
        <w:trPr>
          <w:trHeight w:val="153"/>
        </w:trPr>
        <w:tc>
          <w:tcPr>
            <w:tcW w:w="3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240" w:type="dxa"/>
            <w:vAlign w:val="bottom"/>
            <w:gridSpan w:val="5"/>
          </w:tcPr>
          <w:p>
            <w:pPr>
              <w:ind w:left="120"/>
              <w:spacing w:after="0"/>
              <w:rPr>
                <w:sz w:val="20"/>
                <w:szCs w:val="20"/>
                <w:color w:val="auto"/>
              </w:rPr>
            </w:pPr>
            <w:r>
              <w:rPr>
                <w:rFonts w:ascii="Times New Roman" w:cs="Times New Roman" w:eastAsia="Times New Roman" w:hAnsi="Times New Roman"/>
                <w:sz w:val="13"/>
                <w:szCs w:val="13"/>
                <w:color w:val="auto"/>
              </w:rPr>
              <w:t>10.00%), 10.00%  ETP, Due 9/1/21)</w:t>
            </w: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17"/>
        </w:trPr>
        <w:tc>
          <w:tcPr>
            <w:tcW w:w="3900" w:type="dxa"/>
            <w:vAlign w:val="bottom"/>
            <w:gridSpan w:val="2"/>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MacuLogix, Inc. (2)(12)</w:t>
            </w:r>
          </w:p>
        </w:tc>
        <w:tc>
          <w:tcPr>
            <w:tcW w:w="114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Medical Device</w:t>
            </w:r>
          </w:p>
        </w:tc>
        <w:tc>
          <w:tcPr>
            <w:tcW w:w="3240" w:type="dxa"/>
            <w:vAlign w:val="bottom"/>
            <w:gridSpan w:val="5"/>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Term Loan (10.08% cash (Libor + 7.68%; Floor</w:t>
            </w:r>
          </w:p>
        </w:tc>
        <w:tc>
          <w:tcPr>
            <w:tcW w:w="1000" w:type="dxa"/>
            <w:vAlign w:val="bottom"/>
            <w:gridSpan w:val="2"/>
            <w:shd w:val="clear" w:color="auto" w:fill="CCEEFF"/>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7,500</w:t>
            </w:r>
          </w:p>
        </w:tc>
        <w:tc>
          <w:tcPr>
            <w:tcW w:w="16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100"/>
              <w:spacing w:after="0" w:line="117" w:lineRule="exact"/>
              <w:rPr>
                <w:sz w:val="20"/>
                <w:szCs w:val="20"/>
                <w:color w:val="auto"/>
              </w:rPr>
            </w:pPr>
            <w:r>
              <w:rPr>
                <w:rFonts w:ascii="Times New Roman" w:cs="Times New Roman" w:eastAsia="Times New Roman" w:hAnsi="Times New Roman"/>
                <w:sz w:val="13"/>
                <w:szCs w:val="13"/>
                <w:color w:val="auto"/>
              </w:rPr>
              <w:t>7,386</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right"/>
              <w:ind w:right="100"/>
              <w:spacing w:after="0" w:line="117" w:lineRule="exact"/>
              <w:rPr>
                <w:sz w:val="20"/>
                <w:szCs w:val="20"/>
                <w:color w:val="auto"/>
              </w:rPr>
            </w:pPr>
            <w:r>
              <w:rPr>
                <w:rFonts w:ascii="Times New Roman" w:cs="Times New Roman" w:eastAsia="Times New Roman" w:hAnsi="Times New Roman"/>
                <w:sz w:val="13"/>
                <w:szCs w:val="13"/>
                <w:color w:val="auto"/>
              </w:rPr>
              <w:t>7,386</w:t>
            </w:r>
          </w:p>
        </w:tc>
      </w:tr>
      <w:tr>
        <w:trPr>
          <w:trHeight w:val="153"/>
        </w:trPr>
        <w:tc>
          <w:tcPr>
            <w:tcW w:w="3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3240" w:type="dxa"/>
            <w:vAlign w:val="bottom"/>
            <w:gridSpan w:val="5"/>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10.08%), 4.00%  ETP, Due 10/1/23)</w:t>
            </w:r>
          </w:p>
        </w:tc>
        <w:tc>
          <w:tcPr>
            <w:tcW w:w="8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17"/>
        </w:trPr>
        <w:tc>
          <w:tcPr>
            <w:tcW w:w="3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3240" w:type="dxa"/>
            <w:vAlign w:val="bottom"/>
            <w:gridSpan w:val="5"/>
          </w:tcPr>
          <w:p>
            <w:pPr>
              <w:ind w:left="120"/>
              <w:spacing w:after="0" w:line="117" w:lineRule="exact"/>
              <w:rPr>
                <w:sz w:val="20"/>
                <w:szCs w:val="20"/>
                <w:color w:val="auto"/>
              </w:rPr>
            </w:pPr>
            <w:r>
              <w:rPr>
                <w:rFonts w:ascii="Times New Roman" w:cs="Times New Roman" w:eastAsia="Times New Roman" w:hAnsi="Times New Roman"/>
                <w:sz w:val="13"/>
                <w:szCs w:val="13"/>
                <w:color w:val="auto"/>
              </w:rPr>
              <w:t>Term Loan (10.08% cash (Libor + 7.68%; Floor</w:t>
            </w:r>
          </w:p>
        </w:tc>
        <w:tc>
          <w:tcPr>
            <w:tcW w:w="1000" w:type="dxa"/>
            <w:vAlign w:val="bottom"/>
            <w:gridSpan w:val="2"/>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4,050</w:t>
            </w:r>
          </w:p>
        </w:tc>
        <w:tc>
          <w:tcPr>
            <w:tcW w:w="160" w:type="dxa"/>
            <w:vAlign w:val="bottom"/>
          </w:tcPr>
          <w:p>
            <w:pPr>
              <w:spacing w:after="0"/>
              <w:rPr>
                <w:sz w:val="10"/>
                <w:szCs w:val="10"/>
                <w:color w:val="auto"/>
              </w:rPr>
            </w:pPr>
          </w:p>
        </w:tc>
        <w:tc>
          <w:tcPr>
            <w:tcW w:w="860" w:type="dxa"/>
            <w:vAlign w:val="bottom"/>
            <w:gridSpan w:val="2"/>
          </w:tcPr>
          <w:p>
            <w:pPr>
              <w:jc w:val="right"/>
              <w:ind w:right="100"/>
              <w:spacing w:after="0" w:line="117" w:lineRule="exact"/>
              <w:rPr>
                <w:sz w:val="20"/>
                <w:szCs w:val="20"/>
                <w:color w:val="auto"/>
              </w:rPr>
            </w:pPr>
            <w:r>
              <w:rPr>
                <w:rFonts w:ascii="Times New Roman" w:cs="Times New Roman" w:eastAsia="Times New Roman" w:hAnsi="Times New Roman"/>
                <w:sz w:val="13"/>
                <w:szCs w:val="13"/>
                <w:color w:val="auto"/>
              </w:rPr>
              <w:t>3,989</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gridSpan w:val="2"/>
          </w:tcPr>
          <w:p>
            <w:pPr>
              <w:jc w:val="right"/>
              <w:ind w:right="100"/>
              <w:spacing w:after="0" w:line="117" w:lineRule="exact"/>
              <w:rPr>
                <w:sz w:val="20"/>
                <w:szCs w:val="20"/>
                <w:color w:val="auto"/>
              </w:rPr>
            </w:pPr>
            <w:r>
              <w:rPr>
                <w:rFonts w:ascii="Times New Roman" w:cs="Times New Roman" w:eastAsia="Times New Roman" w:hAnsi="Times New Roman"/>
                <w:sz w:val="13"/>
                <w:szCs w:val="13"/>
                <w:color w:val="auto"/>
              </w:rPr>
              <w:t>3,989</w:t>
            </w:r>
          </w:p>
        </w:tc>
      </w:tr>
      <w:tr>
        <w:trPr>
          <w:trHeight w:val="153"/>
        </w:trPr>
        <w:tc>
          <w:tcPr>
            <w:tcW w:w="3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240" w:type="dxa"/>
            <w:vAlign w:val="bottom"/>
            <w:gridSpan w:val="5"/>
          </w:tcPr>
          <w:p>
            <w:pPr>
              <w:ind w:left="120"/>
              <w:spacing w:after="0"/>
              <w:rPr>
                <w:sz w:val="20"/>
                <w:szCs w:val="20"/>
                <w:color w:val="auto"/>
              </w:rPr>
            </w:pPr>
            <w:r>
              <w:rPr>
                <w:rFonts w:ascii="Times New Roman" w:cs="Times New Roman" w:eastAsia="Times New Roman" w:hAnsi="Times New Roman"/>
                <w:sz w:val="13"/>
                <w:szCs w:val="13"/>
                <w:color w:val="auto"/>
              </w:rPr>
              <w:t>10.08%), 4.00%  ETP, Due 10/1/23)</w:t>
            </w: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17"/>
        </w:trPr>
        <w:tc>
          <w:tcPr>
            <w:tcW w:w="3900" w:type="dxa"/>
            <w:vAlign w:val="bottom"/>
            <w:gridSpan w:val="2"/>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Meditrina, Inc. (12)</w:t>
            </w:r>
          </w:p>
        </w:tc>
        <w:tc>
          <w:tcPr>
            <w:tcW w:w="114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Medical Device</w:t>
            </w:r>
          </w:p>
        </w:tc>
        <w:tc>
          <w:tcPr>
            <w:tcW w:w="3240" w:type="dxa"/>
            <w:vAlign w:val="bottom"/>
            <w:gridSpan w:val="5"/>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Term Loan (9.70% cash (Libor + 7.10%; Floor 9.70%),</w:t>
            </w:r>
          </w:p>
        </w:tc>
        <w:tc>
          <w:tcPr>
            <w:tcW w:w="1000" w:type="dxa"/>
            <w:vAlign w:val="bottom"/>
            <w:gridSpan w:val="2"/>
            <w:shd w:val="clear" w:color="auto" w:fill="CCEEFF"/>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3,000</w:t>
            </w:r>
          </w:p>
        </w:tc>
        <w:tc>
          <w:tcPr>
            <w:tcW w:w="16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100"/>
              <w:spacing w:after="0" w:line="117" w:lineRule="exact"/>
              <w:rPr>
                <w:sz w:val="20"/>
                <w:szCs w:val="20"/>
                <w:color w:val="auto"/>
              </w:rPr>
            </w:pPr>
            <w:r>
              <w:rPr>
                <w:rFonts w:ascii="Times New Roman" w:cs="Times New Roman" w:eastAsia="Times New Roman" w:hAnsi="Times New Roman"/>
                <w:sz w:val="13"/>
                <w:szCs w:val="13"/>
                <w:color w:val="auto"/>
              </w:rPr>
              <w:t>2,903</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right"/>
              <w:ind w:right="100"/>
              <w:spacing w:after="0" w:line="117" w:lineRule="exact"/>
              <w:rPr>
                <w:sz w:val="20"/>
                <w:szCs w:val="20"/>
                <w:color w:val="auto"/>
              </w:rPr>
            </w:pPr>
            <w:r>
              <w:rPr>
                <w:rFonts w:ascii="Times New Roman" w:cs="Times New Roman" w:eastAsia="Times New Roman" w:hAnsi="Times New Roman"/>
                <w:sz w:val="13"/>
                <w:szCs w:val="13"/>
                <w:color w:val="auto"/>
              </w:rPr>
              <w:t>2,903</w:t>
            </w:r>
          </w:p>
        </w:tc>
      </w:tr>
      <w:tr>
        <w:trPr>
          <w:trHeight w:val="153"/>
        </w:trPr>
        <w:tc>
          <w:tcPr>
            <w:tcW w:w="3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4.00%</w:t>
            </w:r>
          </w:p>
        </w:tc>
        <w:tc>
          <w:tcPr>
            <w:tcW w:w="27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ETP, Due 5/1/20)</w:t>
            </w:r>
          </w:p>
        </w:tc>
        <w:tc>
          <w:tcPr>
            <w:tcW w:w="8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17"/>
        </w:trPr>
        <w:tc>
          <w:tcPr>
            <w:tcW w:w="3900" w:type="dxa"/>
            <w:vAlign w:val="bottom"/>
            <w:gridSpan w:val="2"/>
          </w:tcPr>
          <w:p>
            <w:pPr>
              <w:spacing w:after="0" w:line="117" w:lineRule="exact"/>
              <w:rPr>
                <w:sz w:val="20"/>
                <w:szCs w:val="20"/>
                <w:color w:val="auto"/>
              </w:rPr>
            </w:pPr>
            <w:r>
              <w:rPr>
                <w:rFonts w:ascii="Times New Roman" w:cs="Times New Roman" w:eastAsia="Times New Roman" w:hAnsi="Times New Roman"/>
                <w:sz w:val="13"/>
                <w:szCs w:val="13"/>
                <w:color w:val="auto"/>
              </w:rPr>
              <w:t>VERO Biotech LLC (2)(12)</w:t>
            </w:r>
          </w:p>
        </w:tc>
        <w:tc>
          <w:tcPr>
            <w:tcW w:w="114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Medical Device</w:t>
            </w:r>
          </w:p>
        </w:tc>
        <w:tc>
          <w:tcPr>
            <w:tcW w:w="3240" w:type="dxa"/>
            <w:vAlign w:val="bottom"/>
            <w:gridSpan w:val="5"/>
          </w:tcPr>
          <w:p>
            <w:pPr>
              <w:ind w:left="120"/>
              <w:spacing w:after="0" w:line="117" w:lineRule="exact"/>
              <w:rPr>
                <w:sz w:val="20"/>
                <w:szCs w:val="20"/>
                <w:color w:val="auto"/>
              </w:rPr>
            </w:pPr>
            <w:r>
              <w:rPr>
                <w:rFonts w:ascii="Times New Roman" w:cs="Times New Roman" w:eastAsia="Times New Roman" w:hAnsi="Times New Roman"/>
                <w:sz w:val="13"/>
                <w:szCs w:val="13"/>
                <w:color w:val="auto"/>
              </w:rPr>
              <w:t>Term Loan (10.10% cash (Libor + 8.00%; Floor 9.25%),</w:t>
            </w:r>
          </w:p>
        </w:tc>
        <w:tc>
          <w:tcPr>
            <w:tcW w:w="1000" w:type="dxa"/>
            <w:vAlign w:val="bottom"/>
            <w:gridSpan w:val="2"/>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4,000</w:t>
            </w:r>
          </w:p>
        </w:tc>
        <w:tc>
          <w:tcPr>
            <w:tcW w:w="160" w:type="dxa"/>
            <w:vAlign w:val="bottom"/>
          </w:tcPr>
          <w:p>
            <w:pPr>
              <w:spacing w:after="0"/>
              <w:rPr>
                <w:sz w:val="10"/>
                <w:szCs w:val="10"/>
                <w:color w:val="auto"/>
              </w:rPr>
            </w:pPr>
          </w:p>
        </w:tc>
        <w:tc>
          <w:tcPr>
            <w:tcW w:w="860" w:type="dxa"/>
            <w:vAlign w:val="bottom"/>
            <w:gridSpan w:val="2"/>
          </w:tcPr>
          <w:p>
            <w:pPr>
              <w:jc w:val="right"/>
              <w:ind w:right="100"/>
              <w:spacing w:after="0" w:line="117" w:lineRule="exact"/>
              <w:rPr>
                <w:sz w:val="20"/>
                <w:szCs w:val="20"/>
                <w:color w:val="auto"/>
              </w:rPr>
            </w:pPr>
            <w:r>
              <w:rPr>
                <w:rFonts w:ascii="Times New Roman" w:cs="Times New Roman" w:eastAsia="Times New Roman" w:hAnsi="Times New Roman"/>
                <w:sz w:val="13"/>
                <w:szCs w:val="13"/>
                <w:color w:val="auto"/>
              </w:rPr>
              <w:t>3,963</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gridSpan w:val="2"/>
          </w:tcPr>
          <w:p>
            <w:pPr>
              <w:jc w:val="right"/>
              <w:ind w:right="100"/>
              <w:spacing w:after="0" w:line="117" w:lineRule="exact"/>
              <w:rPr>
                <w:sz w:val="20"/>
                <w:szCs w:val="20"/>
                <w:color w:val="auto"/>
              </w:rPr>
            </w:pPr>
            <w:r>
              <w:rPr>
                <w:rFonts w:ascii="Times New Roman" w:cs="Times New Roman" w:eastAsia="Times New Roman" w:hAnsi="Times New Roman"/>
                <w:sz w:val="13"/>
                <w:szCs w:val="13"/>
                <w:color w:val="auto"/>
              </w:rPr>
              <w:t>3,963</w:t>
            </w:r>
          </w:p>
        </w:tc>
      </w:tr>
      <w:tr>
        <w:trPr>
          <w:trHeight w:val="153"/>
        </w:trPr>
        <w:tc>
          <w:tcPr>
            <w:tcW w:w="3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5.00%</w:t>
            </w:r>
          </w:p>
        </w:tc>
        <w:tc>
          <w:tcPr>
            <w:tcW w:w="274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auto"/>
              </w:rPr>
              <w:t>ETP, Due 1/1/22)</w:t>
            </w: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17"/>
        </w:trPr>
        <w:tc>
          <w:tcPr>
            <w:tcW w:w="3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3240" w:type="dxa"/>
            <w:vAlign w:val="bottom"/>
            <w:gridSpan w:val="5"/>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Term Loan (10.10% cash (Libor + 8.00%; Floor 9.25%),</w:t>
            </w:r>
          </w:p>
        </w:tc>
        <w:tc>
          <w:tcPr>
            <w:tcW w:w="1000" w:type="dxa"/>
            <w:vAlign w:val="bottom"/>
            <w:gridSpan w:val="2"/>
            <w:shd w:val="clear" w:color="auto" w:fill="CCEEFF"/>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4,000</w:t>
            </w:r>
          </w:p>
        </w:tc>
        <w:tc>
          <w:tcPr>
            <w:tcW w:w="16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100"/>
              <w:spacing w:after="0" w:line="117" w:lineRule="exact"/>
              <w:rPr>
                <w:sz w:val="20"/>
                <w:szCs w:val="20"/>
                <w:color w:val="auto"/>
              </w:rPr>
            </w:pPr>
            <w:r>
              <w:rPr>
                <w:rFonts w:ascii="Times New Roman" w:cs="Times New Roman" w:eastAsia="Times New Roman" w:hAnsi="Times New Roman"/>
                <w:sz w:val="13"/>
                <w:szCs w:val="13"/>
                <w:color w:val="auto"/>
              </w:rPr>
              <w:t>3,963</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right"/>
              <w:ind w:right="100"/>
              <w:spacing w:after="0" w:line="117" w:lineRule="exact"/>
              <w:rPr>
                <w:sz w:val="20"/>
                <w:szCs w:val="20"/>
                <w:color w:val="auto"/>
              </w:rPr>
            </w:pPr>
            <w:r>
              <w:rPr>
                <w:rFonts w:ascii="Times New Roman" w:cs="Times New Roman" w:eastAsia="Times New Roman" w:hAnsi="Times New Roman"/>
                <w:sz w:val="13"/>
                <w:szCs w:val="13"/>
                <w:color w:val="auto"/>
              </w:rPr>
              <w:t>3,963</w:t>
            </w:r>
          </w:p>
        </w:tc>
      </w:tr>
      <w:tr>
        <w:trPr>
          <w:trHeight w:val="153"/>
        </w:trPr>
        <w:tc>
          <w:tcPr>
            <w:tcW w:w="3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5.00%</w:t>
            </w:r>
          </w:p>
        </w:tc>
        <w:tc>
          <w:tcPr>
            <w:tcW w:w="27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ETP, Due 1/1/22)</w:t>
            </w:r>
          </w:p>
        </w:tc>
        <w:tc>
          <w:tcPr>
            <w:tcW w:w="8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17"/>
        </w:trPr>
        <w:tc>
          <w:tcPr>
            <w:tcW w:w="3900" w:type="dxa"/>
            <w:vAlign w:val="bottom"/>
            <w:gridSpan w:val="2"/>
          </w:tcPr>
          <w:p>
            <w:pPr>
              <w:spacing w:after="0" w:line="117" w:lineRule="exact"/>
              <w:rPr>
                <w:sz w:val="20"/>
                <w:szCs w:val="20"/>
                <w:color w:val="auto"/>
              </w:rPr>
            </w:pPr>
            <w:r>
              <w:rPr>
                <w:rFonts w:ascii="Times New Roman" w:cs="Times New Roman" w:eastAsia="Times New Roman" w:hAnsi="Times New Roman"/>
                <w:sz w:val="13"/>
                <w:szCs w:val="13"/>
                <w:color w:val="auto"/>
              </w:rPr>
              <w:t>CVRx, Inc. (2)(12)</w:t>
            </w:r>
          </w:p>
        </w:tc>
        <w:tc>
          <w:tcPr>
            <w:tcW w:w="114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Medical Device</w:t>
            </w:r>
          </w:p>
        </w:tc>
        <w:tc>
          <w:tcPr>
            <w:tcW w:w="3240" w:type="dxa"/>
            <w:vAlign w:val="bottom"/>
            <w:gridSpan w:val="5"/>
          </w:tcPr>
          <w:p>
            <w:pPr>
              <w:ind w:left="120"/>
              <w:spacing w:after="0" w:line="117" w:lineRule="exact"/>
              <w:rPr>
                <w:sz w:val="20"/>
                <w:szCs w:val="20"/>
                <w:color w:val="auto"/>
              </w:rPr>
            </w:pPr>
            <w:r>
              <w:rPr>
                <w:rFonts w:ascii="Times New Roman" w:cs="Times New Roman" w:eastAsia="Times New Roman" w:hAnsi="Times New Roman"/>
                <w:sz w:val="13"/>
                <w:szCs w:val="13"/>
                <w:color w:val="auto"/>
              </w:rPr>
              <w:t>Term Loan (10.00% cash (Libor + 8.80%; Floor</w:t>
            </w:r>
          </w:p>
        </w:tc>
        <w:tc>
          <w:tcPr>
            <w:tcW w:w="1000" w:type="dxa"/>
            <w:vAlign w:val="bottom"/>
            <w:gridSpan w:val="2"/>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5,000</w:t>
            </w:r>
          </w:p>
        </w:tc>
        <w:tc>
          <w:tcPr>
            <w:tcW w:w="160" w:type="dxa"/>
            <w:vAlign w:val="bottom"/>
          </w:tcPr>
          <w:p>
            <w:pPr>
              <w:spacing w:after="0"/>
              <w:rPr>
                <w:sz w:val="10"/>
                <w:szCs w:val="10"/>
                <w:color w:val="auto"/>
              </w:rPr>
            </w:pPr>
          </w:p>
        </w:tc>
        <w:tc>
          <w:tcPr>
            <w:tcW w:w="860" w:type="dxa"/>
            <w:vAlign w:val="bottom"/>
            <w:gridSpan w:val="2"/>
          </w:tcPr>
          <w:p>
            <w:pPr>
              <w:jc w:val="right"/>
              <w:ind w:right="100"/>
              <w:spacing w:after="0" w:line="117" w:lineRule="exact"/>
              <w:rPr>
                <w:sz w:val="20"/>
                <w:szCs w:val="20"/>
                <w:color w:val="auto"/>
              </w:rPr>
            </w:pPr>
            <w:r>
              <w:rPr>
                <w:rFonts w:ascii="Times New Roman" w:cs="Times New Roman" w:eastAsia="Times New Roman" w:hAnsi="Times New Roman"/>
                <w:sz w:val="13"/>
                <w:szCs w:val="13"/>
                <w:color w:val="auto"/>
              </w:rPr>
              <w:t>4,931</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gridSpan w:val="2"/>
          </w:tcPr>
          <w:p>
            <w:pPr>
              <w:jc w:val="right"/>
              <w:ind w:right="100"/>
              <w:spacing w:after="0" w:line="117" w:lineRule="exact"/>
              <w:rPr>
                <w:sz w:val="20"/>
                <w:szCs w:val="20"/>
                <w:color w:val="auto"/>
              </w:rPr>
            </w:pPr>
            <w:r>
              <w:rPr>
                <w:rFonts w:ascii="Times New Roman" w:cs="Times New Roman" w:eastAsia="Times New Roman" w:hAnsi="Times New Roman"/>
                <w:sz w:val="13"/>
                <w:szCs w:val="13"/>
                <w:color w:val="auto"/>
              </w:rPr>
              <w:t>4,931</w:t>
            </w:r>
          </w:p>
        </w:tc>
      </w:tr>
      <w:tr>
        <w:trPr>
          <w:trHeight w:val="153"/>
        </w:trPr>
        <w:tc>
          <w:tcPr>
            <w:tcW w:w="3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240" w:type="dxa"/>
            <w:vAlign w:val="bottom"/>
            <w:gridSpan w:val="5"/>
          </w:tcPr>
          <w:p>
            <w:pPr>
              <w:ind w:left="120"/>
              <w:spacing w:after="0"/>
              <w:rPr>
                <w:sz w:val="20"/>
                <w:szCs w:val="20"/>
                <w:color w:val="auto"/>
              </w:rPr>
            </w:pPr>
            <w:r>
              <w:rPr>
                <w:rFonts w:ascii="Times New Roman" w:cs="Times New Roman" w:eastAsia="Times New Roman" w:hAnsi="Times New Roman"/>
                <w:sz w:val="13"/>
                <w:szCs w:val="13"/>
                <w:color w:val="auto"/>
              </w:rPr>
              <w:t>10.00%), 3.50%  ETP, Due 4/1/23)</w:t>
            </w: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17"/>
        </w:trPr>
        <w:tc>
          <w:tcPr>
            <w:tcW w:w="3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3240" w:type="dxa"/>
            <w:vAlign w:val="bottom"/>
            <w:gridSpan w:val="5"/>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Term Loan (10.00% cash (Libor + 8.80%; Floor</w:t>
            </w:r>
          </w:p>
        </w:tc>
        <w:tc>
          <w:tcPr>
            <w:tcW w:w="1000" w:type="dxa"/>
            <w:vAlign w:val="bottom"/>
            <w:gridSpan w:val="2"/>
            <w:shd w:val="clear" w:color="auto" w:fill="CCEEFF"/>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5,000</w:t>
            </w:r>
          </w:p>
        </w:tc>
        <w:tc>
          <w:tcPr>
            <w:tcW w:w="16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100"/>
              <w:spacing w:after="0" w:line="117" w:lineRule="exact"/>
              <w:rPr>
                <w:sz w:val="20"/>
                <w:szCs w:val="20"/>
                <w:color w:val="auto"/>
              </w:rPr>
            </w:pPr>
            <w:r>
              <w:rPr>
                <w:rFonts w:ascii="Times New Roman" w:cs="Times New Roman" w:eastAsia="Times New Roman" w:hAnsi="Times New Roman"/>
                <w:sz w:val="13"/>
                <w:szCs w:val="13"/>
                <w:color w:val="auto"/>
              </w:rPr>
              <w:t>4,931</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right"/>
              <w:ind w:right="100"/>
              <w:spacing w:after="0" w:line="117" w:lineRule="exact"/>
              <w:rPr>
                <w:sz w:val="20"/>
                <w:szCs w:val="20"/>
                <w:color w:val="auto"/>
              </w:rPr>
            </w:pPr>
            <w:r>
              <w:rPr>
                <w:rFonts w:ascii="Times New Roman" w:cs="Times New Roman" w:eastAsia="Times New Roman" w:hAnsi="Times New Roman"/>
                <w:sz w:val="13"/>
                <w:szCs w:val="13"/>
                <w:color w:val="auto"/>
              </w:rPr>
              <w:t>4,931</w:t>
            </w:r>
          </w:p>
        </w:tc>
      </w:tr>
      <w:tr>
        <w:trPr>
          <w:trHeight w:val="153"/>
        </w:trPr>
        <w:tc>
          <w:tcPr>
            <w:tcW w:w="3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3240" w:type="dxa"/>
            <w:vAlign w:val="bottom"/>
            <w:gridSpan w:val="5"/>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10.00%), 3.50%  ETP, Due 4/1/23)</w:t>
            </w:r>
          </w:p>
        </w:tc>
        <w:tc>
          <w:tcPr>
            <w:tcW w:w="8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17"/>
        </w:trPr>
        <w:tc>
          <w:tcPr>
            <w:tcW w:w="3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3240" w:type="dxa"/>
            <w:vAlign w:val="bottom"/>
            <w:gridSpan w:val="5"/>
          </w:tcPr>
          <w:p>
            <w:pPr>
              <w:ind w:left="120"/>
              <w:spacing w:after="0" w:line="117" w:lineRule="exact"/>
              <w:rPr>
                <w:sz w:val="20"/>
                <w:szCs w:val="20"/>
                <w:color w:val="auto"/>
              </w:rPr>
            </w:pPr>
            <w:r>
              <w:rPr>
                <w:rFonts w:ascii="Times New Roman" w:cs="Times New Roman" w:eastAsia="Times New Roman" w:hAnsi="Times New Roman"/>
                <w:sz w:val="13"/>
                <w:szCs w:val="13"/>
                <w:color w:val="auto"/>
              </w:rPr>
              <w:t>Term Loan (10.00% cash (Libor + 8.80%; Floor</w:t>
            </w:r>
          </w:p>
        </w:tc>
        <w:tc>
          <w:tcPr>
            <w:tcW w:w="1000" w:type="dxa"/>
            <w:vAlign w:val="bottom"/>
            <w:gridSpan w:val="2"/>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5,000</w:t>
            </w:r>
          </w:p>
        </w:tc>
        <w:tc>
          <w:tcPr>
            <w:tcW w:w="160" w:type="dxa"/>
            <w:vAlign w:val="bottom"/>
          </w:tcPr>
          <w:p>
            <w:pPr>
              <w:spacing w:after="0"/>
              <w:rPr>
                <w:sz w:val="10"/>
                <w:szCs w:val="10"/>
                <w:color w:val="auto"/>
              </w:rPr>
            </w:pPr>
          </w:p>
        </w:tc>
        <w:tc>
          <w:tcPr>
            <w:tcW w:w="860" w:type="dxa"/>
            <w:vAlign w:val="bottom"/>
            <w:gridSpan w:val="2"/>
          </w:tcPr>
          <w:p>
            <w:pPr>
              <w:jc w:val="right"/>
              <w:ind w:right="100"/>
              <w:spacing w:after="0" w:line="117" w:lineRule="exact"/>
              <w:rPr>
                <w:sz w:val="20"/>
                <w:szCs w:val="20"/>
                <w:color w:val="auto"/>
              </w:rPr>
            </w:pPr>
            <w:r>
              <w:rPr>
                <w:rFonts w:ascii="Times New Roman" w:cs="Times New Roman" w:eastAsia="Times New Roman" w:hAnsi="Times New Roman"/>
                <w:sz w:val="13"/>
                <w:szCs w:val="13"/>
                <w:color w:val="auto"/>
              </w:rPr>
              <w:t>4,931</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gridSpan w:val="2"/>
          </w:tcPr>
          <w:p>
            <w:pPr>
              <w:jc w:val="right"/>
              <w:ind w:right="100"/>
              <w:spacing w:after="0" w:line="117" w:lineRule="exact"/>
              <w:rPr>
                <w:sz w:val="20"/>
                <w:szCs w:val="20"/>
                <w:color w:val="auto"/>
              </w:rPr>
            </w:pPr>
            <w:r>
              <w:rPr>
                <w:rFonts w:ascii="Times New Roman" w:cs="Times New Roman" w:eastAsia="Times New Roman" w:hAnsi="Times New Roman"/>
                <w:sz w:val="13"/>
                <w:szCs w:val="13"/>
                <w:color w:val="auto"/>
              </w:rPr>
              <w:t>4,931</w:t>
            </w:r>
          </w:p>
        </w:tc>
      </w:tr>
      <w:tr>
        <w:trPr>
          <w:trHeight w:val="153"/>
        </w:trPr>
        <w:tc>
          <w:tcPr>
            <w:tcW w:w="3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240" w:type="dxa"/>
            <w:vAlign w:val="bottom"/>
            <w:gridSpan w:val="5"/>
          </w:tcPr>
          <w:p>
            <w:pPr>
              <w:ind w:left="120"/>
              <w:spacing w:after="0"/>
              <w:rPr>
                <w:sz w:val="20"/>
                <w:szCs w:val="20"/>
                <w:color w:val="auto"/>
              </w:rPr>
            </w:pPr>
            <w:r>
              <w:rPr>
                <w:rFonts w:ascii="Times New Roman" w:cs="Times New Roman" w:eastAsia="Times New Roman" w:hAnsi="Times New Roman"/>
                <w:sz w:val="13"/>
                <w:szCs w:val="13"/>
                <w:color w:val="auto"/>
              </w:rPr>
              <w:t>10.00%), 3.50%  ETP, Due 4/1/23)</w:t>
            </w: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17"/>
        </w:trPr>
        <w:tc>
          <w:tcPr>
            <w:tcW w:w="3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3240" w:type="dxa"/>
            <w:vAlign w:val="bottom"/>
            <w:gridSpan w:val="5"/>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Term Loan (10.00% cash (Libor + 8.80%; Floor</w:t>
            </w:r>
          </w:p>
        </w:tc>
        <w:tc>
          <w:tcPr>
            <w:tcW w:w="1000" w:type="dxa"/>
            <w:vAlign w:val="bottom"/>
            <w:gridSpan w:val="2"/>
            <w:shd w:val="clear" w:color="auto" w:fill="CCEEFF"/>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5,000</w:t>
            </w:r>
          </w:p>
        </w:tc>
        <w:tc>
          <w:tcPr>
            <w:tcW w:w="16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100"/>
              <w:spacing w:after="0" w:line="117" w:lineRule="exact"/>
              <w:rPr>
                <w:sz w:val="20"/>
                <w:szCs w:val="20"/>
                <w:color w:val="auto"/>
              </w:rPr>
            </w:pPr>
            <w:r>
              <w:rPr>
                <w:rFonts w:ascii="Times New Roman" w:cs="Times New Roman" w:eastAsia="Times New Roman" w:hAnsi="Times New Roman"/>
                <w:sz w:val="13"/>
                <w:szCs w:val="13"/>
                <w:color w:val="auto"/>
              </w:rPr>
              <w:t>4,931</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right"/>
              <w:ind w:right="100"/>
              <w:spacing w:after="0" w:line="117" w:lineRule="exact"/>
              <w:rPr>
                <w:sz w:val="20"/>
                <w:szCs w:val="20"/>
                <w:color w:val="auto"/>
              </w:rPr>
            </w:pPr>
            <w:r>
              <w:rPr>
                <w:rFonts w:ascii="Times New Roman" w:cs="Times New Roman" w:eastAsia="Times New Roman" w:hAnsi="Times New Roman"/>
                <w:sz w:val="13"/>
                <w:szCs w:val="13"/>
                <w:color w:val="auto"/>
              </w:rPr>
              <w:t>4,931</w:t>
            </w:r>
          </w:p>
        </w:tc>
      </w:tr>
      <w:tr>
        <w:trPr>
          <w:trHeight w:val="167"/>
        </w:trPr>
        <w:tc>
          <w:tcPr>
            <w:tcW w:w="3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3240" w:type="dxa"/>
            <w:vAlign w:val="bottom"/>
            <w:gridSpan w:val="5"/>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10.00%), 3.50%  ETP, Due 4/1/23)</w:t>
            </w: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29"/>
        </w:trPr>
        <w:tc>
          <w:tcPr>
            <w:tcW w:w="378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14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380" w:type="dxa"/>
            <w:vAlign w:val="bottom"/>
            <w:tcBorders>
              <w:bottom w:val="single" w:sz="8" w:color="CCEEFF"/>
            </w:tcBorders>
          </w:tcPr>
          <w:p>
            <w:pPr>
              <w:spacing w:after="0"/>
              <w:rPr>
                <w:sz w:val="11"/>
                <w:szCs w:val="11"/>
                <w:color w:val="auto"/>
              </w:rPr>
            </w:pPr>
          </w:p>
        </w:tc>
        <w:tc>
          <w:tcPr>
            <w:tcW w:w="250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800" w:type="dxa"/>
            <w:vAlign w:val="bottom"/>
            <w:tcBorders>
              <w:bottom w:val="single" w:sz="8" w:color="CCEEFF"/>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111,918</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111,918</w:t>
            </w:r>
          </w:p>
        </w:tc>
        <w:tc>
          <w:tcPr>
            <w:tcW w:w="100" w:type="dxa"/>
            <w:vAlign w:val="bottom"/>
            <w:tcBorders>
              <w:bottom w:val="single" w:sz="8" w:color="CCEEFF"/>
            </w:tcBorders>
          </w:tcPr>
          <w:p>
            <w:pPr>
              <w:spacing w:after="0"/>
              <w:rPr>
                <w:sz w:val="11"/>
                <w:szCs w:val="11"/>
                <w:color w:val="auto"/>
              </w:rPr>
            </w:pPr>
          </w:p>
        </w:tc>
      </w:tr>
      <w:tr>
        <w:trPr>
          <w:trHeight w:val="129"/>
        </w:trPr>
        <w:tc>
          <w:tcPr>
            <w:tcW w:w="3900" w:type="dxa"/>
            <w:vAlign w:val="bottom"/>
            <w:gridSpan w:val="2"/>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Total Non-Affiliate Debt Investments — Life Science</w:t>
            </w: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35"/>
        </w:trPr>
        <w:tc>
          <w:tcPr>
            <w:tcW w:w="390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Non-Affiliate Debt Investments — Technology — 71.4% (8)</w:t>
            </w: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17"/>
        </w:trPr>
        <w:tc>
          <w:tcPr>
            <w:tcW w:w="3900" w:type="dxa"/>
            <w:vAlign w:val="bottom"/>
            <w:gridSpan w:val="2"/>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Audacy Corporation (2)(12)(15)</w:t>
            </w:r>
          </w:p>
        </w:tc>
        <w:tc>
          <w:tcPr>
            <w:tcW w:w="114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Communications</w:t>
            </w:r>
          </w:p>
        </w:tc>
        <w:tc>
          <w:tcPr>
            <w:tcW w:w="3240" w:type="dxa"/>
            <w:vAlign w:val="bottom"/>
            <w:gridSpan w:val="5"/>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Term Loan (10.00% cash (Libor + 7.90%; Floor 9.50%),</w:t>
            </w:r>
          </w:p>
        </w:tc>
        <w:tc>
          <w:tcPr>
            <w:tcW w:w="1000" w:type="dxa"/>
            <w:vAlign w:val="bottom"/>
            <w:gridSpan w:val="2"/>
            <w:shd w:val="clear" w:color="auto" w:fill="CCEEFF"/>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3,137</w:t>
            </w:r>
          </w:p>
        </w:tc>
        <w:tc>
          <w:tcPr>
            <w:tcW w:w="16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100"/>
              <w:spacing w:after="0" w:line="117" w:lineRule="exact"/>
              <w:rPr>
                <w:sz w:val="20"/>
                <w:szCs w:val="20"/>
                <w:color w:val="auto"/>
              </w:rPr>
            </w:pPr>
            <w:r>
              <w:rPr>
                <w:rFonts w:ascii="Times New Roman" w:cs="Times New Roman" w:eastAsia="Times New Roman" w:hAnsi="Times New Roman"/>
                <w:sz w:val="13"/>
                <w:szCs w:val="13"/>
                <w:color w:val="auto"/>
              </w:rPr>
              <w:t>3,137</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right"/>
              <w:ind w:right="100"/>
              <w:spacing w:after="0" w:line="117" w:lineRule="exact"/>
              <w:rPr>
                <w:sz w:val="20"/>
                <w:szCs w:val="20"/>
                <w:color w:val="auto"/>
              </w:rPr>
            </w:pPr>
            <w:r>
              <w:rPr>
                <w:rFonts w:ascii="Times New Roman" w:cs="Times New Roman" w:eastAsia="Times New Roman" w:hAnsi="Times New Roman"/>
                <w:sz w:val="13"/>
                <w:szCs w:val="13"/>
                <w:color w:val="auto"/>
              </w:rPr>
              <w:t>1,274</w:t>
            </w:r>
          </w:p>
        </w:tc>
      </w:tr>
      <w:tr>
        <w:trPr>
          <w:trHeight w:val="153"/>
        </w:trPr>
        <w:tc>
          <w:tcPr>
            <w:tcW w:w="3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5.00%</w:t>
            </w:r>
          </w:p>
        </w:tc>
        <w:tc>
          <w:tcPr>
            <w:tcW w:w="27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ETP, Due 7/1/22)</w:t>
            </w:r>
          </w:p>
        </w:tc>
        <w:tc>
          <w:tcPr>
            <w:tcW w:w="8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17"/>
        </w:trPr>
        <w:tc>
          <w:tcPr>
            <w:tcW w:w="3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3240" w:type="dxa"/>
            <w:vAlign w:val="bottom"/>
            <w:gridSpan w:val="5"/>
          </w:tcPr>
          <w:p>
            <w:pPr>
              <w:ind w:left="120"/>
              <w:spacing w:after="0" w:line="117" w:lineRule="exact"/>
              <w:rPr>
                <w:sz w:val="20"/>
                <w:szCs w:val="20"/>
                <w:color w:val="auto"/>
              </w:rPr>
            </w:pPr>
            <w:r>
              <w:rPr>
                <w:rFonts w:ascii="Times New Roman" w:cs="Times New Roman" w:eastAsia="Times New Roman" w:hAnsi="Times New Roman"/>
                <w:sz w:val="13"/>
                <w:szCs w:val="13"/>
                <w:color w:val="auto"/>
              </w:rPr>
              <w:t>Term Loan (10.00% cash (Libor + 7.90%; Floor 9.50%),</w:t>
            </w:r>
          </w:p>
        </w:tc>
        <w:tc>
          <w:tcPr>
            <w:tcW w:w="1000" w:type="dxa"/>
            <w:vAlign w:val="bottom"/>
            <w:gridSpan w:val="2"/>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550</w:t>
            </w:r>
          </w:p>
        </w:tc>
        <w:tc>
          <w:tcPr>
            <w:tcW w:w="160" w:type="dxa"/>
            <w:vAlign w:val="bottom"/>
          </w:tcPr>
          <w:p>
            <w:pPr>
              <w:spacing w:after="0"/>
              <w:rPr>
                <w:sz w:val="10"/>
                <w:szCs w:val="10"/>
                <w:color w:val="auto"/>
              </w:rPr>
            </w:pPr>
          </w:p>
        </w:tc>
        <w:tc>
          <w:tcPr>
            <w:tcW w:w="860" w:type="dxa"/>
            <w:vAlign w:val="bottom"/>
            <w:gridSpan w:val="2"/>
          </w:tcPr>
          <w:p>
            <w:pPr>
              <w:jc w:val="right"/>
              <w:ind w:right="100"/>
              <w:spacing w:after="0" w:line="117" w:lineRule="exact"/>
              <w:rPr>
                <w:sz w:val="20"/>
                <w:szCs w:val="20"/>
                <w:color w:val="auto"/>
              </w:rPr>
            </w:pPr>
            <w:r>
              <w:rPr>
                <w:rFonts w:ascii="Times New Roman" w:cs="Times New Roman" w:eastAsia="Times New Roman" w:hAnsi="Times New Roman"/>
                <w:sz w:val="13"/>
                <w:szCs w:val="13"/>
                <w:color w:val="auto"/>
              </w:rPr>
              <w:t>550</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gridSpan w:val="2"/>
          </w:tcPr>
          <w:p>
            <w:pPr>
              <w:jc w:val="right"/>
              <w:ind w:right="100"/>
              <w:spacing w:after="0" w:line="117" w:lineRule="exact"/>
              <w:rPr>
                <w:sz w:val="20"/>
                <w:szCs w:val="20"/>
                <w:color w:val="auto"/>
              </w:rPr>
            </w:pPr>
            <w:r>
              <w:rPr>
                <w:rFonts w:ascii="Times New Roman" w:cs="Times New Roman" w:eastAsia="Times New Roman" w:hAnsi="Times New Roman"/>
                <w:sz w:val="13"/>
                <w:szCs w:val="13"/>
                <w:color w:val="auto"/>
              </w:rPr>
              <w:t>226</w:t>
            </w:r>
          </w:p>
        </w:tc>
      </w:tr>
      <w:tr>
        <w:trPr>
          <w:trHeight w:val="153"/>
        </w:trPr>
        <w:tc>
          <w:tcPr>
            <w:tcW w:w="3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0.00%</w:t>
            </w:r>
          </w:p>
        </w:tc>
        <w:tc>
          <w:tcPr>
            <w:tcW w:w="274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auto"/>
              </w:rPr>
              <w:t>ETP, Due 2/1/20)</w:t>
            </w: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17"/>
        </w:trPr>
        <w:tc>
          <w:tcPr>
            <w:tcW w:w="3900" w:type="dxa"/>
            <w:vAlign w:val="bottom"/>
            <w:gridSpan w:val="2"/>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Intelepeer Holdings, Inc. (2)(12)</w:t>
            </w:r>
          </w:p>
        </w:tc>
        <w:tc>
          <w:tcPr>
            <w:tcW w:w="114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Communications</w:t>
            </w:r>
          </w:p>
        </w:tc>
        <w:tc>
          <w:tcPr>
            <w:tcW w:w="3240" w:type="dxa"/>
            <w:vAlign w:val="bottom"/>
            <w:gridSpan w:val="5"/>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Term Loan (12.05% cash (Libor + 9.95%; Floor</w:t>
            </w:r>
          </w:p>
        </w:tc>
        <w:tc>
          <w:tcPr>
            <w:tcW w:w="1000" w:type="dxa"/>
            <w:vAlign w:val="bottom"/>
            <w:gridSpan w:val="2"/>
            <w:shd w:val="clear" w:color="auto" w:fill="CCEEFF"/>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4,000</w:t>
            </w:r>
          </w:p>
        </w:tc>
        <w:tc>
          <w:tcPr>
            <w:tcW w:w="16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100"/>
              <w:spacing w:after="0" w:line="117" w:lineRule="exact"/>
              <w:rPr>
                <w:sz w:val="20"/>
                <w:szCs w:val="20"/>
                <w:color w:val="auto"/>
              </w:rPr>
            </w:pPr>
            <w:r>
              <w:rPr>
                <w:rFonts w:ascii="Times New Roman" w:cs="Times New Roman" w:eastAsia="Times New Roman" w:hAnsi="Times New Roman"/>
                <w:sz w:val="13"/>
                <w:szCs w:val="13"/>
                <w:color w:val="auto"/>
              </w:rPr>
              <w:t>3,942</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right"/>
              <w:ind w:right="100"/>
              <w:spacing w:after="0" w:line="117" w:lineRule="exact"/>
              <w:rPr>
                <w:sz w:val="20"/>
                <w:szCs w:val="20"/>
                <w:color w:val="auto"/>
              </w:rPr>
            </w:pPr>
            <w:r>
              <w:rPr>
                <w:rFonts w:ascii="Times New Roman" w:cs="Times New Roman" w:eastAsia="Times New Roman" w:hAnsi="Times New Roman"/>
                <w:sz w:val="13"/>
                <w:szCs w:val="13"/>
                <w:color w:val="auto"/>
              </w:rPr>
              <w:t>3,942</w:t>
            </w:r>
          </w:p>
        </w:tc>
      </w:tr>
      <w:tr>
        <w:trPr>
          <w:trHeight w:val="153"/>
        </w:trPr>
        <w:tc>
          <w:tcPr>
            <w:tcW w:w="3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3240" w:type="dxa"/>
            <w:vAlign w:val="bottom"/>
            <w:gridSpan w:val="5"/>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11.25%), 2.50%  ETP, Due 7/1/21)</w:t>
            </w:r>
          </w:p>
        </w:tc>
        <w:tc>
          <w:tcPr>
            <w:tcW w:w="8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17"/>
        </w:trPr>
        <w:tc>
          <w:tcPr>
            <w:tcW w:w="3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3240" w:type="dxa"/>
            <w:vAlign w:val="bottom"/>
            <w:gridSpan w:val="5"/>
          </w:tcPr>
          <w:p>
            <w:pPr>
              <w:ind w:left="120"/>
              <w:spacing w:after="0" w:line="117" w:lineRule="exact"/>
              <w:rPr>
                <w:sz w:val="20"/>
                <w:szCs w:val="20"/>
                <w:color w:val="auto"/>
              </w:rPr>
            </w:pPr>
            <w:r>
              <w:rPr>
                <w:rFonts w:ascii="Times New Roman" w:cs="Times New Roman" w:eastAsia="Times New Roman" w:hAnsi="Times New Roman"/>
                <w:sz w:val="13"/>
                <w:szCs w:val="13"/>
                <w:color w:val="auto"/>
              </w:rPr>
              <w:t>Term Loan (12.05% cash (Libor + 9.95%; Floor</w:t>
            </w:r>
          </w:p>
        </w:tc>
        <w:tc>
          <w:tcPr>
            <w:tcW w:w="1000" w:type="dxa"/>
            <w:vAlign w:val="bottom"/>
            <w:gridSpan w:val="2"/>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3,000</w:t>
            </w:r>
          </w:p>
        </w:tc>
        <w:tc>
          <w:tcPr>
            <w:tcW w:w="160" w:type="dxa"/>
            <w:vAlign w:val="bottom"/>
          </w:tcPr>
          <w:p>
            <w:pPr>
              <w:spacing w:after="0"/>
              <w:rPr>
                <w:sz w:val="10"/>
                <w:szCs w:val="10"/>
                <w:color w:val="auto"/>
              </w:rPr>
            </w:pPr>
          </w:p>
        </w:tc>
        <w:tc>
          <w:tcPr>
            <w:tcW w:w="860" w:type="dxa"/>
            <w:vAlign w:val="bottom"/>
            <w:gridSpan w:val="2"/>
          </w:tcPr>
          <w:p>
            <w:pPr>
              <w:jc w:val="right"/>
              <w:ind w:right="100"/>
              <w:spacing w:after="0" w:line="117" w:lineRule="exact"/>
              <w:rPr>
                <w:sz w:val="20"/>
                <w:szCs w:val="20"/>
                <w:color w:val="auto"/>
              </w:rPr>
            </w:pPr>
            <w:r>
              <w:rPr>
                <w:rFonts w:ascii="Times New Roman" w:cs="Times New Roman" w:eastAsia="Times New Roman" w:hAnsi="Times New Roman"/>
                <w:sz w:val="13"/>
                <w:szCs w:val="13"/>
                <w:color w:val="auto"/>
              </w:rPr>
              <w:t>2,952</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gridSpan w:val="2"/>
          </w:tcPr>
          <w:p>
            <w:pPr>
              <w:jc w:val="right"/>
              <w:ind w:right="100"/>
              <w:spacing w:after="0" w:line="117" w:lineRule="exact"/>
              <w:rPr>
                <w:sz w:val="20"/>
                <w:szCs w:val="20"/>
                <w:color w:val="auto"/>
              </w:rPr>
            </w:pPr>
            <w:r>
              <w:rPr>
                <w:rFonts w:ascii="Times New Roman" w:cs="Times New Roman" w:eastAsia="Times New Roman" w:hAnsi="Times New Roman"/>
                <w:sz w:val="13"/>
                <w:szCs w:val="13"/>
                <w:color w:val="auto"/>
              </w:rPr>
              <w:t>2,952</w:t>
            </w:r>
          </w:p>
        </w:tc>
      </w:tr>
      <w:tr>
        <w:trPr>
          <w:trHeight w:val="164"/>
        </w:trPr>
        <w:tc>
          <w:tcPr>
            <w:tcW w:w="3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240" w:type="dxa"/>
            <w:vAlign w:val="bottom"/>
            <w:gridSpan w:val="5"/>
          </w:tcPr>
          <w:p>
            <w:pPr>
              <w:ind w:left="120"/>
              <w:spacing w:after="0"/>
              <w:rPr>
                <w:sz w:val="20"/>
                <w:szCs w:val="20"/>
                <w:color w:val="auto"/>
              </w:rPr>
            </w:pPr>
            <w:r>
              <w:rPr>
                <w:rFonts w:ascii="Times New Roman" w:cs="Times New Roman" w:eastAsia="Times New Roman" w:hAnsi="Times New Roman"/>
                <w:sz w:val="13"/>
                <w:szCs w:val="13"/>
                <w:color w:val="auto"/>
              </w:rPr>
              <w:t>11.25%), 2.50%  ETP, Due 2/1/22)</w:t>
            </w: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r>
    </w:tbl>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Schedule of Investments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2019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Principal</w:t>
            </w: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Cost of</w:t>
            </w: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Fair</w:t>
            </w:r>
          </w:p>
        </w:tc>
      </w:tr>
      <w:tr>
        <w:trPr>
          <w:trHeight w:val="155"/>
        </w:trPr>
        <w:tc>
          <w:tcPr>
            <w:tcW w:w="39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Portfolio Company (1)(3)</w:t>
            </w:r>
          </w:p>
        </w:tc>
        <w:tc>
          <w:tcPr>
            <w:tcW w:w="1140" w:type="dxa"/>
            <w:vAlign w:val="bottom"/>
          </w:tcPr>
          <w:p>
            <w:pPr>
              <w:ind w:left="400"/>
              <w:spacing w:after="0"/>
              <w:rPr>
                <w:sz w:val="20"/>
                <w:szCs w:val="20"/>
                <w:color w:val="auto"/>
              </w:rPr>
            </w:pPr>
            <w:r>
              <w:rPr>
                <w:rFonts w:ascii="Times New Roman" w:cs="Times New Roman" w:eastAsia="Times New Roman" w:hAnsi="Times New Roman"/>
                <w:sz w:val="13"/>
                <w:szCs w:val="13"/>
                <w:b w:val="1"/>
                <w:bCs w:val="1"/>
                <w:color w:val="auto"/>
              </w:rPr>
              <w:t>Sector</w:t>
            </w:r>
          </w:p>
        </w:tc>
        <w:tc>
          <w:tcPr>
            <w:tcW w:w="120" w:type="dxa"/>
            <w:vAlign w:val="bottom"/>
          </w:tcPr>
          <w:p>
            <w:pPr>
              <w:spacing w:after="0"/>
              <w:rPr>
                <w:sz w:val="13"/>
                <w:szCs w:val="13"/>
                <w:color w:val="auto"/>
              </w:rPr>
            </w:pPr>
          </w:p>
        </w:tc>
        <w:tc>
          <w:tcPr>
            <w:tcW w:w="3000" w:type="dxa"/>
            <w:vAlign w:val="bottom"/>
            <w:gridSpan w:val="2"/>
          </w:tcPr>
          <w:p>
            <w:pPr>
              <w:ind w:left="580"/>
              <w:spacing w:after="0"/>
              <w:rPr>
                <w:sz w:val="20"/>
                <w:szCs w:val="20"/>
                <w:color w:val="auto"/>
              </w:rPr>
            </w:pPr>
            <w:r>
              <w:rPr>
                <w:rFonts w:ascii="Times New Roman" w:cs="Times New Roman" w:eastAsia="Times New Roman" w:hAnsi="Times New Roman"/>
                <w:sz w:val="13"/>
                <w:szCs w:val="13"/>
                <w:b w:val="1"/>
                <w:bCs w:val="1"/>
                <w:color w:val="auto"/>
              </w:rPr>
              <w:t>Type of Investment (4)(7)(9)(10)</w:t>
            </w: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8"/>
              </w:rPr>
              <w:t>Investments (6)</w:t>
            </w: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Value</w:t>
            </w:r>
          </w:p>
        </w:tc>
      </w:tr>
      <w:tr>
        <w:trPr>
          <w:trHeight w:val="110"/>
        </w:trPr>
        <w:tc>
          <w:tcPr>
            <w:tcW w:w="378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14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2880" w:type="dxa"/>
            <w:vAlign w:val="bottom"/>
            <w:tcBorders>
              <w:top w:val="single" w:sz="8" w:color="auto"/>
            </w:tcBorders>
            <w:shd w:val="clear" w:color="auto" w:fill="CCEEFF"/>
          </w:tcPr>
          <w:p>
            <w:pPr>
              <w:spacing w:after="0" w:line="110" w:lineRule="exact"/>
              <w:rPr>
                <w:sz w:val="20"/>
                <w:szCs w:val="20"/>
                <w:color w:val="auto"/>
              </w:rPr>
            </w:pPr>
            <w:r>
              <w:rPr>
                <w:rFonts w:ascii="Times New Roman" w:cs="Times New Roman" w:eastAsia="Times New Roman" w:hAnsi="Times New Roman"/>
                <w:sz w:val="12"/>
                <w:szCs w:val="12"/>
                <w:color w:val="auto"/>
              </w:rPr>
              <w:t>Term Loan (12.45% cash (Libor + 9.95%; Floor</w:t>
            </w:r>
          </w:p>
        </w:tc>
        <w:tc>
          <w:tcPr>
            <w:tcW w:w="120" w:type="dxa"/>
            <w:vAlign w:val="bottom"/>
            <w:tcBorders>
              <w:top w:val="single" w:sz="8" w:color="CCEEFF"/>
            </w:tcBorders>
            <w:shd w:val="clear" w:color="auto" w:fill="CCEEFF"/>
          </w:tcPr>
          <w:p>
            <w:pPr>
              <w:spacing w:after="0"/>
              <w:rPr>
                <w:sz w:val="9"/>
                <w:szCs w:val="9"/>
                <w:color w:val="auto"/>
              </w:rPr>
            </w:pPr>
          </w:p>
        </w:tc>
        <w:tc>
          <w:tcPr>
            <w:tcW w:w="920" w:type="dxa"/>
            <w:vAlign w:val="bottom"/>
            <w:tcBorders>
              <w:top w:val="single" w:sz="8" w:color="auto"/>
            </w:tcBorders>
            <w:shd w:val="clear" w:color="auto" w:fill="CCEEFF"/>
          </w:tcPr>
          <w:p>
            <w:pPr>
              <w:jc w:val="right"/>
              <w:spacing w:after="0" w:line="110" w:lineRule="exact"/>
              <w:rPr>
                <w:sz w:val="20"/>
                <w:szCs w:val="20"/>
                <w:color w:val="auto"/>
              </w:rPr>
            </w:pPr>
            <w:r>
              <w:rPr>
                <w:rFonts w:ascii="Times New Roman" w:cs="Times New Roman" w:eastAsia="Times New Roman" w:hAnsi="Times New Roman"/>
                <w:sz w:val="12"/>
                <w:szCs w:val="12"/>
                <w:color w:val="auto"/>
              </w:rPr>
              <w:t>1,073</w:t>
            </w:r>
          </w:p>
        </w:tc>
        <w:tc>
          <w:tcPr>
            <w:tcW w:w="200" w:type="dxa"/>
            <w:vAlign w:val="bottom"/>
            <w:tcBorders>
              <w:top w:val="single" w:sz="8" w:color="CCEEFF"/>
            </w:tcBorders>
            <w:shd w:val="clear" w:color="auto" w:fill="CCEEFF"/>
          </w:tcPr>
          <w:p>
            <w:pPr>
              <w:spacing w:after="0"/>
              <w:rPr>
                <w:sz w:val="9"/>
                <w:szCs w:val="9"/>
                <w:color w:val="auto"/>
              </w:rPr>
            </w:pPr>
          </w:p>
        </w:tc>
        <w:tc>
          <w:tcPr>
            <w:tcW w:w="920" w:type="dxa"/>
            <w:vAlign w:val="bottom"/>
            <w:tcBorders>
              <w:top w:val="single" w:sz="8" w:color="auto"/>
            </w:tcBorders>
            <w:shd w:val="clear" w:color="auto" w:fill="CCEEFF"/>
          </w:tcPr>
          <w:p>
            <w:pPr>
              <w:jc w:val="right"/>
              <w:spacing w:after="0" w:line="110" w:lineRule="exact"/>
              <w:rPr>
                <w:sz w:val="20"/>
                <w:szCs w:val="20"/>
                <w:color w:val="auto"/>
              </w:rPr>
            </w:pPr>
            <w:r>
              <w:rPr>
                <w:rFonts w:ascii="Times New Roman" w:cs="Times New Roman" w:eastAsia="Times New Roman" w:hAnsi="Times New Roman"/>
                <w:sz w:val="12"/>
                <w:szCs w:val="12"/>
                <w:color w:val="auto"/>
              </w:rPr>
              <w:t>1,056</w:t>
            </w:r>
          </w:p>
        </w:tc>
        <w:tc>
          <w:tcPr>
            <w:tcW w:w="200" w:type="dxa"/>
            <w:vAlign w:val="bottom"/>
            <w:tcBorders>
              <w:top w:val="single" w:sz="8" w:color="CCEEFF"/>
            </w:tcBorders>
            <w:shd w:val="clear" w:color="auto" w:fill="CCEEFF"/>
          </w:tcPr>
          <w:p>
            <w:pPr>
              <w:spacing w:after="0"/>
              <w:rPr>
                <w:sz w:val="9"/>
                <w:szCs w:val="9"/>
                <w:color w:val="auto"/>
              </w:rPr>
            </w:pPr>
          </w:p>
        </w:tc>
        <w:tc>
          <w:tcPr>
            <w:tcW w:w="920" w:type="dxa"/>
            <w:vAlign w:val="bottom"/>
            <w:tcBorders>
              <w:top w:val="single" w:sz="8" w:color="auto"/>
            </w:tcBorders>
            <w:shd w:val="clear" w:color="auto" w:fill="CCEEFF"/>
          </w:tcPr>
          <w:p>
            <w:pPr>
              <w:jc w:val="right"/>
              <w:spacing w:after="0" w:line="110" w:lineRule="exact"/>
              <w:rPr>
                <w:sz w:val="20"/>
                <w:szCs w:val="20"/>
                <w:color w:val="auto"/>
              </w:rPr>
            </w:pPr>
            <w:r>
              <w:rPr>
                <w:rFonts w:ascii="Times New Roman" w:cs="Times New Roman" w:eastAsia="Times New Roman" w:hAnsi="Times New Roman"/>
                <w:sz w:val="12"/>
                <w:szCs w:val="12"/>
                <w:color w:val="auto"/>
              </w:rPr>
              <w:t>1,056</w:t>
            </w:r>
          </w:p>
        </w:tc>
        <w:tc>
          <w:tcPr>
            <w:tcW w:w="100" w:type="dxa"/>
            <w:vAlign w:val="bottom"/>
            <w:tcBorders>
              <w:top w:val="single" w:sz="8" w:color="CCEEFF"/>
            </w:tcBorders>
            <w:shd w:val="clear" w:color="auto" w:fill="CCEEFF"/>
          </w:tcPr>
          <w:p>
            <w:pPr>
              <w:spacing w:after="0"/>
              <w:rPr>
                <w:sz w:val="9"/>
                <w:szCs w:val="9"/>
                <w:color w:val="auto"/>
              </w:rPr>
            </w:pPr>
          </w:p>
        </w:tc>
      </w:tr>
      <w:tr>
        <w:trPr>
          <w:trHeight w:val="153"/>
        </w:trPr>
        <w:tc>
          <w:tcPr>
            <w:tcW w:w="3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31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12.45%), 2.50%  ETP, Due 10/1/22)</w:t>
            </w:r>
          </w:p>
        </w:tc>
        <w:tc>
          <w:tcPr>
            <w:tcW w:w="9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17"/>
        </w:trPr>
        <w:tc>
          <w:tcPr>
            <w:tcW w:w="3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3120" w:type="dxa"/>
            <w:vAlign w:val="bottom"/>
            <w:gridSpan w:val="3"/>
          </w:tcPr>
          <w:p>
            <w:pPr>
              <w:ind w:left="120"/>
              <w:spacing w:after="0" w:line="117" w:lineRule="exact"/>
              <w:rPr>
                <w:sz w:val="20"/>
                <w:szCs w:val="20"/>
                <w:color w:val="auto"/>
              </w:rPr>
            </w:pPr>
            <w:r>
              <w:rPr>
                <w:rFonts w:ascii="Times New Roman" w:cs="Times New Roman" w:eastAsia="Times New Roman" w:hAnsi="Times New Roman"/>
                <w:sz w:val="13"/>
                <w:szCs w:val="13"/>
                <w:color w:val="auto"/>
              </w:rPr>
              <w:t>Term Loan (12.45% cash (Libor + 9.95%; Floor</w:t>
            </w:r>
          </w:p>
        </w:tc>
        <w:tc>
          <w:tcPr>
            <w:tcW w:w="1120" w:type="dxa"/>
            <w:vAlign w:val="bottom"/>
            <w:gridSpan w:val="2"/>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1,440</w:t>
            </w:r>
          </w:p>
        </w:tc>
        <w:tc>
          <w:tcPr>
            <w:tcW w:w="1120" w:type="dxa"/>
            <w:vAlign w:val="bottom"/>
            <w:gridSpan w:val="2"/>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1,414</w:t>
            </w:r>
          </w:p>
        </w:tc>
        <w:tc>
          <w:tcPr>
            <w:tcW w:w="1020" w:type="dxa"/>
            <w:vAlign w:val="bottom"/>
            <w:gridSpan w:val="2"/>
          </w:tcPr>
          <w:p>
            <w:pPr>
              <w:jc w:val="right"/>
              <w:ind w:right="100"/>
              <w:spacing w:after="0" w:line="117" w:lineRule="exact"/>
              <w:rPr>
                <w:sz w:val="20"/>
                <w:szCs w:val="20"/>
                <w:color w:val="auto"/>
              </w:rPr>
            </w:pPr>
            <w:r>
              <w:rPr>
                <w:rFonts w:ascii="Times New Roman" w:cs="Times New Roman" w:eastAsia="Times New Roman" w:hAnsi="Times New Roman"/>
                <w:sz w:val="13"/>
                <w:szCs w:val="13"/>
                <w:color w:val="auto"/>
              </w:rPr>
              <w:t>1,414</w:t>
            </w:r>
          </w:p>
        </w:tc>
      </w:tr>
      <w:tr>
        <w:trPr>
          <w:trHeight w:val="153"/>
        </w:trPr>
        <w:tc>
          <w:tcPr>
            <w:tcW w:w="3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12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12.45%), 2.50%  ETP, Due 04/1/23)</w:t>
            </w: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17"/>
        </w:trPr>
        <w:tc>
          <w:tcPr>
            <w:tcW w:w="3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3120" w:type="dxa"/>
            <w:vAlign w:val="bottom"/>
            <w:gridSpan w:val="3"/>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Term Loan (12.45% cash (Libor + 9.95%; Floor</w:t>
            </w:r>
          </w:p>
        </w:tc>
        <w:tc>
          <w:tcPr>
            <w:tcW w:w="1120" w:type="dxa"/>
            <w:vAlign w:val="bottom"/>
            <w:gridSpan w:val="2"/>
            <w:shd w:val="clear" w:color="auto" w:fill="CCEEFF"/>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1,260</w:t>
            </w:r>
          </w:p>
        </w:tc>
        <w:tc>
          <w:tcPr>
            <w:tcW w:w="1120" w:type="dxa"/>
            <w:vAlign w:val="bottom"/>
            <w:gridSpan w:val="2"/>
            <w:shd w:val="clear" w:color="auto" w:fill="CCEEFF"/>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1,237</w:t>
            </w:r>
          </w:p>
        </w:tc>
        <w:tc>
          <w:tcPr>
            <w:tcW w:w="1020" w:type="dxa"/>
            <w:vAlign w:val="bottom"/>
            <w:gridSpan w:val="2"/>
            <w:shd w:val="clear" w:color="auto" w:fill="CCEEFF"/>
          </w:tcPr>
          <w:p>
            <w:pPr>
              <w:jc w:val="right"/>
              <w:ind w:right="100"/>
              <w:spacing w:after="0" w:line="117" w:lineRule="exact"/>
              <w:rPr>
                <w:sz w:val="20"/>
                <w:szCs w:val="20"/>
                <w:color w:val="auto"/>
              </w:rPr>
            </w:pPr>
            <w:r>
              <w:rPr>
                <w:rFonts w:ascii="Times New Roman" w:cs="Times New Roman" w:eastAsia="Times New Roman" w:hAnsi="Times New Roman"/>
                <w:sz w:val="13"/>
                <w:szCs w:val="13"/>
                <w:color w:val="auto"/>
              </w:rPr>
              <w:t>1,237</w:t>
            </w:r>
          </w:p>
        </w:tc>
      </w:tr>
      <w:tr>
        <w:trPr>
          <w:trHeight w:val="153"/>
        </w:trPr>
        <w:tc>
          <w:tcPr>
            <w:tcW w:w="3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31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12.45%), 2.86%  ETP, Due 04/1/23)</w:t>
            </w:r>
          </w:p>
        </w:tc>
        <w:tc>
          <w:tcPr>
            <w:tcW w:w="9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17"/>
        </w:trPr>
        <w:tc>
          <w:tcPr>
            <w:tcW w:w="3900" w:type="dxa"/>
            <w:vAlign w:val="bottom"/>
            <w:gridSpan w:val="2"/>
          </w:tcPr>
          <w:p>
            <w:pPr>
              <w:spacing w:after="0" w:line="117" w:lineRule="exact"/>
              <w:rPr>
                <w:sz w:val="20"/>
                <w:szCs w:val="20"/>
                <w:color w:val="auto"/>
              </w:rPr>
            </w:pPr>
            <w:r>
              <w:rPr>
                <w:rFonts w:ascii="Times New Roman" w:cs="Times New Roman" w:eastAsia="Times New Roman" w:hAnsi="Times New Roman"/>
                <w:sz w:val="13"/>
                <w:szCs w:val="13"/>
                <w:color w:val="auto"/>
              </w:rPr>
              <w:t>Betabrand Corporation (2)(12)</w:t>
            </w:r>
          </w:p>
        </w:tc>
        <w:tc>
          <w:tcPr>
            <w:tcW w:w="114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Consumer-related</w:t>
            </w:r>
          </w:p>
        </w:tc>
        <w:tc>
          <w:tcPr>
            <w:tcW w:w="3120" w:type="dxa"/>
            <w:vAlign w:val="bottom"/>
            <w:gridSpan w:val="3"/>
          </w:tcPr>
          <w:p>
            <w:pPr>
              <w:ind w:left="120"/>
              <w:spacing w:after="0" w:line="117" w:lineRule="exact"/>
              <w:rPr>
                <w:sz w:val="20"/>
                <w:szCs w:val="20"/>
                <w:color w:val="auto"/>
              </w:rPr>
            </w:pPr>
            <w:r>
              <w:rPr>
                <w:rFonts w:ascii="Times New Roman" w:cs="Times New Roman" w:eastAsia="Times New Roman" w:hAnsi="Times New Roman"/>
                <w:sz w:val="13"/>
                <w:szCs w:val="13"/>
                <w:color w:val="auto"/>
              </w:rPr>
              <w:t>Term Loan (10.05% cash (Libor + 7.50%; Floor</w:t>
            </w:r>
          </w:p>
        </w:tc>
        <w:tc>
          <w:tcPr>
            <w:tcW w:w="1120" w:type="dxa"/>
            <w:vAlign w:val="bottom"/>
            <w:gridSpan w:val="2"/>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4,250</w:t>
            </w:r>
          </w:p>
        </w:tc>
        <w:tc>
          <w:tcPr>
            <w:tcW w:w="1120" w:type="dxa"/>
            <w:vAlign w:val="bottom"/>
            <w:gridSpan w:val="2"/>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4,111</w:t>
            </w:r>
          </w:p>
        </w:tc>
        <w:tc>
          <w:tcPr>
            <w:tcW w:w="1020" w:type="dxa"/>
            <w:vAlign w:val="bottom"/>
            <w:gridSpan w:val="2"/>
          </w:tcPr>
          <w:p>
            <w:pPr>
              <w:jc w:val="right"/>
              <w:ind w:right="100"/>
              <w:spacing w:after="0" w:line="117" w:lineRule="exact"/>
              <w:rPr>
                <w:sz w:val="20"/>
                <w:szCs w:val="20"/>
                <w:color w:val="auto"/>
              </w:rPr>
            </w:pPr>
            <w:r>
              <w:rPr>
                <w:rFonts w:ascii="Times New Roman" w:cs="Times New Roman" w:eastAsia="Times New Roman" w:hAnsi="Times New Roman"/>
                <w:sz w:val="13"/>
                <w:szCs w:val="13"/>
                <w:color w:val="auto"/>
              </w:rPr>
              <w:t>4,111</w:t>
            </w:r>
          </w:p>
        </w:tc>
      </w:tr>
      <w:tr>
        <w:trPr>
          <w:trHeight w:val="153"/>
        </w:trPr>
        <w:tc>
          <w:tcPr>
            <w:tcW w:w="3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3"/>
                <w:szCs w:val="13"/>
                <w:color w:val="auto"/>
              </w:rPr>
              <w:t>Technologies</w:t>
            </w:r>
          </w:p>
        </w:tc>
        <w:tc>
          <w:tcPr>
            <w:tcW w:w="312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10.05%), 4.50% ETP, Due 9/1/23)</w:t>
            </w: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17"/>
        </w:trPr>
        <w:tc>
          <w:tcPr>
            <w:tcW w:w="3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3120" w:type="dxa"/>
            <w:vAlign w:val="bottom"/>
            <w:gridSpan w:val="3"/>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Term Loan (10.05% cash (Libor + 7.50%; Floor</w:t>
            </w:r>
          </w:p>
        </w:tc>
        <w:tc>
          <w:tcPr>
            <w:tcW w:w="1120" w:type="dxa"/>
            <w:vAlign w:val="bottom"/>
            <w:gridSpan w:val="2"/>
            <w:shd w:val="clear" w:color="auto" w:fill="CCEEFF"/>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4,250</w:t>
            </w:r>
          </w:p>
        </w:tc>
        <w:tc>
          <w:tcPr>
            <w:tcW w:w="1120" w:type="dxa"/>
            <w:vAlign w:val="bottom"/>
            <w:gridSpan w:val="2"/>
            <w:shd w:val="clear" w:color="auto" w:fill="CCEEFF"/>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4,177</w:t>
            </w:r>
          </w:p>
        </w:tc>
        <w:tc>
          <w:tcPr>
            <w:tcW w:w="1020" w:type="dxa"/>
            <w:vAlign w:val="bottom"/>
            <w:gridSpan w:val="2"/>
            <w:shd w:val="clear" w:color="auto" w:fill="CCEEFF"/>
          </w:tcPr>
          <w:p>
            <w:pPr>
              <w:jc w:val="right"/>
              <w:ind w:right="100"/>
              <w:spacing w:after="0" w:line="117" w:lineRule="exact"/>
              <w:rPr>
                <w:sz w:val="20"/>
                <w:szCs w:val="20"/>
                <w:color w:val="auto"/>
              </w:rPr>
            </w:pPr>
            <w:r>
              <w:rPr>
                <w:rFonts w:ascii="Times New Roman" w:cs="Times New Roman" w:eastAsia="Times New Roman" w:hAnsi="Times New Roman"/>
                <w:sz w:val="13"/>
                <w:szCs w:val="13"/>
                <w:color w:val="auto"/>
              </w:rPr>
              <w:t>4,177</w:t>
            </w:r>
          </w:p>
        </w:tc>
      </w:tr>
      <w:tr>
        <w:trPr>
          <w:trHeight w:val="153"/>
        </w:trPr>
        <w:tc>
          <w:tcPr>
            <w:tcW w:w="3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31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10.05%), 4.50% ETP, Due 9/1/23)</w:t>
            </w:r>
          </w:p>
        </w:tc>
        <w:tc>
          <w:tcPr>
            <w:tcW w:w="9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17"/>
        </w:trPr>
        <w:tc>
          <w:tcPr>
            <w:tcW w:w="3900" w:type="dxa"/>
            <w:vAlign w:val="bottom"/>
            <w:gridSpan w:val="2"/>
          </w:tcPr>
          <w:p>
            <w:pPr>
              <w:spacing w:after="0" w:line="117" w:lineRule="exact"/>
              <w:rPr>
                <w:sz w:val="20"/>
                <w:szCs w:val="20"/>
                <w:color w:val="auto"/>
              </w:rPr>
            </w:pPr>
            <w:r>
              <w:rPr>
                <w:rFonts w:ascii="Times New Roman" w:cs="Times New Roman" w:eastAsia="Times New Roman" w:hAnsi="Times New Roman"/>
                <w:sz w:val="13"/>
                <w:szCs w:val="13"/>
                <w:color w:val="auto"/>
              </w:rPr>
              <w:t>Mohawk Group Holdings, Inc. (2)(5)(12)</w:t>
            </w:r>
          </w:p>
        </w:tc>
        <w:tc>
          <w:tcPr>
            <w:tcW w:w="114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Consumer-related</w:t>
            </w:r>
          </w:p>
        </w:tc>
        <w:tc>
          <w:tcPr>
            <w:tcW w:w="3120" w:type="dxa"/>
            <w:vAlign w:val="bottom"/>
            <w:gridSpan w:val="3"/>
          </w:tcPr>
          <w:p>
            <w:pPr>
              <w:ind w:left="120"/>
              <w:spacing w:after="0" w:line="117" w:lineRule="exact"/>
              <w:rPr>
                <w:sz w:val="20"/>
                <w:szCs w:val="20"/>
                <w:color w:val="auto"/>
              </w:rPr>
            </w:pPr>
            <w:r>
              <w:rPr>
                <w:rFonts w:ascii="Times New Roman" w:cs="Times New Roman" w:eastAsia="Times New Roman" w:hAnsi="Times New Roman"/>
                <w:sz w:val="13"/>
                <w:szCs w:val="13"/>
                <w:color w:val="auto"/>
              </w:rPr>
              <w:t>Term Loan (9.90% cash (Libor + 7.40%; Floor 9.90%),</w:t>
            </w:r>
          </w:p>
        </w:tc>
        <w:tc>
          <w:tcPr>
            <w:tcW w:w="1120" w:type="dxa"/>
            <w:vAlign w:val="bottom"/>
            <w:gridSpan w:val="2"/>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5,000</w:t>
            </w:r>
          </w:p>
        </w:tc>
        <w:tc>
          <w:tcPr>
            <w:tcW w:w="1120" w:type="dxa"/>
            <w:vAlign w:val="bottom"/>
            <w:gridSpan w:val="2"/>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4,907</w:t>
            </w:r>
          </w:p>
        </w:tc>
        <w:tc>
          <w:tcPr>
            <w:tcW w:w="1020" w:type="dxa"/>
            <w:vAlign w:val="bottom"/>
            <w:gridSpan w:val="2"/>
          </w:tcPr>
          <w:p>
            <w:pPr>
              <w:jc w:val="right"/>
              <w:ind w:right="100"/>
              <w:spacing w:after="0" w:line="117" w:lineRule="exact"/>
              <w:rPr>
                <w:sz w:val="20"/>
                <w:szCs w:val="20"/>
                <w:color w:val="auto"/>
              </w:rPr>
            </w:pPr>
            <w:r>
              <w:rPr>
                <w:rFonts w:ascii="Times New Roman" w:cs="Times New Roman" w:eastAsia="Times New Roman" w:hAnsi="Times New Roman"/>
                <w:sz w:val="13"/>
                <w:szCs w:val="13"/>
                <w:color w:val="auto"/>
              </w:rPr>
              <w:t>4,907</w:t>
            </w:r>
          </w:p>
        </w:tc>
      </w:tr>
      <w:tr>
        <w:trPr>
          <w:trHeight w:val="153"/>
        </w:trPr>
        <w:tc>
          <w:tcPr>
            <w:tcW w:w="3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3"/>
                <w:szCs w:val="13"/>
                <w:color w:val="auto"/>
              </w:rPr>
              <w:t>Technologies</w:t>
            </w:r>
          </w:p>
        </w:tc>
        <w:tc>
          <w:tcPr>
            <w:tcW w:w="312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4.00% ETP, Due 1/1/23)</w:t>
            </w: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17"/>
        </w:trPr>
        <w:tc>
          <w:tcPr>
            <w:tcW w:w="3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3120" w:type="dxa"/>
            <w:vAlign w:val="bottom"/>
            <w:gridSpan w:val="3"/>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Term Loan (9.90% cash (Libor + 7.40%; Floor 9.90%),</w:t>
            </w:r>
          </w:p>
        </w:tc>
        <w:tc>
          <w:tcPr>
            <w:tcW w:w="1120" w:type="dxa"/>
            <w:vAlign w:val="bottom"/>
            <w:gridSpan w:val="2"/>
            <w:shd w:val="clear" w:color="auto" w:fill="CCEEFF"/>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5,000</w:t>
            </w:r>
          </w:p>
        </w:tc>
        <w:tc>
          <w:tcPr>
            <w:tcW w:w="1120" w:type="dxa"/>
            <w:vAlign w:val="bottom"/>
            <w:gridSpan w:val="2"/>
            <w:shd w:val="clear" w:color="auto" w:fill="CCEEFF"/>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4,907</w:t>
            </w:r>
          </w:p>
        </w:tc>
        <w:tc>
          <w:tcPr>
            <w:tcW w:w="1020" w:type="dxa"/>
            <w:vAlign w:val="bottom"/>
            <w:gridSpan w:val="2"/>
            <w:shd w:val="clear" w:color="auto" w:fill="CCEEFF"/>
          </w:tcPr>
          <w:p>
            <w:pPr>
              <w:jc w:val="right"/>
              <w:ind w:right="100"/>
              <w:spacing w:after="0" w:line="117" w:lineRule="exact"/>
              <w:rPr>
                <w:sz w:val="20"/>
                <w:szCs w:val="20"/>
                <w:color w:val="auto"/>
              </w:rPr>
            </w:pPr>
            <w:r>
              <w:rPr>
                <w:rFonts w:ascii="Times New Roman" w:cs="Times New Roman" w:eastAsia="Times New Roman" w:hAnsi="Times New Roman"/>
                <w:sz w:val="13"/>
                <w:szCs w:val="13"/>
                <w:color w:val="auto"/>
              </w:rPr>
              <w:t>4,907</w:t>
            </w:r>
          </w:p>
        </w:tc>
      </w:tr>
      <w:tr>
        <w:trPr>
          <w:trHeight w:val="153"/>
        </w:trPr>
        <w:tc>
          <w:tcPr>
            <w:tcW w:w="3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31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4.00% ETP, Due 1/1/23)</w:t>
            </w:r>
          </w:p>
        </w:tc>
        <w:tc>
          <w:tcPr>
            <w:tcW w:w="9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17"/>
        </w:trPr>
        <w:tc>
          <w:tcPr>
            <w:tcW w:w="3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3120" w:type="dxa"/>
            <w:vAlign w:val="bottom"/>
            <w:gridSpan w:val="3"/>
          </w:tcPr>
          <w:p>
            <w:pPr>
              <w:ind w:left="120"/>
              <w:spacing w:after="0" w:line="117" w:lineRule="exact"/>
              <w:rPr>
                <w:sz w:val="20"/>
                <w:szCs w:val="20"/>
                <w:color w:val="auto"/>
              </w:rPr>
            </w:pPr>
            <w:r>
              <w:rPr>
                <w:rFonts w:ascii="Times New Roman" w:cs="Times New Roman" w:eastAsia="Times New Roman" w:hAnsi="Times New Roman"/>
                <w:sz w:val="13"/>
                <w:szCs w:val="13"/>
                <w:color w:val="auto"/>
              </w:rPr>
              <w:t>Term Loan (9.90% cash (Libor + 7.40%; Floor 9.90%),</w:t>
            </w:r>
          </w:p>
        </w:tc>
        <w:tc>
          <w:tcPr>
            <w:tcW w:w="1120" w:type="dxa"/>
            <w:vAlign w:val="bottom"/>
            <w:gridSpan w:val="2"/>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5,000</w:t>
            </w:r>
          </w:p>
        </w:tc>
        <w:tc>
          <w:tcPr>
            <w:tcW w:w="1120" w:type="dxa"/>
            <w:vAlign w:val="bottom"/>
            <w:gridSpan w:val="2"/>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4,907</w:t>
            </w:r>
          </w:p>
        </w:tc>
        <w:tc>
          <w:tcPr>
            <w:tcW w:w="1020" w:type="dxa"/>
            <w:vAlign w:val="bottom"/>
            <w:gridSpan w:val="2"/>
          </w:tcPr>
          <w:p>
            <w:pPr>
              <w:jc w:val="right"/>
              <w:ind w:right="100"/>
              <w:spacing w:after="0" w:line="117" w:lineRule="exact"/>
              <w:rPr>
                <w:sz w:val="20"/>
                <w:szCs w:val="20"/>
                <w:color w:val="auto"/>
              </w:rPr>
            </w:pPr>
            <w:r>
              <w:rPr>
                <w:rFonts w:ascii="Times New Roman" w:cs="Times New Roman" w:eastAsia="Times New Roman" w:hAnsi="Times New Roman"/>
                <w:sz w:val="13"/>
                <w:szCs w:val="13"/>
                <w:color w:val="auto"/>
              </w:rPr>
              <w:t>4,907</w:t>
            </w:r>
          </w:p>
        </w:tc>
      </w:tr>
      <w:tr>
        <w:trPr>
          <w:trHeight w:val="153"/>
        </w:trPr>
        <w:tc>
          <w:tcPr>
            <w:tcW w:w="3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12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4.00% ETP, Due 1/1/23)</w:t>
            </w: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17"/>
        </w:trPr>
        <w:tc>
          <w:tcPr>
            <w:tcW w:w="3900" w:type="dxa"/>
            <w:vAlign w:val="bottom"/>
            <w:gridSpan w:val="2"/>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Canara, Inc. (2)(12)</w:t>
            </w:r>
          </w:p>
        </w:tc>
        <w:tc>
          <w:tcPr>
            <w:tcW w:w="114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Data Storage</w:t>
            </w:r>
          </w:p>
        </w:tc>
        <w:tc>
          <w:tcPr>
            <w:tcW w:w="3120" w:type="dxa"/>
            <w:vAlign w:val="bottom"/>
            <w:gridSpan w:val="3"/>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Term Loan (11.00% cash (Libor + 8.60%; Floor</w:t>
            </w:r>
          </w:p>
        </w:tc>
        <w:tc>
          <w:tcPr>
            <w:tcW w:w="1120" w:type="dxa"/>
            <w:vAlign w:val="bottom"/>
            <w:gridSpan w:val="2"/>
            <w:shd w:val="clear" w:color="auto" w:fill="CCEEFF"/>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5,000</w:t>
            </w:r>
          </w:p>
        </w:tc>
        <w:tc>
          <w:tcPr>
            <w:tcW w:w="1120" w:type="dxa"/>
            <w:vAlign w:val="bottom"/>
            <w:gridSpan w:val="2"/>
            <w:shd w:val="clear" w:color="auto" w:fill="CCEEFF"/>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4,858</w:t>
            </w:r>
          </w:p>
        </w:tc>
        <w:tc>
          <w:tcPr>
            <w:tcW w:w="1020" w:type="dxa"/>
            <w:vAlign w:val="bottom"/>
            <w:gridSpan w:val="2"/>
            <w:shd w:val="clear" w:color="auto" w:fill="CCEEFF"/>
          </w:tcPr>
          <w:p>
            <w:pPr>
              <w:jc w:val="right"/>
              <w:ind w:right="100"/>
              <w:spacing w:after="0" w:line="117" w:lineRule="exact"/>
              <w:rPr>
                <w:sz w:val="20"/>
                <w:szCs w:val="20"/>
                <w:color w:val="auto"/>
              </w:rPr>
            </w:pPr>
            <w:r>
              <w:rPr>
                <w:rFonts w:ascii="Times New Roman" w:cs="Times New Roman" w:eastAsia="Times New Roman" w:hAnsi="Times New Roman"/>
                <w:sz w:val="13"/>
                <w:szCs w:val="13"/>
                <w:color w:val="auto"/>
              </w:rPr>
              <w:t>4,858</w:t>
            </w:r>
          </w:p>
        </w:tc>
      </w:tr>
      <w:tr>
        <w:trPr>
          <w:trHeight w:val="153"/>
        </w:trPr>
        <w:tc>
          <w:tcPr>
            <w:tcW w:w="3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31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11.00%), 1.00% ETP, Due 2/1/23)</w:t>
            </w:r>
          </w:p>
        </w:tc>
        <w:tc>
          <w:tcPr>
            <w:tcW w:w="9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17"/>
        </w:trPr>
        <w:tc>
          <w:tcPr>
            <w:tcW w:w="3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3120" w:type="dxa"/>
            <w:vAlign w:val="bottom"/>
            <w:gridSpan w:val="3"/>
          </w:tcPr>
          <w:p>
            <w:pPr>
              <w:ind w:left="120"/>
              <w:spacing w:after="0" w:line="117" w:lineRule="exact"/>
              <w:rPr>
                <w:sz w:val="20"/>
                <w:szCs w:val="20"/>
                <w:color w:val="auto"/>
              </w:rPr>
            </w:pPr>
            <w:r>
              <w:rPr>
                <w:rFonts w:ascii="Times New Roman" w:cs="Times New Roman" w:eastAsia="Times New Roman" w:hAnsi="Times New Roman"/>
                <w:sz w:val="13"/>
                <w:szCs w:val="13"/>
                <w:color w:val="auto"/>
              </w:rPr>
              <w:t>Term Loan (11.00% cash (Libor + 8.60%; Floor</w:t>
            </w:r>
          </w:p>
        </w:tc>
        <w:tc>
          <w:tcPr>
            <w:tcW w:w="1120" w:type="dxa"/>
            <w:vAlign w:val="bottom"/>
            <w:gridSpan w:val="2"/>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5,000</w:t>
            </w:r>
          </w:p>
        </w:tc>
        <w:tc>
          <w:tcPr>
            <w:tcW w:w="1120" w:type="dxa"/>
            <w:vAlign w:val="bottom"/>
            <w:gridSpan w:val="2"/>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4,858</w:t>
            </w:r>
          </w:p>
        </w:tc>
        <w:tc>
          <w:tcPr>
            <w:tcW w:w="1020" w:type="dxa"/>
            <w:vAlign w:val="bottom"/>
            <w:gridSpan w:val="2"/>
          </w:tcPr>
          <w:p>
            <w:pPr>
              <w:jc w:val="right"/>
              <w:ind w:right="100"/>
              <w:spacing w:after="0" w:line="117" w:lineRule="exact"/>
              <w:rPr>
                <w:sz w:val="20"/>
                <w:szCs w:val="20"/>
                <w:color w:val="auto"/>
              </w:rPr>
            </w:pPr>
            <w:r>
              <w:rPr>
                <w:rFonts w:ascii="Times New Roman" w:cs="Times New Roman" w:eastAsia="Times New Roman" w:hAnsi="Times New Roman"/>
                <w:sz w:val="13"/>
                <w:szCs w:val="13"/>
                <w:color w:val="auto"/>
              </w:rPr>
              <w:t>4,858</w:t>
            </w:r>
          </w:p>
        </w:tc>
      </w:tr>
      <w:tr>
        <w:trPr>
          <w:trHeight w:val="153"/>
        </w:trPr>
        <w:tc>
          <w:tcPr>
            <w:tcW w:w="3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12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11.00%), 1.00% ETP, Due 2/1/23)</w:t>
            </w: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17"/>
        </w:trPr>
        <w:tc>
          <w:tcPr>
            <w:tcW w:w="3900" w:type="dxa"/>
            <w:vAlign w:val="bottom"/>
            <w:gridSpan w:val="2"/>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Kaminario, Inc. (2)(12)</w:t>
            </w:r>
          </w:p>
        </w:tc>
        <w:tc>
          <w:tcPr>
            <w:tcW w:w="114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Data Storage</w:t>
            </w:r>
          </w:p>
        </w:tc>
        <w:tc>
          <w:tcPr>
            <w:tcW w:w="3120" w:type="dxa"/>
            <w:vAlign w:val="bottom"/>
            <w:gridSpan w:val="3"/>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Term Loan (10.65% cash (Libor + 8.40%; Floor</w:t>
            </w:r>
          </w:p>
        </w:tc>
        <w:tc>
          <w:tcPr>
            <w:tcW w:w="1120" w:type="dxa"/>
            <w:vAlign w:val="bottom"/>
            <w:gridSpan w:val="2"/>
            <w:shd w:val="clear" w:color="auto" w:fill="CCEEFF"/>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5,000</w:t>
            </w:r>
          </w:p>
        </w:tc>
        <w:tc>
          <w:tcPr>
            <w:tcW w:w="1120" w:type="dxa"/>
            <w:vAlign w:val="bottom"/>
            <w:gridSpan w:val="2"/>
            <w:shd w:val="clear" w:color="auto" w:fill="CCEEFF"/>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4,933</w:t>
            </w:r>
          </w:p>
        </w:tc>
        <w:tc>
          <w:tcPr>
            <w:tcW w:w="1020" w:type="dxa"/>
            <w:vAlign w:val="bottom"/>
            <w:gridSpan w:val="2"/>
            <w:shd w:val="clear" w:color="auto" w:fill="CCEEFF"/>
          </w:tcPr>
          <w:p>
            <w:pPr>
              <w:jc w:val="right"/>
              <w:ind w:right="100"/>
              <w:spacing w:after="0" w:line="117" w:lineRule="exact"/>
              <w:rPr>
                <w:sz w:val="20"/>
                <w:szCs w:val="20"/>
                <w:color w:val="auto"/>
              </w:rPr>
            </w:pPr>
            <w:r>
              <w:rPr>
                <w:rFonts w:ascii="Times New Roman" w:cs="Times New Roman" w:eastAsia="Times New Roman" w:hAnsi="Times New Roman"/>
                <w:sz w:val="13"/>
                <w:szCs w:val="13"/>
                <w:color w:val="auto"/>
              </w:rPr>
              <w:t>4,933</w:t>
            </w:r>
          </w:p>
        </w:tc>
      </w:tr>
      <w:tr>
        <w:trPr>
          <w:trHeight w:val="153"/>
        </w:trPr>
        <w:tc>
          <w:tcPr>
            <w:tcW w:w="3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31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10.65%), 3.00% ETP, Due 1/1/23)</w:t>
            </w:r>
          </w:p>
        </w:tc>
        <w:tc>
          <w:tcPr>
            <w:tcW w:w="9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17"/>
        </w:trPr>
        <w:tc>
          <w:tcPr>
            <w:tcW w:w="3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3120" w:type="dxa"/>
            <w:vAlign w:val="bottom"/>
            <w:gridSpan w:val="3"/>
          </w:tcPr>
          <w:p>
            <w:pPr>
              <w:ind w:left="120"/>
              <w:spacing w:after="0" w:line="117" w:lineRule="exact"/>
              <w:rPr>
                <w:sz w:val="20"/>
                <w:szCs w:val="20"/>
                <w:color w:val="auto"/>
              </w:rPr>
            </w:pPr>
            <w:r>
              <w:rPr>
                <w:rFonts w:ascii="Times New Roman" w:cs="Times New Roman" w:eastAsia="Times New Roman" w:hAnsi="Times New Roman"/>
                <w:sz w:val="13"/>
                <w:szCs w:val="13"/>
                <w:color w:val="auto"/>
              </w:rPr>
              <w:t>Term Loan (10.65% cash (Libor + 8.40%; Floor</w:t>
            </w:r>
          </w:p>
        </w:tc>
        <w:tc>
          <w:tcPr>
            <w:tcW w:w="1120" w:type="dxa"/>
            <w:vAlign w:val="bottom"/>
            <w:gridSpan w:val="2"/>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5,000</w:t>
            </w:r>
          </w:p>
        </w:tc>
        <w:tc>
          <w:tcPr>
            <w:tcW w:w="1120" w:type="dxa"/>
            <w:vAlign w:val="bottom"/>
            <w:gridSpan w:val="2"/>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4,933</w:t>
            </w:r>
          </w:p>
        </w:tc>
        <w:tc>
          <w:tcPr>
            <w:tcW w:w="1020" w:type="dxa"/>
            <w:vAlign w:val="bottom"/>
            <w:gridSpan w:val="2"/>
          </w:tcPr>
          <w:p>
            <w:pPr>
              <w:jc w:val="right"/>
              <w:ind w:right="100"/>
              <w:spacing w:after="0" w:line="117" w:lineRule="exact"/>
              <w:rPr>
                <w:sz w:val="20"/>
                <w:szCs w:val="20"/>
                <w:color w:val="auto"/>
              </w:rPr>
            </w:pPr>
            <w:r>
              <w:rPr>
                <w:rFonts w:ascii="Times New Roman" w:cs="Times New Roman" w:eastAsia="Times New Roman" w:hAnsi="Times New Roman"/>
                <w:sz w:val="13"/>
                <w:szCs w:val="13"/>
                <w:color w:val="auto"/>
              </w:rPr>
              <w:t>4,933</w:t>
            </w:r>
          </w:p>
        </w:tc>
      </w:tr>
      <w:tr>
        <w:trPr>
          <w:trHeight w:val="153"/>
        </w:trPr>
        <w:tc>
          <w:tcPr>
            <w:tcW w:w="3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12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10.65%), 3.00% ETP, Due 1/1/23)</w:t>
            </w: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17"/>
        </w:trPr>
        <w:tc>
          <w:tcPr>
            <w:tcW w:w="3900" w:type="dxa"/>
            <w:vAlign w:val="bottom"/>
            <w:gridSpan w:val="2"/>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IgnitionOne, Inc. (2)(12)</w:t>
            </w:r>
          </w:p>
        </w:tc>
        <w:tc>
          <w:tcPr>
            <w:tcW w:w="114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Internet and Media</w:t>
            </w:r>
          </w:p>
        </w:tc>
        <w:tc>
          <w:tcPr>
            <w:tcW w:w="3120" w:type="dxa"/>
            <w:vAlign w:val="bottom"/>
            <w:gridSpan w:val="3"/>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Term Loan (12.33% cash (Libor + 10.23%; Floor</w:t>
            </w:r>
          </w:p>
        </w:tc>
        <w:tc>
          <w:tcPr>
            <w:tcW w:w="1120" w:type="dxa"/>
            <w:vAlign w:val="bottom"/>
            <w:gridSpan w:val="2"/>
            <w:shd w:val="clear" w:color="auto" w:fill="CCEEFF"/>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3,000</w:t>
            </w:r>
          </w:p>
        </w:tc>
        <w:tc>
          <w:tcPr>
            <w:tcW w:w="1120" w:type="dxa"/>
            <w:vAlign w:val="bottom"/>
            <w:gridSpan w:val="2"/>
            <w:shd w:val="clear" w:color="auto" w:fill="CCEEFF"/>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2,901</w:t>
            </w:r>
          </w:p>
        </w:tc>
        <w:tc>
          <w:tcPr>
            <w:tcW w:w="1020" w:type="dxa"/>
            <w:vAlign w:val="bottom"/>
            <w:gridSpan w:val="2"/>
            <w:shd w:val="clear" w:color="auto" w:fill="CCEEFF"/>
          </w:tcPr>
          <w:p>
            <w:pPr>
              <w:jc w:val="right"/>
              <w:ind w:right="100"/>
              <w:spacing w:after="0" w:line="117" w:lineRule="exact"/>
              <w:rPr>
                <w:sz w:val="20"/>
                <w:szCs w:val="20"/>
                <w:color w:val="auto"/>
              </w:rPr>
            </w:pPr>
            <w:r>
              <w:rPr>
                <w:rFonts w:ascii="Times New Roman" w:cs="Times New Roman" w:eastAsia="Times New Roman" w:hAnsi="Times New Roman"/>
                <w:sz w:val="13"/>
                <w:szCs w:val="13"/>
                <w:color w:val="auto"/>
              </w:rPr>
              <w:t>2,901</w:t>
            </w:r>
          </w:p>
        </w:tc>
      </w:tr>
      <w:tr>
        <w:trPr>
          <w:trHeight w:val="153"/>
        </w:trPr>
        <w:tc>
          <w:tcPr>
            <w:tcW w:w="3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31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10.23%), 4.00% ETP, Due 4/1/22)</w:t>
            </w:r>
          </w:p>
        </w:tc>
        <w:tc>
          <w:tcPr>
            <w:tcW w:w="9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17"/>
        </w:trPr>
        <w:tc>
          <w:tcPr>
            <w:tcW w:w="3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3120" w:type="dxa"/>
            <w:vAlign w:val="bottom"/>
            <w:gridSpan w:val="3"/>
          </w:tcPr>
          <w:p>
            <w:pPr>
              <w:ind w:left="120"/>
              <w:spacing w:after="0" w:line="117" w:lineRule="exact"/>
              <w:rPr>
                <w:sz w:val="20"/>
                <w:szCs w:val="20"/>
                <w:color w:val="auto"/>
              </w:rPr>
            </w:pPr>
            <w:r>
              <w:rPr>
                <w:rFonts w:ascii="Times New Roman" w:cs="Times New Roman" w:eastAsia="Times New Roman" w:hAnsi="Times New Roman"/>
                <w:sz w:val="13"/>
                <w:szCs w:val="13"/>
                <w:color w:val="auto"/>
              </w:rPr>
              <w:t>Term Loan (12.33% cash (Libor + 10.23%; Floor</w:t>
            </w:r>
          </w:p>
        </w:tc>
        <w:tc>
          <w:tcPr>
            <w:tcW w:w="1120" w:type="dxa"/>
            <w:vAlign w:val="bottom"/>
            <w:gridSpan w:val="2"/>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3,000</w:t>
            </w:r>
          </w:p>
        </w:tc>
        <w:tc>
          <w:tcPr>
            <w:tcW w:w="1120" w:type="dxa"/>
            <w:vAlign w:val="bottom"/>
            <w:gridSpan w:val="2"/>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2,901</w:t>
            </w:r>
          </w:p>
        </w:tc>
        <w:tc>
          <w:tcPr>
            <w:tcW w:w="1020" w:type="dxa"/>
            <w:vAlign w:val="bottom"/>
            <w:gridSpan w:val="2"/>
          </w:tcPr>
          <w:p>
            <w:pPr>
              <w:jc w:val="right"/>
              <w:ind w:right="100"/>
              <w:spacing w:after="0" w:line="117" w:lineRule="exact"/>
              <w:rPr>
                <w:sz w:val="20"/>
                <w:szCs w:val="20"/>
                <w:color w:val="auto"/>
              </w:rPr>
            </w:pPr>
            <w:r>
              <w:rPr>
                <w:rFonts w:ascii="Times New Roman" w:cs="Times New Roman" w:eastAsia="Times New Roman" w:hAnsi="Times New Roman"/>
                <w:sz w:val="13"/>
                <w:szCs w:val="13"/>
                <w:color w:val="auto"/>
              </w:rPr>
              <w:t>2,901</w:t>
            </w:r>
          </w:p>
        </w:tc>
      </w:tr>
      <w:tr>
        <w:trPr>
          <w:trHeight w:val="153"/>
        </w:trPr>
        <w:tc>
          <w:tcPr>
            <w:tcW w:w="3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12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10.23%), 4.00% ETP, Due 4/1/22)</w:t>
            </w: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17"/>
        </w:trPr>
        <w:tc>
          <w:tcPr>
            <w:tcW w:w="3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3120" w:type="dxa"/>
            <w:vAlign w:val="bottom"/>
            <w:gridSpan w:val="3"/>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Term Loan (12.33% cash (Libor + 10.23%; Floor</w:t>
            </w:r>
          </w:p>
        </w:tc>
        <w:tc>
          <w:tcPr>
            <w:tcW w:w="1120" w:type="dxa"/>
            <w:vAlign w:val="bottom"/>
            <w:gridSpan w:val="2"/>
            <w:shd w:val="clear" w:color="auto" w:fill="CCEEFF"/>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3,000</w:t>
            </w:r>
          </w:p>
        </w:tc>
        <w:tc>
          <w:tcPr>
            <w:tcW w:w="1120" w:type="dxa"/>
            <w:vAlign w:val="bottom"/>
            <w:gridSpan w:val="2"/>
            <w:shd w:val="clear" w:color="auto" w:fill="CCEEFF"/>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2,676</w:t>
            </w:r>
          </w:p>
        </w:tc>
        <w:tc>
          <w:tcPr>
            <w:tcW w:w="1020" w:type="dxa"/>
            <w:vAlign w:val="bottom"/>
            <w:gridSpan w:val="2"/>
            <w:shd w:val="clear" w:color="auto" w:fill="CCEEFF"/>
          </w:tcPr>
          <w:p>
            <w:pPr>
              <w:jc w:val="right"/>
              <w:ind w:right="100"/>
              <w:spacing w:after="0" w:line="117" w:lineRule="exact"/>
              <w:rPr>
                <w:sz w:val="20"/>
                <w:szCs w:val="20"/>
                <w:color w:val="auto"/>
              </w:rPr>
            </w:pPr>
            <w:r>
              <w:rPr>
                <w:rFonts w:ascii="Times New Roman" w:cs="Times New Roman" w:eastAsia="Times New Roman" w:hAnsi="Times New Roman"/>
                <w:sz w:val="13"/>
                <w:szCs w:val="13"/>
                <w:color w:val="auto"/>
              </w:rPr>
              <w:t>2,676</w:t>
            </w:r>
          </w:p>
        </w:tc>
      </w:tr>
      <w:tr>
        <w:trPr>
          <w:trHeight w:val="153"/>
        </w:trPr>
        <w:tc>
          <w:tcPr>
            <w:tcW w:w="3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31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10.23%), 4.00% ETP, Due 4/1/22)</w:t>
            </w:r>
          </w:p>
        </w:tc>
        <w:tc>
          <w:tcPr>
            <w:tcW w:w="9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17"/>
        </w:trPr>
        <w:tc>
          <w:tcPr>
            <w:tcW w:w="3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3120" w:type="dxa"/>
            <w:vAlign w:val="bottom"/>
            <w:gridSpan w:val="3"/>
          </w:tcPr>
          <w:p>
            <w:pPr>
              <w:ind w:left="120"/>
              <w:spacing w:after="0" w:line="117" w:lineRule="exact"/>
              <w:rPr>
                <w:sz w:val="20"/>
                <w:szCs w:val="20"/>
                <w:color w:val="auto"/>
              </w:rPr>
            </w:pPr>
            <w:r>
              <w:rPr>
                <w:rFonts w:ascii="Times New Roman" w:cs="Times New Roman" w:eastAsia="Times New Roman" w:hAnsi="Times New Roman"/>
                <w:sz w:val="13"/>
                <w:szCs w:val="13"/>
                <w:color w:val="auto"/>
              </w:rPr>
              <w:t>Term Loan (12.33% cash (Libor + 10.23%; Floor</w:t>
            </w:r>
          </w:p>
        </w:tc>
        <w:tc>
          <w:tcPr>
            <w:tcW w:w="1120" w:type="dxa"/>
            <w:vAlign w:val="bottom"/>
            <w:gridSpan w:val="2"/>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3,000</w:t>
            </w:r>
          </w:p>
        </w:tc>
        <w:tc>
          <w:tcPr>
            <w:tcW w:w="1120" w:type="dxa"/>
            <w:vAlign w:val="bottom"/>
            <w:gridSpan w:val="2"/>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2,901</w:t>
            </w:r>
          </w:p>
        </w:tc>
        <w:tc>
          <w:tcPr>
            <w:tcW w:w="1020" w:type="dxa"/>
            <w:vAlign w:val="bottom"/>
            <w:gridSpan w:val="2"/>
          </w:tcPr>
          <w:p>
            <w:pPr>
              <w:jc w:val="right"/>
              <w:ind w:right="100"/>
              <w:spacing w:after="0" w:line="117" w:lineRule="exact"/>
              <w:rPr>
                <w:sz w:val="20"/>
                <w:szCs w:val="20"/>
                <w:color w:val="auto"/>
              </w:rPr>
            </w:pPr>
            <w:r>
              <w:rPr>
                <w:rFonts w:ascii="Times New Roman" w:cs="Times New Roman" w:eastAsia="Times New Roman" w:hAnsi="Times New Roman"/>
                <w:sz w:val="13"/>
                <w:szCs w:val="13"/>
                <w:color w:val="auto"/>
              </w:rPr>
              <w:t>2,901</w:t>
            </w:r>
          </w:p>
        </w:tc>
      </w:tr>
      <w:tr>
        <w:trPr>
          <w:trHeight w:val="153"/>
        </w:trPr>
        <w:tc>
          <w:tcPr>
            <w:tcW w:w="3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12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10.23%), 4.00% ETP, Due 4/1/22)</w:t>
            </w: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17"/>
        </w:trPr>
        <w:tc>
          <w:tcPr>
            <w:tcW w:w="3900" w:type="dxa"/>
            <w:vAlign w:val="bottom"/>
            <w:gridSpan w:val="2"/>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Verve Wireless, Inc. (2)(12)</w:t>
            </w:r>
          </w:p>
        </w:tc>
        <w:tc>
          <w:tcPr>
            <w:tcW w:w="114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Internet and Media</w:t>
            </w:r>
          </w:p>
        </w:tc>
        <w:tc>
          <w:tcPr>
            <w:tcW w:w="3120" w:type="dxa"/>
            <w:vAlign w:val="bottom"/>
            <w:gridSpan w:val="3"/>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Term Loan (10.80% cash (Libor + 8.80%; Floor</w:t>
            </w:r>
          </w:p>
        </w:tc>
        <w:tc>
          <w:tcPr>
            <w:tcW w:w="1120" w:type="dxa"/>
            <w:vAlign w:val="bottom"/>
            <w:gridSpan w:val="2"/>
            <w:shd w:val="clear" w:color="auto" w:fill="CCEEFF"/>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2,308</w:t>
            </w:r>
          </w:p>
        </w:tc>
        <w:tc>
          <w:tcPr>
            <w:tcW w:w="1120" w:type="dxa"/>
            <w:vAlign w:val="bottom"/>
            <w:gridSpan w:val="2"/>
            <w:shd w:val="clear" w:color="auto" w:fill="CCEEFF"/>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2,308</w:t>
            </w:r>
          </w:p>
        </w:tc>
        <w:tc>
          <w:tcPr>
            <w:tcW w:w="1020" w:type="dxa"/>
            <w:vAlign w:val="bottom"/>
            <w:gridSpan w:val="2"/>
            <w:shd w:val="clear" w:color="auto" w:fill="CCEEFF"/>
          </w:tcPr>
          <w:p>
            <w:pPr>
              <w:jc w:val="right"/>
              <w:ind w:right="100"/>
              <w:spacing w:after="0" w:line="117" w:lineRule="exact"/>
              <w:rPr>
                <w:sz w:val="20"/>
                <w:szCs w:val="20"/>
                <w:color w:val="auto"/>
              </w:rPr>
            </w:pPr>
            <w:r>
              <w:rPr>
                <w:rFonts w:ascii="Times New Roman" w:cs="Times New Roman" w:eastAsia="Times New Roman" w:hAnsi="Times New Roman"/>
                <w:sz w:val="13"/>
                <w:szCs w:val="13"/>
                <w:color w:val="auto"/>
              </w:rPr>
              <w:t>2,308</w:t>
            </w:r>
          </w:p>
        </w:tc>
      </w:tr>
      <w:tr>
        <w:trPr>
          <w:trHeight w:val="153"/>
        </w:trPr>
        <w:tc>
          <w:tcPr>
            <w:tcW w:w="3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31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10.80%), 3.33% ETP, Due 9/1/21)</w:t>
            </w:r>
          </w:p>
        </w:tc>
        <w:tc>
          <w:tcPr>
            <w:tcW w:w="9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17"/>
        </w:trPr>
        <w:tc>
          <w:tcPr>
            <w:tcW w:w="3900" w:type="dxa"/>
            <w:vAlign w:val="bottom"/>
            <w:gridSpan w:val="2"/>
          </w:tcPr>
          <w:p>
            <w:pPr>
              <w:spacing w:after="0" w:line="117" w:lineRule="exact"/>
              <w:rPr>
                <w:sz w:val="20"/>
                <w:szCs w:val="20"/>
                <w:color w:val="auto"/>
              </w:rPr>
            </w:pPr>
            <w:r>
              <w:rPr>
                <w:rFonts w:ascii="Times New Roman" w:cs="Times New Roman" w:eastAsia="Times New Roman" w:hAnsi="Times New Roman"/>
                <w:sz w:val="13"/>
                <w:szCs w:val="13"/>
                <w:color w:val="auto"/>
              </w:rPr>
              <w:t>The NanoSteel Company, Inc. (2)(12)</w:t>
            </w:r>
          </w:p>
        </w:tc>
        <w:tc>
          <w:tcPr>
            <w:tcW w:w="114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Materials</w:t>
            </w:r>
          </w:p>
        </w:tc>
        <w:tc>
          <w:tcPr>
            <w:tcW w:w="3120" w:type="dxa"/>
            <w:vAlign w:val="bottom"/>
            <w:gridSpan w:val="3"/>
          </w:tcPr>
          <w:p>
            <w:pPr>
              <w:ind w:left="120"/>
              <w:spacing w:after="0" w:line="117" w:lineRule="exact"/>
              <w:rPr>
                <w:sz w:val="20"/>
                <w:szCs w:val="20"/>
                <w:color w:val="auto"/>
              </w:rPr>
            </w:pPr>
            <w:r>
              <w:rPr>
                <w:rFonts w:ascii="Times New Roman" w:cs="Times New Roman" w:eastAsia="Times New Roman" w:hAnsi="Times New Roman"/>
                <w:sz w:val="13"/>
                <w:szCs w:val="13"/>
                <w:color w:val="auto"/>
              </w:rPr>
              <w:t>Term Loan (11.00% cash (Libor + 8.50%; Floor</w:t>
            </w:r>
          </w:p>
        </w:tc>
        <w:tc>
          <w:tcPr>
            <w:tcW w:w="1120" w:type="dxa"/>
            <w:vAlign w:val="bottom"/>
            <w:gridSpan w:val="2"/>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4,250</w:t>
            </w:r>
          </w:p>
        </w:tc>
        <w:tc>
          <w:tcPr>
            <w:tcW w:w="1120" w:type="dxa"/>
            <w:vAlign w:val="bottom"/>
            <w:gridSpan w:val="2"/>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4,200</w:t>
            </w:r>
          </w:p>
        </w:tc>
        <w:tc>
          <w:tcPr>
            <w:tcW w:w="1020" w:type="dxa"/>
            <w:vAlign w:val="bottom"/>
            <w:gridSpan w:val="2"/>
          </w:tcPr>
          <w:p>
            <w:pPr>
              <w:jc w:val="right"/>
              <w:ind w:right="100"/>
              <w:spacing w:after="0" w:line="117" w:lineRule="exact"/>
              <w:rPr>
                <w:sz w:val="20"/>
                <w:szCs w:val="20"/>
                <w:color w:val="auto"/>
              </w:rPr>
            </w:pPr>
            <w:r>
              <w:rPr>
                <w:rFonts w:ascii="Times New Roman" w:cs="Times New Roman" w:eastAsia="Times New Roman" w:hAnsi="Times New Roman"/>
                <w:sz w:val="13"/>
                <w:szCs w:val="13"/>
                <w:color w:val="auto"/>
              </w:rPr>
              <w:t>4,200</w:t>
            </w:r>
          </w:p>
        </w:tc>
      </w:tr>
      <w:tr>
        <w:trPr>
          <w:trHeight w:val="153"/>
        </w:trPr>
        <w:tc>
          <w:tcPr>
            <w:tcW w:w="3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12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11.00%), 4.00% ETP, Due 6/1/22)</w:t>
            </w: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17"/>
        </w:trPr>
        <w:tc>
          <w:tcPr>
            <w:tcW w:w="3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3120" w:type="dxa"/>
            <w:vAlign w:val="bottom"/>
            <w:gridSpan w:val="3"/>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Term Loan (11.00% cash (Libor + 8.50%; Floor</w:t>
            </w:r>
          </w:p>
        </w:tc>
        <w:tc>
          <w:tcPr>
            <w:tcW w:w="1120" w:type="dxa"/>
            <w:vAlign w:val="bottom"/>
            <w:gridSpan w:val="2"/>
            <w:shd w:val="clear" w:color="auto" w:fill="CCEEFF"/>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4,250</w:t>
            </w:r>
          </w:p>
        </w:tc>
        <w:tc>
          <w:tcPr>
            <w:tcW w:w="1120" w:type="dxa"/>
            <w:vAlign w:val="bottom"/>
            <w:gridSpan w:val="2"/>
            <w:shd w:val="clear" w:color="auto" w:fill="CCEEFF"/>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4,200</w:t>
            </w:r>
          </w:p>
        </w:tc>
        <w:tc>
          <w:tcPr>
            <w:tcW w:w="1020" w:type="dxa"/>
            <w:vAlign w:val="bottom"/>
            <w:gridSpan w:val="2"/>
            <w:shd w:val="clear" w:color="auto" w:fill="CCEEFF"/>
          </w:tcPr>
          <w:p>
            <w:pPr>
              <w:jc w:val="right"/>
              <w:ind w:right="100"/>
              <w:spacing w:after="0" w:line="117" w:lineRule="exact"/>
              <w:rPr>
                <w:sz w:val="20"/>
                <w:szCs w:val="20"/>
                <w:color w:val="auto"/>
              </w:rPr>
            </w:pPr>
            <w:r>
              <w:rPr>
                <w:rFonts w:ascii="Times New Roman" w:cs="Times New Roman" w:eastAsia="Times New Roman" w:hAnsi="Times New Roman"/>
                <w:sz w:val="13"/>
                <w:szCs w:val="13"/>
                <w:color w:val="auto"/>
              </w:rPr>
              <w:t>4,200</w:t>
            </w:r>
          </w:p>
        </w:tc>
      </w:tr>
      <w:tr>
        <w:trPr>
          <w:trHeight w:val="153"/>
        </w:trPr>
        <w:tc>
          <w:tcPr>
            <w:tcW w:w="3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31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11.00%), 4.00% ETP, Due 6/1/22)</w:t>
            </w:r>
          </w:p>
        </w:tc>
        <w:tc>
          <w:tcPr>
            <w:tcW w:w="9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17"/>
        </w:trPr>
        <w:tc>
          <w:tcPr>
            <w:tcW w:w="3900" w:type="dxa"/>
            <w:vAlign w:val="bottom"/>
            <w:gridSpan w:val="2"/>
          </w:tcPr>
          <w:p>
            <w:pPr>
              <w:spacing w:after="0" w:line="117" w:lineRule="exact"/>
              <w:rPr>
                <w:sz w:val="20"/>
                <w:szCs w:val="20"/>
                <w:color w:val="auto"/>
              </w:rPr>
            </w:pPr>
            <w:r>
              <w:rPr>
                <w:rFonts w:ascii="Times New Roman" w:cs="Times New Roman" w:eastAsia="Times New Roman" w:hAnsi="Times New Roman"/>
                <w:sz w:val="13"/>
                <w:szCs w:val="13"/>
                <w:color w:val="auto"/>
              </w:rPr>
              <w:t>Bridge2 Solutions, LLC. (2)(12)</w:t>
            </w:r>
          </w:p>
        </w:tc>
        <w:tc>
          <w:tcPr>
            <w:tcW w:w="114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Software</w:t>
            </w:r>
          </w:p>
        </w:tc>
        <w:tc>
          <w:tcPr>
            <w:tcW w:w="3120" w:type="dxa"/>
            <w:vAlign w:val="bottom"/>
            <w:gridSpan w:val="3"/>
          </w:tcPr>
          <w:p>
            <w:pPr>
              <w:ind w:left="120"/>
              <w:spacing w:after="0" w:line="117" w:lineRule="exact"/>
              <w:rPr>
                <w:sz w:val="20"/>
                <w:szCs w:val="20"/>
                <w:color w:val="auto"/>
              </w:rPr>
            </w:pPr>
            <w:r>
              <w:rPr>
                <w:rFonts w:ascii="Times New Roman" w:cs="Times New Roman" w:eastAsia="Times New Roman" w:hAnsi="Times New Roman"/>
                <w:sz w:val="13"/>
                <w:szCs w:val="13"/>
                <w:color w:val="auto"/>
              </w:rPr>
              <w:t>Term Loan (11.00% cash (Libor + 8.40%; Floor</w:t>
            </w:r>
          </w:p>
        </w:tc>
        <w:tc>
          <w:tcPr>
            <w:tcW w:w="1120" w:type="dxa"/>
            <w:vAlign w:val="bottom"/>
            <w:gridSpan w:val="2"/>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6,250</w:t>
            </w:r>
          </w:p>
        </w:tc>
        <w:tc>
          <w:tcPr>
            <w:tcW w:w="1120" w:type="dxa"/>
            <w:vAlign w:val="bottom"/>
            <w:gridSpan w:val="2"/>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6,111</w:t>
            </w:r>
          </w:p>
        </w:tc>
        <w:tc>
          <w:tcPr>
            <w:tcW w:w="1020" w:type="dxa"/>
            <w:vAlign w:val="bottom"/>
            <w:gridSpan w:val="2"/>
          </w:tcPr>
          <w:p>
            <w:pPr>
              <w:jc w:val="right"/>
              <w:ind w:right="100"/>
              <w:spacing w:after="0" w:line="117" w:lineRule="exact"/>
              <w:rPr>
                <w:sz w:val="20"/>
                <w:szCs w:val="20"/>
                <w:color w:val="auto"/>
              </w:rPr>
            </w:pPr>
            <w:r>
              <w:rPr>
                <w:rFonts w:ascii="Times New Roman" w:cs="Times New Roman" w:eastAsia="Times New Roman" w:hAnsi="Times New Roman"/>
                <w:sz w:val="13"/>
                <w:szCs w:val="13"/>
                <w:color w:val="auto"/>
              </w:rPr>
              <w:t>6,111</w:t>
            </w:r>
          </w:p>
        </w:tc>
      </w:tr>
      <w:tr>
        <w:trPr>
          <w:trHeight w:val="153"/>
        </w:trPr>
        <w:tc>
          <w:tcPr>
            <w:tcW w:w="3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12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11.00%), 2.00% ETP, Due 6/1/23)</w:t>
            </w: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17"/>
        </w:trPr>
        <w:tc>
          <w:tcPr>
            <w:tcW w:w="3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3120" w:type="dxa"/>
            <w:vAlign w:val="bottom"/>
            <w:gridSpan w:val="3"/>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Term Loan (11.00% cash (Libor + 8.40%; Floor</w:t>
            </w:r>
          </w:p>
        </w:tc>
        <w:tc>
          <w:tcPr>
            <w:tcW w:w="1120" w:type="dxa"/>
            <w:vAlign w:val="bottom"/>
            <w:gridSpan w:val="2"/>
            <w:shd w:val="clear" w:color="auto" w:fill="CCEEFF"/>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6,250</w:t>
            </w:r>
          </w:p>
        </w:tc>
        <w:tc>
          <w:tcPr>
            <w:tcW w:w="1120" w:type="dxa"/>
            <w:vAlign w:val="bottom"/>
            <w:gridSpan w:val="2"/>
            <w:shd w:val="clear" w:color="auto" w:fill="CCEEFF"/>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6,111</w:t>
            </w:r>
          </w:p>
        </w:tc>
        <w:tc>
          <w:tcPr>
            <w:tcW w:w="1020" w:type="dxa"/>
            <w:vAlign w:val="bottom"/>
            <w:gridSpan w:val="2"/>
            <w:shd w:val="clear" w:color="auto" w:fill="CCEEFF"/>
          </w:tcPr>
          <w:p>
            <w:pPr>
              <w:jc w:val="right"/>
              <w:ind w:right="100"/>
              <w:spacing w:after="0" w:line="117" w:lineRule="exact"/>
              <w:rPr>
                <w:sz w:val="20"/>
                <w:szCs w:val="20"/>
                <w:color w:val="auto"/>
              </w:rPr>
            </w:pPr>
            <w:r>
              <w:rPr>
                <w:rFonts w:ascii="Times New Roman" w:cs="Times New Roman" w:eastAsia="Times New Roman" w:hAnsi="Times New Roman"/>
                <w:sz w:val="13"/>
                <w:szCs w:val="13"/>
                <w:color w:val="auto"/>
              </w:rPr>
              <w:t>6,111</w:t>
            </w:r>
          </w:p>
        </w:tc>
      </w:tr>
      <w:tr>
        <w:trPr>
          <w:trHeight w:val="153"/>
        </w:trPr>
        <w:tc>
          <w:tcPr>
            <w:tcW w:w="3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31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11.00%), 2.00% ETP, Due 6/1/23)</w:t>
            </w:r>
          </w:p>
        </w:tc>
        <w:tc>
          <w:tcPr>
            <w:tcW w:w="9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17"/>
        </w:trPr>
        <w:tc>
          <w:tcPr>
            <w:tcW w:w="3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3120" w:type="dxa"/>
            <w:vAlign w:val="bottom"/>
            <w:gridSpan w:val="3"/>
          </w:tcPr>
          <w:p>
            <w:pPr>
              <w:ind w:left="120"/>
              <w:spacing w:after="0" w:line="117" w:lineRule="exact"/>
              <w:rPr>
                <w:sz w:val="20"/>
                <w:szCs w:val="20"/>
                <w:color w:val="auto"/>
              </w:rPr>
            </w:pPr>
            <w:r>
              <w:rPr>
                <w:rFonts w:ascii="Times New Roman" w:cs="Times New Roman" w:eastAsia="Times New Roman" w:hAnsi="Times New Roman"/>
                <w:sz w:val="13"/>
                <w:szCs w:val="13"/>
                <w:color w:val="auto"/>
              </w:rPr>
              <w:t>Term Loan (11.00% cash (Libor + 8.40%; Floor</w:t>
            </w:r>
          </w:p>
        </w:tc>
        <w:tc>
          <w:tcPr>
            <w:tcW w:w="1120" w:type="dxa"/>
            <w:vAlign w:val="bottom"/>
            <w:gridSpan w:val="2"/>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2,500</w:t>
            </w:r>
          </w:p>
        </w:tc>
        <w:tc>
          <w:tcPr>
            <w:tcW w:w="1120" w:type="dxa"/>
            <w:vAlign w:val="bottom"/>
            <w:gridSpan w:val="2"/>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2,401</w:t>
            </w:r>
          </w:p>
        </w:tc>
        <w:tc>
          <w:tcPr>
            <w:tcW w:w="1020" w:type="dxa"/>
            <w:vAlign w:val="bottom"/>
            <w:gridSpan w:val="2"/>
          </w:tcPr>
          <w:p>
            <w:pPr>
              <w:jc w:val="right"/>
              <w:ind w:right="100"/>
              <w:spacing w:after="0" w:line="117" w:lineRule="exact"/>
              <w:rPr>
                <w:sz w:val="20"/>
                <w:szCs w:val="20"/>
                <w:color w:val="auto"/>
              </w:rPr>
            </w:pPr>
            <w:r>
              <w:rPr>
                <w:rFonts w:ascii="Times New Roman" w:cs="Times New Roman" w:eastAsia="Times New Roman" w:hAnsi="Times New Roman"/>
                <w:sz w:val="13"/>
                <w:szCs w:val="13"/>
                <w:color w:val="auto"/>
              </w:rPr>
              <w:t>2,401</w:t>
            </w:r>
          </w:p>
        </w:tc>
      </w:tr>
      <w:tr>
        <w:trPr>
          <w:trHeight w:val="153"/>
        </w:trPr>
        <w:tc>
          <w:tcPr>
            <w:tcW w:w="3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12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11.00%), 2.00% ETP, Due 6/1/23)</w:t>
            </w: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17"/>
        </w:trPr>
        <w:tc>
          <w:tcPr>
            <w:tcW w:w="3900" w:type="dxa"/>
            <w:vAlign w:val="bottom"/>
            <w:gridSpan w:val="2"/>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New Signature US, Inc. (2)(12)(13)</w:t>
            </w:r>
          </w:p>
        </w:tc>
        <w:tc>
          <w:tcPr>
            <w:tcW w:w="114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Software</w:t>
            </w:r>
          </w:p>
        </w:tc>
        <w:tc>
          <w:tcPr>
            <w:tcW w:w="3120" w:type="dxa"/>
            <w:vAlign w:val="bottom"/>
            <w:gridSpan w:val="3"/>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Term Loan (10.60% cash (Libor + 8.50%; Floor</w:t>
            </w:r>
          </w:p>
        </w:tc>
        <w:tc>
          <w:tcPr>
            <w:tcW w:w="1120" w:type="dxa"/>
            <w:vAlign w:val="bottom"/>
            <w:gridSpan w:val="2"/>
            <w:shd w:val="clear" w:color="auto" w:fill="CCEEFF"/>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2,750</w:t>
            </w:r>
          </w:p>
        </w:tc>
        <w:tc>
          <w:tcPr>
            <w:tcW w:w="1120" w:type="dxa"/>
            <w:vAlign w:val="bottom"/>
            <w:gridSpan w:val="2"/>
            <w:shd w:val="clear" w:color="auto" w:fill="CCEEFF"/>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2,718</w:t>
            </w:r>
          </w:p>
        </w:tc>
        <w:tc>
          <w:tcPr>
            <w:tcW w:w="1020" w:type="dxa"/>
            <w:vAlign w:val="bottom"/>
            <w:gridSpan w:val="2"/>
            <w:shd w:val="clear" w:color="auto" w:fill="CCEEFF"/>
          </w:tcPr>
          <w:p>
            <w:pPr>
              <w:jc w:val="right"/>
              <w:ind w:right="100"/>
              <w:spacing w:after="0" w:line="117" w:lineRule="exact"/>
              <w:rPr>
                <w:sz w:val="20"/>
                <w:szCs w:val="20"/>
                <w:color w:val="auto"/>
              </w:rPr>
            </w:pPr>
            <w:r>
              <w:rPr>
                <w:rFonts w:ascii="Times New Roman" w:cs="Times New Roman" w:eastAsia="Times New Roman" w:hAnsi="Times New Roman"/>
                <w:sz w:val="13"/>
                <w:szCs w:val="13"/>
                <w:color w:val="auto"/>
              </w:rPr>
              <w:t>2,718</w:t>
            </w:r>
          </w:p>
        </w:tc>
      </w:tr>
      <w:tr>
        <w:trPr>
          <w:trHeight w:val="153"/>
        </w:trPr>
        <w:tc>
          <w:tcPr>
            <w:tcW w:w="3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31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10.50%), 3.50% ETP, Due 7/1/22)</w:t>
            </w:r>
          </w:p>
        </w:tc>
        <w:tc>
          <w:tcPr>
            <w:tcW w:w="9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17"/>
        </w:trPr>
        <w:tc>
          <w:tcPr>
            <w:tcW w:w="3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3120" w:type="dxa"/>
            <w:vAlign w:val="bottom"/>
            <w:gridSpan w:val="3"/>
          </w:tcPr>
          <w:p>
            <w:pPr>
              <w:ind w:left="120"/>
              <w:spacing w:after="0" w:line="117" w:lineRule="exact"/>
              <w:rPr>
                <w:sz w:val="20"/>
                <w:szCs w:val="20"/>
                <w:color w:val="auto"/>
              </w:rPr>
            </w:pPr>
            <w:r>
              <w:rPr>
                <w:rFonts w:ascii="Times New Roman" w:cs="Times New Roman" w:eastAsia="Times New Roman" w:hAnsi="Times New Roman"/>
                <w:sz w:val="13"/>
                <w:szCs w:val="13"/>
                <w:color w:val="auto"/>
              </w:rPr>
              <w:t>Term Loan (10.60% cash (Libor + 8.50%; Floor</w:t>
            </w:r>
          </w:p>
        </w:tc>
        <w:tc>
          <w:tcPr>
            <w:tcW w:w="1120" w:type="dxa"/>
            <w:vAlign w:val="bottom"/>
            <w:gridSpan w:val="2"/>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1,000</w:t>
            </w:r>
          </w:p>
        </w:tc>
        <w:tc>
          <w:tcPr>
            <w:tcW w:w="1120" w:type="dxa"/>
            <w:vAlign w:val="bottom"/>
            <w:gridSpan w:val="2"/>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986</w:t>
            </w:r>
          </w:p>
        </w:tc>
        <w:tc>
          <w:tcPr>
            <w:tcW w:w="1020" w:type="dxa"/>
            <w:vAlign w:val="bottom"/>
            <w:gridSpan w:val="2"/>
          </w:tcPr>
          <w:p>
            <w:pPr>
              <w:jc w:val="right"/>
              <w:ind w:right="100"/>
              <w:spacing w:after="0" w:line="117" w:lineRule="exact"/>
              <w:rPr>
                <w:sz w:val="20"/>
                <w:szCs w:val="20"/>
                <w:color w:val="auto"/>
              </w:rPr>
            </w:pPr>
            <w:r>
              <w:rPr>
                <w:rFonts w:ascii="Times New Roman" w:cs="Times New Roman" w:eastAsia="Times New Roman" w:hAnsi="Times New Roman"/>
                <w:sz w:val="13"/>
                <w:szCs w:val="13"/>
                <w:color w:val="auto"/>
              </w:rPr>
              <w:t>986</w:t>
            </w:r>
          </w:p>
        </w:tc>
      </w:tr>
      <w:tr>
        <w:trPr>
          <w:trHeight w:val="153"/>
        </w:trPr>
        <w:tc>
          <w:tcPr>
            <w:tcW w:w="3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12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10.50%), 3.50% ETP, Due 2/1/23)</w:t>
            </w: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17"/>
        </w:trPr>
        <w:tc>
          <w:tcPr>
            <w:tcW w:w="3900" w:type="dxa"/>
            <w:vAlign w:val="bottom"/>
            <w:gridSpan w:val="2"/>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SIGNiX, Inc. (12)</w:t>
            </w:r>
          </w:p>
        </w:tc>
        <w:tc>
          <w:tcPr>
            <w:tcW w:w="114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Software</w:t>
            </w:r>
          </w:p>
        </w:tc>
        <w:tc>
          <w:tcPr>
            <w:tcW w:w="3120" w:type="dxa"/>
            <w:vAlign w:val="bottom"/>
            <w:gridSpan w:val="3"/>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Term Loan (13.10% cash (Libor + 11.00%; Floor</w:t>
            </w:r>
          </w:p>
        </w:tc>
        <w:tc>
          <w:tcPr>
            <w:tcW w:w="1120" w:type="dxa"/>
            <w:vAlign w:val="bottom"/>
            <w:gridSpan w:val="2"/>
            <w:shd w:val="clear" w:color="auto" w:fill="CCEEFF"/>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1,554</w:t>
            </w:r>
          </w:p>
        </w:tc>
        <w:tc>
          <w:tcPr>
            <w:tcW w:w="1120" w:type="dxa"/>
            <w:vAlign w:val="bottom"/>
            <w:gridSpan w:val="2"/>
            <w:shd w:val="clear" w:color="auto" w:fill="CCEEFF"/>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1,554</w:t>
            </w:r>
          </w:p>
        </w:tc>
        <w:tc>
          <w:tcPr>
            <w:tcW w:w="1020" w:type="dxa"/>
            <w:vAlign w:val="bottom"/>
            <w:gridSpan w:val="2"/>
            <w:shd w:val="clear" w:color="auto" w:fill="CCEEFF"/>
          </w:tcPr>
          <w:p>
            <w:pPr>
              <w:jc w:val="right"/>
              <w:ind w:right="100"/>
              <w:spacing w:after="0" w:line="117" w:lineRule="exact"/>
              <w:rPr>
                <w:sz w:val="20"/>
                <w:szCs w:val="20"/>
                <w:color w:val="auto"/>
              </w:rPr>
            </w:pPr>
            <w:r>
              <w:rPr>
                <w:rFonts w:ascii="Times New Roman" w:cs="Times New Roman" w:eastAsia="Times New Roman" w:hAnsi="Times New Roman"/>
                <w:sz w:val="13"/>
                <w:szCs w:val="13"/>
                <w:color w:val="auto"/>
              </w:rPr>
              <w:t>1,447</w:t>
            </w:r>
          </w:p>
        </w:tc>
      </w:tr>
      <w:tr>
        <w:trPr>
          <w:trHeight w:val="153"/>
        </w:trPr>
        <w:tc>
          <w:tcPr>
            <w:tcW w:w="3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31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11.50%), 8.67% ETP, Due 2/1/20)</w:t>
            </w:r>
          </w:p>
        </w:tc>
        <w:tc>
          <w:tcPr>
            <w:tcW w:w="9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17"/>
        </w:trPr>
        <w:tc>
          <w:tcPr>
            <w:tcW w:w="3900" w:type="dxa"/>
            <w:vAlign w:val="bottom"/>
            <w:gridSpan w:val="2"/>
          </w:tcPr>
          <w:p>
            <w:pPr>
              <w:spacing w:after="0" w:line="117" w:lineRule="exact"/>
              <w:rPr>
                <w:sz w:val="20"/>
                <w:szCs w:val="20"/>
                <w:color w:val="auto"/>
              </w:rPr>
            </w:pPr>
            <w:r>
              <w:rPr>
                <w:rFonts w:ascii="Times New Roman" w:cs="Times New Roman" w:eastAsia="Times New Roman" w:hAnsi="Times New Roman"/>
                <w:sz w:val="13"/>
                <w:szCs w:val="13"/>
                <w:color w:val="auto"/>
              </w:rPr>
              <w:t>OutboundEngine, Inc. (2)(12)</w:t>
            </w:r>
          </w:p>
        </w:tc>
        <w:tc>
          <w:tcPr>
            <w:tcW w:w="114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Software</w:t>
            </w:r>
          </w:p>
        </w:tc>
        <w:tc>
          <w:tcPr>
            <w:tcW w:w="3120" w:type="dxa"/>
            <w:vAlign w:val="bottom"/>
            <w:gridSpan w:val="3"/>
          </w:tcPr>
          <w:p>
            <w:pPr>
              <w:ind w:left="120"/>
              <w:spacing w:after="0" w:line="117" w:lineRule="exact"/>
              <w:rPr>
                <w:sz w:val="20"/>
                <w:szCs w:val="20"/>
                <w:color w:val="auto"/>
              </w:rPr>
            </w:pPr>
            <w:r>
              <w:rPr>
                <w:rFonts w:ascii="Times New Roman" w:cs="Times New Roman" w:eastAsia="Times New Roman" w:hAnsi="Times New Roman"/>
                <w:sz w:val="13"/>
                <w:szCs w:val="13"/>
                <w:color w:val="auto"/>
              </w:rPr>
              <w:t>Term Loan (11.15% cash (Libor + 8.40%; Floor</w:t>
            </w:r>
          </w:p>
        </w:tc>
        <w:tc>
          <w:tcPr>
            <w:tcW w:w="1120" w:type="dxa"/>
            <w:vAlign w:val="bottom"/>
            <w:gridSpan w:val="2"/>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4,000</w:t>
            </w:r>
          </w:p>
        </w:tc>
        <w:tc>
          <w:tcPr>
            <w:tcW w:w="1120" w:type="dxa"/>
            <w:vAlign w:val="bottom"/>
            <w:gridSpan w:val="2"/>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3,924</w:t>
            </w:r>
          </w:p>
        </w:tc>
        <w:tc>
          <w:tcPr>
            <w:tcW w:w="1020" w:type="dxa"/>
            <w:vAlign w:val="bottom"/>
            <w:gridSpan w:val="2"/>
          </w:tcPr>
          <w:p>
            <w:pPr>
              <w:jc w:val="right"/>
              <w:ind w:right="100"/>
              <w:spacing w:after="0" w:line="117" w:lineRule="exact"/>
              <w:rPr>
                <w:sz w:val="20"/>
                <w:szCs w:val="20"/>
                <w:color w:val="auto"/>
              </w:rPr>
            </w:pPr>
            <w:r>
              <w:rPr>
                <w:rFonts w:ascii="Times New Roman" w:cs="Times New Roman" w:eastAsia="Times New Roman" w:hAnsi="Times New Roman"/>
                <w:sz w:val="13"/>
                <w:szCs w:val="13"/>
                <w:color w:val="auto"/>
              </w:rPr>
              <w:t>3,924</w:t>
            </w:r>
          </w:p>
        </w:tc>
      </w:tr>
      <w:tr>
        <w:trPr>
          <w:trHeight w:val="153"/>
        </w:trPr>
        <w:tc>
          <w:tcPr>
            <w:tcW w:w="3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12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11.15%), 3.00% ETP, Due 7/1/23)</w:t>
            </w: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17"/>
        </w:trPr>
        <w:tc>
          <w:tcPr>
            <w:tcW w:w="3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3120" w:type="dxa"/>
            <w:vAlign w:val="bottom"/>
            <w:gridSpan w:val="3"/>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Term Loan (11.15% cash (Libor + 8.40%; Floor</w:t>
            </w:r>
          </w:p>
        </w:tc>
        <w:tc>
          <w:tcPr>
            <w:tcW w:w="1120" w:type="dxa"/>
            <w:vAlign w:val="bottom"/>
            <w:gridSpan w:val="2"/>
            <w:shd w:val="clear" w:color="auto" w:fill="CCEEFF"/>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4,000</w:t>
            </w:r>
          </w:p>
        </w:tc>
        <w:tc>
          <w:tcPr>
            <w:tcW w:w="1120" w:type="dxa"/>
            <w:vAlign w:val="bottom"/>
            <w:gridSpan w:val="2"/>
            <w:shd w:val="clear" w:color="auto" w:fill="CCEEFF"/>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3,924</w:t>
            </w:r>
          </w:p>
        </w:tc>
        <w:tc>
          <w:tcPr>
            <w:tcW w:w="1020" w:type="dxa"/>
            <w:vAlign w:val="bottom"/>
            <w:gridSpan w:val="2"/>
            <w:shd w:val="clear" w:color="auto" w:fill="CCEEFF"/>
          </w:tcPr>
          <w:p>
            <w:pPr>
              <w:jc w:val="right"/>
              <w:ind w:right="100"/>
              <w:spacing w:after="0" w:line="117" w:lineRule="exact"/>
              <w:rPr>
                <w:sz w:val="20"/>
                <w:szCs w:val="20"/>
                <w:color w:val="auto"/>
              </w:rPr>
            </w:pPr>
            <w:r>
              <w:rPr>
                <w:rFonts w:ascii="Times New Roman" w:cs="Times New Roman" w:eastAsia="Times New Roman" w:hAnsi="Times New Roman"/>
                <w:sz w:val="13"/>
                <w:szCs w:val="13"/>
                <w:color w:val="auto"/>
              </w:rPr>
              <w:t>3,924</w:t>
            </w:r>
          </w:p>
        </w:tc>
      </w:tr>
      <w:tr>
        <w:trPr>
          <w:trHeight w:val="153"/>
        </w:trPr>
        <w:tc>
          <w:tcPr>
            <w:tcW w:w="3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31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11.15%), 3.00% ETP, Due 7/1/23)</w:t>
            </w:r>
          </w:p>
        </w:tc>
        <w:tc>
          <w:tcPr>
            <w:tcW w:w="9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17"/>
        </w:trPr>
        <w:tc>
          <w:tcPr>
            <w:tcW w:w="3900" w:type="dxa"/>
            <w:vAlign w:val="bottom"/>
            <w:gridSpan w:val="2"/>
          </w:tcPr>
          <w:p>
            <w:pPr>
              <w:spacing w:after="0" w:line="117" w:lineRule="exact"/>
              <w:rPr>
                <w:sz w:val="20"/>
                <w:szCs w:val="20"/>
                <w:color w:val="auto"/>
              </w:rPr>
            </w:pPr>
            <w:r>
              <w:rPr>
                <w:rFonts w:ascii="Times New Roman" w:cs="Times New Roman" w:eastAsia="Times New Roman" w:hAnsi="Times New Roman"/>
                <w:sz w:val="13"/>
                <w:szCs w:val="13"/>
                <w:color w:val="auto"/>
              </w:rPr>
              <w:t>Revinate, Inc. (2)(12)</w:t>
            </w:r>
          </w:p>
        </w:tc>
        <w:tc>
          <w:tcPr>
            <w:tcW w:w="114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Software</w:t>
            </w:r>
          </w:p>
        </w:tc>
        <w:tc>
          <w:tcPr>
            <w:tcW w:w="3120" w:type="dxa"/>
            <w:vAlign w:val="bottom"/>
            <w:gridSpan w:val="3"/>
          </w:tcPr>
          <w:p>
            <w:pPr>
              <w:ind w:left="120"/>
              <w:spacing w:after="0" w:line="117" w:lineRule="exact"/>
              <w:rPr>
                <w:sz w:val="20"/>
                <w:szCs w:val="20"/>
                <w:color w:val="auto"/>
              </w:rPr>
            </w:pPr>
            <w:r>
              <w:rPr>
                <w:rFonts w:ascii="Times New Roman" w:cs="Times New Roman" w:eastAsia="Times New Roman" w:hAnsi="Times New Roman"/>
                <w:sz w:val="13"/>
                <w:szCs w:val="13"/>
                <w:color w:val="auto"/>
              </w:rPr>
              <w:t>Term Loan (9.50% cash (Libor + 7.00%; Floor 9.50%),</w:t>
            </w:r>
          </w:p>
        </w:tc>
        <w:tc>
          <w:tcPr>
            <w:tcW w:w="1120" w:type="dxa"/>
            <w:vAlign w:val="bottom"/>
            <w:gridSpan w:val="2"/>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1,000</w:t>
            </w:r>
          </w:p>
        </w:tc>
        <w:tc>
          <w:tcPr>
            <w:tcW w:w="1120" w:type="dxa"/>
            <w:vAlign w:val="bottom"/>
            <w:gridSpan w:val="2"/>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866</w:t>
            </w:r>
          </w:p>
        </w:tc>
        <w:tc>
          <w:tcPr>
            <w:tcW w:w="1020" w:type="dxa"/>
            <w:vAlign w:val="bottom"/>
            <w:gridSpan w:val="2"/>
          </w:tcPr>
          <w:p>
            <w:pPr>
              <w:jc w:val="right"/>
              <w:ind w:right="100"/>
              <w:spacing w:after="0" w:line="117" w:lineRule="exact"/>
              <w:rPr>
                <w:sz w:val="20"/>
                <w:szCs w:val="20"/>
                <w:color w:val="auto"/>
              </w:rPr>
            </w:pPr>
            <w:r>
              <w:rPr>
                <w:rFonts w:ascii="Times New Roman" w:cs="Times New Roman" w:eastAsia="Times New Roman" w:hAnsi="Times New Roman"/>
                <w:sz w:val="13"/>
                <w:szCs w:val="13"/>
                <w:color w:val="auto"/>
              </w:rPr>
              <w:t>866</w:t>
            </w:r>
          </w:p>
        </w:tc>
      </w:tr>
      <w:tr>
        <w:trPr>
          <w:trHeight w:val="153"/>
        </w:trPr>
        <w:tc>
          <w:tcPr>
            <w:tcW w:w="3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12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4.00% ETP, Due 6/1/23)</w:t>
            </w: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17"/>
        </w:trPr>
        <w:tc>
          <w:tcPr>
            <w:tcW w:w="3900" w:type="dxa"/>
            <w:vAlign w:val="bottom"/>
            <w:gridSpan w:val="2"/>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xAd, Inc. (2)(12)</w:t>
            </w:r>
          </w:p>
        </w:tc>
        <w:tc>
          <w:tcPr>
            <w:tcW w:w="114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Software</w:t>
            </w:r>
          </w:p>
        </w:tc>
        <w:tc>
          <w:tcPr>
            <w:tcW w:w="3120" w:type="dxa"/>
            <w:vAlign w:val="bottom"/>
            <w:gridSpan w:val="3"/>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Term Loan (10.80% cash (Libor + 8.70%; Floor</w:t>
            </w:r>
          </w:p>
        </w:tc>
        <w:tc>
          <w:tcPr>
            <w:tcW w:w="1120" w:type="dxa"/>
            <w:vAlign w:val="bottom"/>
            <w:gridSpan w:val="2"/>
            <w:shd w:val="clear" w:color="auto" w:fill="CCEEFF"/>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5,000</w:t>
            </w:r>
          </w:p>
        </w:tc>
        <w:tc>
          <w:tcPr>
            <w:tcW w:w="1120" w:type="dxa"/>
            <w:vAlign w:val="bottom"/>
            <w:gridSpan w:val="2"/>
            <w:shd w:val="clear" w:color="auto" w:fill="CCEEFF"/>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4,943</w:t>
            </w:r>
          </w:p>
        </w:tc>
        <w:tc>
          <w:tcPr>
            <w:tcW w:w="1020" w:type="dxa"/>
            <w:vAlign w:val="bottom"/>
            <w:gridSpan w:val="2"/>
            <w:shd w:val="clear" w:color="auto" w:fill="CCEEFF"/>
          </w:tcPr>
          <w:p>
            <w:pPr>
              <w:jc w:val="right"/>
              <w:ind w:right="100"/>
              <w:spacing w:after="0" w:line="117" w:lineRule="exact"/>
              <w:rPr>
                <w:sz w:val="20"/>
                <w:szCs w:val="20"/>
                <w:color w:val="auto"/>
              </w:rPr>
            </w:pPr>
            <w:r>
              <w:rPr>
                <w:rFonts w:ascii="Times New Roman" w:cs="Times New Roman" w:eastAsia="Times New Roman" w:hAnsi="Times New Roman"/>
                <w:sz w:val="13"/>
                <w:szCs w:val="13"/>
                <w:color w:val="auto"/>
              </w:rPr>
              <w:t>4,943</w:t>
            </w:r>
          </w:p>
        </w:tc>
      </w:tr>
      <w:tr>
        <w:trPr>
          <w:trHeight w:val="153"/>
        </w:trPr>
        <w:tc>
          <w:tcPr>
            <w:tcW w:w="3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31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10.00%), 4.75% ETP, Due 11/1/21)</w:t>
            </w:r>
          </w:p>
        </w:tc>
        <w:tc>
          <w:tcPr>
            <w:tcW w:w="9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17"/>
        </w:trPr>
        <w:tc>
          <w:tcPr>
            <w:tcW w:w="3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3120" w:type="dxa"/>
            <w:vAlign w:val="bottom"/>
            <w:gridSpan w:val="3"/>
          </w:tcPr>
          <w:p>
            <w:pPr>
              <w:ind w:left="120"/>
              <w:spacing w:after="0" w:line="117" w:lineRule="exact"/>
              <w:rPr>
                <w:sz w:val="20"/>
                <w:szCs w:val="20"/>
                <w:color w:val="auto"/>
              </w:rPr>
            </w:pPr>
            <w:r>
              <w:rPr>
                <w:rFonts w:ascii="Times New Roman" w:cs="Times New Roman" w:eastAsia="Times New Roman" w:hAnsi="Times New Roman"/>
                <w:sz w:val="13"/>
                <w:szCs w:val="13"/>
                <w:color w:val="auto"/>
              </w:rPr>
              <w:t>Term Loan (10.80% cash (Libor + 8.70%; Floor</w:t>
            </w:r>
          </w:p>
        </w:tc>
        <w:tc>
          <w:tcPr>
            <w:tcW w:w="1120" w:type="dxa"/>
            <w:vAlign w:val="bottom"/>
            <w:gridSpan w:val="2"/>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5,000</w:t>
            </w:r>
          </w:p>
        </w:tc>
        <w:tc>
          <w:tcPr>
            <w:tcW w:w="1120" w:type="dxa"/>
            <w:vAlign w:val="bottom"/>
            <w:gridSpan w:val="2"/>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4,943</w:t>
            </w:r>
          </w:p>
        </w:tc>
        <w:tc>
          <w:tcPr>
            <w:tcW w:w="1020" w:type="dxa"/>
            <w:vAlign w:val="bottom"/>
            <w:gridSpan w:val="2"/>
          </w:tcPr>
          <w:p>
            <w:pPr>
              <w:jc w:val="right"/>
              <w:ind w:right="100"/>
              <w:spacing w:after="0" w:line="117" w:lineRule="exact"/>
              <w:rPr>
                <w:sz w:val="20"/>
                <w:szCs w:val="20"/>
                <w:color w:val="auto"/>
              </w:rPr>
            </w:pPr>
            <w:r>
              <w:rPr>
                <w:rFonts w:ascii="Times New Roman" w:cs="Times New Roman" w:eastAsia="Times New Roman" w:hAnsi="Times New Roman"/>
                <w:sz w:val="13"/>
                <w:szCs w:val="13"/>
                <w:color w:val="auto"/>
              </w:rPr>
              <w:t>4,943</w:t>
            </w:r>
          </w:p>
        </w:tc>
      </w:tr>
      <w:tr>
        <w:trPr>
          <w:trHeight w:val="153"/>
        </w:trPr>
        <w:tc>
          <w:tcPr>
            <w:tcW w:w="3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12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10.00%), 4.75% ETP, Due 11/1/21)</w:t>
            </w: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17"/>
        </w:trPr>
        <w:tc>
          <w:tcPr>
            <w:tcW w:w="3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3120" w:type="dxa"/>
            <w:vAlign w:val="bottom"/>
            <w:gridSpan w:val="3"/>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Term Loan (10.80% cash (Libor + 8.70%; Floor</w:t>
            </w:r>
          </w:p>
        </w:tc>
        <w:tc>
          <w:tcPr>
            <w:tcW w:w="1120" w:type="dxa"/>
            <w:vAlign w:val="bottom"/>
            <w:gridSpan w:val="2"/>
            <w:shd w:val="clear" w:color="auto" w:fill="CCEEFF"/>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3,000</w:t>
            </w:r>
          </w:p>
        </w:tc>
        <w:tc>
          <w:tcPr>
            <w:tcW w:w="1120" w:type="dxa"/>
            <w:vAlign w:val="bottom"/>
            <w:gridSpan w:val="2"/>
            <w:shd w:val="clear" w:color="auto" w:fill="CCEEFF"/>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2,966</w:t>
            </w:r>
          </w:p>
        </w:tc>
        <w:tc>
          <w:tcPr>
            <w:tcW w:w="1020" w:type="dxa"/>
            <w:vAlign w:val="bottom"/>
            <w:gridSpan w:val="2"/>
            <w:shd w:val="clear" w:color="auto" w:fill="CCEEFF"/>
          </w:tcPr>
          <w:p>
            <w:pPr>
              <w:jc w:val="right"/>
              <w:ind w:right="100"/>
              <w:spacing w:after="0" w:line="117" w:lineRule="exact"/>
              <w:rPr>
                <w:sz w:val="20"/>
                <w:szCs w:val="20"/>
                <w:color w:val="auto"/>
              </w:rPr>
            </w:pPr>
            <w:r>
              <w:rPr>
                <w:rFonts w:ascii="Times New Roman" w:cs="Times New Roman" w:eastAsia="Times New Roman" w:hAnsi="Times New Roman"/>
                <w:sz w:val="13"/>
                <w:szCs w:val="13"/>
                <w:color w:val="auto"/>
              </w:rPr>
              <w:t>2,966</w:t>
            </w:r>
          </w:p>
        </w:tc>
      </w:tr>
      <w:tr>
        <w:trPr>
          <w:trHeight w:val="153"/>
        </w:trPr>
        <w:tc>
          <w:tcPr>
            <w:tcW w:w="3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31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10.00%), 4.75% ETP, Due 11/1/21)</w:t>
            </w:r>
          </w:p>
        </w:tc>
        <w:tc>
          <w:tcPr>
            <w:tcW w:w="9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Schedule of Investments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2019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Principal</w:t>
            </w: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Cost of</w:t>
            </w: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Fair</w:t>
            </w:r>
          </w:p>
        </w:tc>
      </w:tr>
      <w:tr>
        <w:trPr>
          <w:trHeight w:val="155"/>
        </w:trPr>
        <w:tc>
          <w:tcPr>
            <w:tcW w:w="39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Portfolio Company (1)(3)</w:t>
            </w:r>
          </w:p>
        </w:tc>
        <w:tc>
          <w:tcPr>
            <w:tcW w:w="1140" w:type="dxa"/>
            <w:vAlign w:val="bottom"/>
          </w:tcPr>
          <w:p>
            <w:pPr>
              <w:ind w:left="400"/>
              <w:spacing w:after="0"/>
              <w:rPr>
                <w:sz w:val="20"/>
                <w:szCs w:val="20"/>
                <w:color w:val="auto"/>
              </w:rPr>
            </w:pPr>
            <w:r>
              <w:rPr>
                <w:rFonts w:ascii="Times New Roman" w:cs="Times New Roman" w:eastAsia="Times New Roman" w:hAnsi="Times New Roman"/>
                <w:sz w:val="13"/>
                <w:szCs w:val="13"/>
                <w:b w:val="1"/>
                <w:bCs w:val="1"/>
                <w:color w:val="auto"/>
              </w:rPr>
              <w:t>Sector</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40" w:type="dxa"/>
            <w:vAlign w:val="bottom"/>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Type of Investment (4)(7)(9)(10)</w:t>
            </w: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8"/>
              </w:rPr>
              <w:t>Investments (6)</w:t>
            </w: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Value</w:t>
            </w:r>
          </w:p>
        </w:tc>
      </w:tr>
      <w:tr>
        <w:trPr>
          <w:trHeight w:val="110"/>
        </w:trPr>
        <w:tc>
          <w:tcPr>
            <w:tcW w:w="378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14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2880" w:type="dxa"/>
            <w:vAlign w:val="bottom"/>
            <w:tcBorders>
              <w:top w:val="single" w:sz="8" w:color="auto"/>
            </w:tcBorders>
            <w:gridSpan w:val="2"/>
            <w:shd w:val="clear" w:color="auto" w:fill="CCEEFF"/>
          </w:tcPr>
          <w:p>
            <w:pPr>
              <w:spacing w:after="0" w:line="110" w:lineRule="exact"/>
              <w:rPr>
                <w:sz w:val="20"/>
                <w:szCs w:val="20"/>
                <w:color w:val="auto"/>
              </w:rPr>
            </w:pPr>
            <w:r>
              <w:rPr>
                <w:rFonts w:ascii="Times New Roman" w:cs="Times New Roman" w:eastAsia="Times New Roman" w:hAnsi="Times New Roman"/>
                <w:sz w:val="12"/>
                <w:szCs w:val="12"/>
                <w:color w:val="auto"/>
              </w:rPr>
              <w:t>Term Loan (10.80% cash (Libor + 8.70%; Floor</w:t>
            </w:r>
          </w:p>
        </w:tc>
        <w:tc>
          <w:tcPr>
            <w:tcW w:w="120" w:type="dxa"/>
            <w:vAlign w:val="bottom"/>
            <w:tcBorders>
              <w:top w:val="single" w:sz="8" w:color="CCEEFF"/>
            </w:tcBorders>
            <w:shd w:val="clear" w:color="auto" w:fill="CCEEFF"/>
          </w:tcPr>
          <w:p>
            <w:pPr>
              <w:spacing w:after="0"/>
              <w:rPr>
                <w:sz w:val="9"/>
                <w:szCs w:val="9"/>
                <w:color w:val="auto"/>
              </w:rPr>
            </w:pPr>
          </w:p>
        </w:tc>
        <w:tc>
          <w:tcPr>
            <w:tcW w:w="920" w:type="dxa"/>
            <w:vAlign w:val="bottom"/>
            <w:tcBorders>
              <w:top w:val="single" w:sz="8" w:color="auto"/>
            </w:tcBorders>
            <w:shd w:val="clear" w:color="auto" w:fill="CCEEFF"/>
          </w:tcPr>
          <w:p>
            <w:pPr>
              <w:jc w:val="right"/>
              <w:spacing w:after="0" w:line="110" w:lineRule="exact"/>
              <w:rPr>
                <w:sz w:val="20"/>
                <w:szCs w:val="20"/>
                <w:color w:val="auto"/>
              </w:rPr>
            </w:pPr>
            <w:r>
              <w:rPr>
                <w:rFonts w:ascii="Times New Roman" w:cs="Times New Roman" w:eastAsia="Times New Roman" w:hAnsi="Times New Roman"/>
                <w:sz w:val="12"/>
                <w:szCs w:val="12"/>
                <w:color w:val="auto"/>
              </w:rPr>
              <w:t>2,000</w:t>
            </w:r>
          </w:p>
        </w:tc>
        <w:tc>
          <w:tcPr>
            <w:tcW w:w="200" w:type="dxa"/>
            <w:vAlign w:val="bottom"/>
            <w:tcBorders>
              <w:top w:val="single" w:sz="8" w:color="CCEEFF"/>
            </w:tcBorders>
            <w:shd w:val="clear" w:color="auto" w:fill="CCEEFF"/>
          </w:tcPr>
          <w:p>
            <w:pPr>
              <w:spacing w:after="0"/>
              <w:rPr>
                <w:sz w:val="9"/>
                <w:szCs w:val="9"/>
                <w:color w:val="auto"/>
              </w:rPr>
            </w:pPr>
          </w:p>
        </w:tc>
        <w:tc>
          <w:tcPr>
            <w:tcW w:w="920" w:type="dxa"/>
            <w:vAlign w:val="bottom"/>
            <w:tcBorders>
              <w:top w:val="single" w:sz="8" w:color="auto"/>
            </w:tcBorders>
            <w:shd w:val="clear" w:color="auto" w:fill="CCEEFF"/>
          </w:tcPr>
          <w:p>
            <w:pPr>
              <w:jc w:val="right"/>
              <w:spacing w:after="0" w:line="110" w:lineRule="exact"/>
              <w:rPr>
                <w:sz w:val="20"/>
                <w:szCs w:val="20"/>
                <w:color w:val="auto"/>
              </w:rPr>
            </w:pPr>
            <w:r>
              <w:rPr>
                <w:rFonts w:ascii="Times New Roman" w:cs="Times New Roman" w:eastAsia="Times New Roman" w:hAnsi="Times New Roman"/>
                <w:sz w:val="12"/>
                <w:szCs w:val="12"/>
                <w:color w:val="auto"/>
              </w:rPr>
              <w:t>1,977</w:t>
            </w:r>
          </w:p>
        </w:tc>
        <w:tc>
          <w:tcPr>
            <w:tcW w:w="200" w:type="dxa"/>
            <w:vAlign w:val="bottom"/>
            <w:tcBorders>
              <w:top w:val="single" w:sz="8" w:color="CCEEFF"/>
            </w:tcBorders>
            <w:shd w:val="clear" w:color="auto" w:fill="CCEEFF"/>
          </w:tcPr>
          <w:p>
            <w:pPr>
              <w:spacing w:after="0"/>
              <w:rPr>
                <w:sz w:val="9"/>
                <w:szCs w:val="9"/>
                <w:color w:val="auto"/>
              </w:rPr>
            </w:pPr>
          </w:p>
        </w:tc>
        <w:tc>
          <w:tcPr>
            <w:tcW w:w="920" w:type="dxa"/>
            <w:vAlign w:val="bottom"/>
            <w:tcBorders>
              <w:top w:val="single" w:sz="8" w:color="auto"/>
            </w:tcBorders>
            <w:shd w:val="clear" w:color="auto" w:fill="CCEEFF"/>
          </w:tcPr>
          <w:p>
            <w:pPr>
              <w:jc w:val="right"/>
              <w:spacing w:after="0" w:line="110" w:lineRule="exact"/>
              <w:rPr>
                <w:sz w:val="20"/>
                <w:szCs w:val="20"/>
                <w:color w:val="auto"/>
              </w:rPr>
            </w:pPr>
            <w:r>
              <w:rPr>
                <w:rFonts w:ascii="Times New Roman" w:cs="Times New Roman" w:eastAsia="Times New Roman" w:hAnsi="Times New Roman"/>
                <w:sz w:val="12"/>
                <w:szCs w:val="12"/>
                <w:color w:val="auto"/>
              </w:rPr>
              <w:t>1,977</w:t>
            </w:r>
          </w:p>
        </w:tc>
        <w:tc>
          <w:tcPr>
            <w:tcW w:w="100" w:type="dxa"/>
            <w:vAlign w:val="bottom"/>
            <w:tcBorders>
              <w:top w:val="single" w:sz="8" w:color="CCEEFF"/>
            </w:tcBorders>
            <w:shd w:val="clear" w:color="auto" w:fill="CCEEFF"/>
          </w:tcPr>
          <w:p>
            <w:pPr>
              <w:spacing w:after="0"/>
              <w:rPr>
                <w:sz w:val="9"/>
                <w:szCs w:val="9"/>
                <w:color w:val="auto"/>
              </w:rPr>
            </w:pPr>
          </w:p>
        </w:tc>
      </w:tr>
      <w:tr>
        <w:trPr>
          <w:trHeight w:val="167"/>
        </w:trPr>
        <w:tc>
          <w:tcPr>
            <w:tcW w:w="3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312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10.00%), 4.75% ETP, Due 11/1/21)</w:t>
            </w:r>
          </w:p>
        </w:tc>
        <w:tc>
          <w:tcPr>
            <w:tcW w:w="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29"/>
        </w:trPr>
        <w:tc>
          <w:tcPr>
            <w:tcW w:w="378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14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360" w:type="dxa"/>
            <w:vAlign w:val="bottom"/>
            <w:tcBorders>
              <w:bottom w:val="single" w:sz="8" w:color="CCEEFF"/>
            </w:tcBorders>
          </w:tcPr>
          <w:p>
            <w:pPr>
              <w:spacing w:after="0"/>
              <w:rPr>
                <w:sz w:val="11"/>
                <w:szCs w:val="11"/>
                <w:color w:val="auto"/>
              </w:rPr>
            </w:pPr>
          </w:p>
        </w:tc>
        <w:tc>
          <w:tcPr>
            <w:tcW w:w="252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920" w:type="dxa"/>
            <w:vAlign w:val="bottom"/>
            <w:tcBorders>
              <w:bottom w:val="single" w:sz="8" w:color="CCEEFF"/>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9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122,390</w:t>
            </w:r>
          </w:p>
        </w:tc>
        <w:tc>
          <w:tcPr>
            <w:tcW w:w="200" w:type="dxa"/>
            <w:vAlign w:val="bottom"/>
            <w:tcBorders>
              <w:bottom w:val="single" w:sz="8" w:color="CCEEFF"/>
            </w:tcBorders>
          </w:tcPr>
          <w:p>
            <w:pPr>
              <w:spacing w:after="0"/>
              <w:rPr>
                <w:sz w:val="11"/>
                <w:szCs w:val="11"/>
                <w:color w:val="auto"/>
              </w:rPr>
            </w:pPr>
          </w:p>
        </w:tc>
        <w:tc>
          <w:tcPr>
            <w:tcW w:w="9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120,096</w:t>
            </w:r>
          </w:p>
        </w:tc>
        <w:tc>
          <w:tcPr>
            <w:tcW w:w="100" w:type="dxa"/>
            <w:vAlign w:val="bottom"/>
            <w:tcBorders>
              <w:bottom w:val="single" w:sz="8" w:color="CCEEFF"/>
            </w:tcBorders>
          </w:tcPr>
          <w:p>
            <w:pPr>
              <w:spacing w:after="0"/>
              <w:rPr>
                <w:sz w:val="11"/>
                <w:szCs w:val="11"/>
                <w:color w:val="auto"/>
              </w:rPr>
            </w:pPr>
          </w:p>
        </w:tc>
      </w:tr>
      <w:tr>
        <w:trPr>
          <w:trHeight w:val="129"/>
        </w:trPr>
        <w:tc>
          <w:tcPr>
            <w:tcW w:w="3900" w:type="dxa"/>
            <w:vAlign w:val="bottom"/>
            <w:gridSpan w:val="2"/>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Total Non-Affiliate Debt Investments — Technology</w:t>
            </w: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15"/>
        </w:trPr>
        <w:tc>
          <w:tcPr>
            <w:tcW w:w="3900" w:type="dxa"/>
            <w:vAlign w:val="bottom"/>
            <w:gridSpan w:val="2"/>
          </w:tcPr>
          <w:p>
            <w:pPr>
              <w:spacing w:after="0" w:line="115" w:lineRule="exact"/>
              <w:rPr>
                <w:sz w:val="20"/>
                <w:szCs w:val="20"/>
                <w:color w:val="auto"/>
              </w:rPr>
            </w:pPr>
            <w:r>
              <w:rPr>
                <w:rFonts w:ascii="Times New Roman" w:cs="Times New Roman" w:eastAsia="Times New Roman" w:hAnsi="Times New Roman"/>
                <w:sz w:val="13"/>
                <w:szCs w:val="13"/>
                <w:b w:val="1"/>
                <w:bCs w:val="1"/>
                <w:color w:val="auto"/>
              </w:rPr>
              <w:t>Non-Affiliate Debt Investments — Healthcare information and</w:t>
            </w: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55"/>
        </w:trPr>
        <w:tc>
          <w:tcPr>
            <w:tcW w:w="390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services — 8.9% (8)</w:t>
            </w: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17"/>
        </w:trPr>
        <w:tc>
          <w:tcPr>
            <w:tcW w:w="3900" w:type="dxa"/>
            <w:vAlign w:val="bottom"/>
            <w:gridSpan w:val="2"/>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HealthEdge Software, Inc. (2)(12)</w:t>
            </w:r>
          </w:p>
        </w:tc>
        <w:tc>
          <w:tcPr>
            <w:tcW w:w="114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Software</w:t>
            </w:r>
          </w:p>
        </w:tc>
        <w:tc>
          <w:tcPr>
            <w:tcW w:w="3120" w:type="dxa"/>
            <w:vAlign w:val="bottom"/>
            <w:gridSpan w:val="4"/>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Term Loan (10.35% cash (Libor + 8.25%; Floor 9.25%),</w:t>
            </w:r>
          </w:p>
        </w:tc>
        <w:tc>
          <w:tcPr>
            <w:tcW w:w="1120" w:type="dxa"/>
            <w:vAlign w:val="bottom"/>
            <w:gridSpan w:val="2"/>
            <w:shd w:val="clear" w:color="auto" w:fill="CCEEFF"/>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4,048</w:t>
            </w:r>
          </w:p>
        </w:tc>
        <w:tc>
          <w:tcPr>
            <w:tcW w:w="1120" w:type="dxa"/>
            <w:vAlign w:val="bottom"/>
            <w:gridSpan w:val="2"/>
            <w:shd w:val="clear" w:color="auto" w:fill="CCEEFF"/>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4,006</w:t>
            </w:r>
          </w:p>
        </w:tc>
        <w:tc>
          <w:tcPr>
            <w:tcW w:w="1020" w:type="dxa"/>
            <w:vAlign w:val="bottom"/>
            <w:gridSpan w:val="2"/>
            <w:shd w:val="clear" w:color="auto" w:fill="CCEEFF"/>
          </w:tcPr>
          <w:p>
            <w:pPr>
              <w:jc w:val="right"/>
              <w:ind w:right="100"/>
              <w:spacing w:after="0" w:line="117" w:lineRule="exact"/>
              <w:rPr>
                <w:sz w:val="20"/>
                <w:szCs w:val="20"/>
                <w:color w:val="auto"/>
              </w:rPr>
            </w:pPr>
            <w:r>
              <w:rPr>
                <w:rFonts w:ascii="Times New Roman" w:cs="Times New Roman" w:eastAsia="Times New Roman" w:hAnsi="Times New Roman"/>
                <w:sz w:val="13"/>
                <w:szCs w:val="13"/>
                <w:color w:val="auto"/>
              </w:rPr>
              <w:t>4,006</w:t>
            </w:r>
          </w:p>
        </w:tc>
      </w:tr>
      <w:tr>
        <w:trPr>
          <w:trHeight w:val="153"/>
        </w:trPr>
        <w:tc>
          <w:tcPr>
            <w:tcW w:w="3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3.00%</w:t>
            </w:r>
          </w:p>
        </w:tc>
        <w:tc>
          <w:tcPr>
            <w:tcW w:w="26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ETP, Due 7/1/22)</w:t>
            </w:r>
          </w:p>
        </w:tc>
        <w:tc>
          <w:tcPr>
            <w:tcW w:w="9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17"/>
        </w:trPr>
        <w:tc>
          <w:tcPr>
            <w:tcW w:w="3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3120" w:type="dxa"/>
            <w:vAlign w:val="bottom"/>
            <w:gridSpan w:val="4"/>
          </w:tcPr>
          <w:p>
            <w:pPr>
              <w:ind w:left="120"/>
              <w:spacing w:after="0" w:line="117" w:lineRule="exact"/>
              <w:rPr>
                <w:sz w:val="20"/>
                <w:szCs w:val="20"/>
                <w:color w:val="auto"/>
              </w:rPr>
            </w:pPr>
            <w:r>
              <w:rPr>
                <w:rFonts w:ascii="Times New Roman" w:cs="Times New Roman" w:eastAsia="Times New Roman" w:hAnsi="Times New Roman"/>
                <w:sz w:val="13"/>
                <w:szCs w:val="13"/>
                <w:color w:val="auto"/>
              </w:rPr>
              <w:t>Term Loan (10.35% cash (Libor + 8.25%; Floor 9.25%),</w:t>
            </w:r>
          </w:p>
        </w:tc>
        <w:tc>
          <w:tcPr>
            <w:tcW w:w="1120" w:type="dxa"/>
            <w:vAlign w:val="bottom"/>
            <w:gridSpan w:val="2"/>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3,571</w:t>
            </w:r>
          </w:p>
        </w:tc>
        <w:tc>
          <w:tcPr>
            <w:tcW w:w="1120" w:type="dxa"/>
            <w:vAlign w:val="bottom"/>
            <w:gridSpan w:val="2"/>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3,534</w:t>
            </w:r>
          </w:p>
        </w:tc>
        <w:tc>
          <w:tcPr>
            <w:tcW w:w="1020" w:type="dxa"/>
            <w:vAlign w:val="bottom"/>
            <w:gridSpan w:val="2"/>
          </w:tcPr>
          <w:p>
            <w:pPr>
              <w:jc w:val="right"/>
              <w:ind w:right="100"/>
              <w:spacing w:after="0" w:line="117" w:lineRule="exact"/>
              <w:rPr>
                <w:sz w:val="20"/>
                <w:szCs w:val="20"/>
                <w:color w:val="auto"/>
              </w:rPr>
            </w:pPr>
            <w:r>
              <w:rPr>
                <w:rFonts w:ascii="Times New Roman" w:cs="Times New Roman" w:eastAsia="Times New Roman" w:hAnsi="Times New Roman"/>
                <w:sz w:val="13"/>
                <w:szCs w:val="13"/>
                <w:color w:val="auto"/>
              </w:rPr>
              <w:t>3,534</w:t>
            </w:r>
          </w:p>
        </w:tc>
      </w:tr>
      <w:tr>
        <w:trPr>
          <w:trHeight w:val="153"/>
        </w:trPr>
        <w:tc>
          <w:tcPr>
            <w:tcW w:w="3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3.00%</w:t>
            </w:r>
          </w:p>
        </w:tc>
        <w:tc>
          <w:tcPr>
            <w:tcW w:w="264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ETP, Due 1/1/23)</w:t>
            </w: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17"/>
        </w:trPr>
        <w:tc>
          <w:tcPr>
            <w:tcW w:w="3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3120" w:type="dxa"/>
            <w:vAlign w:val="bottom"/>
            <w:gridSpan w:val="4"/>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Term Loan (10.35% cash (Libor + 8.25%; Floor 9.25%),</w:t>
            </w:r>
          </w:p>
        </w:tc>
        <w:tc>
          <w:tcPr>
            <w:tcW w:w="1120" w:type="dxa"/>
            <w:vAlign w:val="bottom"/>
            <w:gridSpan w:val="2"/>
            <w:shd w:val="clear" w:color="auto" w:fill="CCEEFF"/>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3,750</w:t>
            </w:r>
          </w:p>
        </w:tc>
        <w:tc>
          <w:tcPr>
            <w:tcW w:w="1120" w:type="dxa"/>
            <w:vAlign w:val="bottom"/>
            <w:gridSpan w:val="2"/>
            <w:shd w:val="clear" w:color="auto" w:fill="CCEEFF"/>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3,709</w:t>
            </w:r>
          </w:p>
        </w:tc>
        <w:tc>
          <w:tcPr>
            <w:tcW w:w="1020" w:type="dxa"/>
            <w:vAlign w:val="bottom"/>
            <w:gridSpan w:val="2"/>
            <w:shd w:val="clear" w:color="auto" w:fill="CCEEFF"/>
          </w:tcPr>
          <w:p>
            <w:pPr>
              <w:jc w:val="right"/>
              <w:ind w:right="100"/>
              <w:spacing w:after="0" w:line="117" w:lineRule="exact"/>
              <w:rPr>
                <w:sz w:val="20"/>
                <w:szCs w:val="20"/>
                <w:color w:val="auto"/>
              </w:rPr>
            </w:pPr>
            <w:r>
              <w:rPr>
                <w:rFonts w:ascii="Times New Roman" w:cs="Times New Roman" w:eastAsia="Times New Roman" w:hAnsi="Times New Roman"/>
                <w:sz w:val="13"/>
                <w:szCs w:val="13"/>
                <w:color w:val="auto"/>
              </w:rPr>
              <w:t>3,709</w:t>
            </w:r>
          </w:p>
        </w:tc>
      </w:tr>
      <w:tr>
        <w:trPr>
          <w:trHeight w:val="153"/>
        </w:trPr>
        <w:tc>
          <w:tcPr>
            <w:tcW w:w="3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3.00%</w:t>
            </w:r>
          </w:p>
        </w:tc>
        <w:tc>
          <w:tcPr>
            <w:tcW w:w="26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ETP, Due 4/1/23)</w:t>
            </w:r>
          </w:p>
        </w:tc>
        <w:tc>
          <w:tcPr>
            <w:tcW w:w="9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17"/>
        </w:trPr>
        <w:tc>
          <w:tcPr>
            <w:tcW w:w="3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3120" w:type="dxa"/>
            <w:vAlign w:val="bottom"/>
            <w:gridSpan w:val="4"/>
          </w:tcPr>
          <w:p>
            <w:pPr>
              <w:ind w:left="120"/>
              <w:spacing w:after="0" w:line="117" w:lineRule="exact"/>
              <w:rPr>
                <w:sz w:val="20"/>
                <w:szCs w:val="20"/>
                <w:color w:val="auto"/>
              </w:rPr>
            </w:pPr>
            <w:r>
              <w:rPr>
                <w:rFonts w:ascii="Times New Roman" w:cs="Times New Roman" w:eastAsia="Times New Roman" w:hAnsi="Times New Roman"/>
                <w:sz w:val="13"/>
                <w:szCs w:val="13"/>
                <w:color w:val="auto"/>
              </w:rPr>
              <w:t>Term Loan (10.35% cash (Libor + 8.25%; Floor 9.25%),</w:t>
            </w:r>
          </w:p>
        </w:tc>
        <w:tc>
          <w:tcPr>
            <w:tcW w:w="1120" w:type="dxa"/>
            <w:vAlign w:val="bottom"/>
            <w:gridSpan w:val="2"/>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3,750</w:t>
            </w:r>
          </w:p>
        </w:tc>
        <w:tc>
          <w:tcPr>
            <w:tcW w:w="1120" w:type="dxa"/>
            <w:vAlign w:val="bottom"/>
            <w:gridSpan w:val="2"/>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3,704</w:t>
            </w:r>
          </w:p>
        </w:tc>
        <w:tc>
          <w:tcPr>
            <w:tcW w:w="1020" w:type="dxa"/>
            <w:vAlign w:val="bottom"/>
            <w:gridSpan w:val="2"/>
          </w:tcPr>
          <w:p>
            <w:pPr>
              <w:jc w:val="right"/>
              <w:ind w:right="100"/>
              <w:spacing w:after="0" w:line="117" w:lineRule="exact"/>
              <w:rPr>
                <w:sz w:val="20"/>
                <w:szCs w:val="20"/>
                <w:color w:val="auto"/>
              </w:rPr>
            </w:pPr>
            <w:r>
              <w:rPr>
                <w:rFonts w:ascii="Times New Roman" w:cs="Times New Roman" w:eastAsia="Times New Roman" w:hAnsi="Times New Roman"/>
                <w:sz w:val="13"/>
                <w:szCs w:val="13"/>
                <w:color w:val="auto"/>
              </w:rPr>
              <w:t>3,704</w:t>
            </w:r>
          </w:p>
        </w:tc>
      </w:tr>
      <w:tr>
        <w:trPr>
          <w:trHeight w:val="163"/>
        </w:trPr>
        <w:tc>
          <w:tcPr>
            <w:tcW w:w="3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3.00%</w:t>
            </w:r>
          </w:p>
        </w:tc>
        <w:tc>
          <w:tcPr>
            <w:tcW w:w="264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ETP, Due 1/1/24)</w:t>
            </w: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r>
    </w:tbl>
    <w:p>
      <w:pPr>
        <w:spacing w:after="0" w:line="1" w:lineRule="exact"/>
        <w:rPr>
          <w:sz w:val="20"/>
          <w:szCs w:val="20"/>
          <w:color w:val="auto"/>
        </w:rPr>
      </w:pPr>
    </w:p>
    <w:p>
      <w:pPr>
        <w:sectPr>
          <w:pgSz w:w="11900" w:h="16838" w:orient="portrait"/>
          <w:cols w:equalWidth="0" w:num="1">
            <w:col w:w="11420"/>
          </w:cols>
          <w:pgMar w:left="240" w:top="927" w:right="239" w:bottom="1440" w:gutter="0" w:footer="0" w:header="0"/>
        </w:sectPr>
      </w:pPr>
    </w:p>
    <w:p>
      <w:pPr>
        <w:spacing w:after="0" w:line="234" w:lineRule="auto"/>
        <w:rPr>
          <w:sz w:val="20"/>
          <w:szCs w:val="20"/>
          <w:color w:val="auto"/>
        </w:rPr>
      </w:pPr>
      <w:r>
        <w:rPr>
          <w:rFonts w:ascii="Times New Roman" w:cs="Times New Roman" w:eastAsia="Times New Roman" w:hAnsi="Times New Roman"/>
          <w:sz w:val="12"/>
          <w:szCs w:val="12"/>
          <w:color w:val="auto"/>
        </w:rPr>
        <w:t>Total Non-Affiliate Debt Investments — Healthcare information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246620" cy="1803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3"/>
          <w:szCs w:val="13"/>
          <w:color w:val="auto"/>
        </w:rPr>
        <w:t>services</w:t>
      </w:r>
    </w:p>
    <w:p>
      <w:pPr>
        <w:spacing w:after="0"/>
        <w:rPr>
          <w:sz w:val="20"/>
          <w:szCs w:val="20"/>
          <w:color w:val="auto"/>
        </w:rPr>
      </w:pPr>
      <w:r>
        <w:rPr>
          <w:rFonts w:ascii="Times New Roman" w:cs="Times New Roman" w:eastAsia="Times New Roman" w:hAnsi="Times New Roman"/>
          <w:sz w:val="13"/>
          <w:szCs w:val="13"/>
          <w:b w:val="1"/>
          <w:bCs w:val="1"/>
          <w:color w:val="auto"/>
        </w:rPr>
        <w:t>Total Non- Affiliate Debt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946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Non-Affiliate Warrant Investments — 5.9% (8)</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Non-Affiliate Warrants — Life Science — 1.2%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246620" cy="857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57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60"/>
        <w:spacing w:after="0"/>
        <w:tabs>
          <w:tab w:leader="none" w:pos="1160" w:val="left"/>
        </w:tabs>
        <w:rPr>
          <w:sz w:val="20"/>
          <w:szCs w:val="20"/>
          <w:color w:val="auto"/>
        </w:rPr>
      </w:pPr>
      <w:r>
        <w:rPr>
          <w:rFonts w:ascii="Times New Roman" w:cs="Times New Roman" w:eastAsia="Times New Roman" w:hAnsi="Times New Roman"/>
          <w:sz w:val="13"/>
          <w:szCs w:val="13"/>
          <w:color w:val="auto"/>
        </w:rPr>
        <w:t>14,953</w:t>
      </w:r>
      <w:r>
        <w:rPr>
          <w:sz w:val="20"/>
          <w:szCs w:val="20"/>
          <w:color w:val="auto"/>
        </w:rPr>
        <w:tab/>
      </w:r>
      <w:r>
        <w:rPr>
          <w:rFonts w:ascii="Times New Roman" w:cs="Times New Roman" w:eastAsia="Times New Roman" w:hAnsi="Times New Roman"/>
          <w:sz w:val="13"/>
          <w:szCs w:val="13"/>
          <w:color w:val="auto"/>
        </w:rPr>
        <w:t>14,953</w:t>
      </w:r>
    </w:p>
    <w:p>
      <w:pPr>
        <w:spacing w:after="0" w:line="134"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2"/>
          <w:szCs w:val="12"/>
          <w:color w:val="auto"/>
        </w:rPr>
        <w:t>249,261</w:t>
      </w:r>
      <w:r>
        <w:rPr>
          <w:sz w:val="20"/>
          <w:szCs w:val="20"/>
          <w:color w:val="auto"/>
        </w:rPr>
        <w:tab/>
      </w:r>
      <w:r>
        <w:rPr>
          <w:rFonts w:ascii="Times New Roman" w:cs="Times New Roman" w:eastAsia="Times New Roman" w:hAnsi="Times New Roman"/>
          <w:sz w:val="12"/>
          <w:szCs w:val="12"/>
          <w:color w:val="auto"/>
        </w:rPr>
        <w:t>246,967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-313055</wp:posOffset>
            </wp:positionH>
            <wp:positionV relativeFrom="paragraph">
              <wp:posOffset>-83820</wp:posOffset>
            </wp:positionV>
            <wp:extent cx="128651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6510" cy="8890"/>
                    </a:xfrm>
                    <a:prstGeom prst="rect">
                      <a:avLst/>
                    </a:prstGeom>
                    <a:noFill/>
                  </pic:spPr>
                </pic:pic>
              </a:graphicData>
            </a:graphic>
          </wp:anchor>
        </w:drawing>
      </w:r>
    </w:p>
    <w:p>
      <w:pPr>
        <w:spacing w:after="0" w:line="554" w:lineRule="exact"/>
        <w:rPr>
          <w:sz w:val="20"/>
          <w:szCs w:val="20"/>
          <w:color w:val="auto"/>
        </w:rPr>
      </w:pPr>
    </w:p>
    <w:p>
      <w:pPr>
        <w:sectPr>
          <w:pgSz w:w="11900" w:h="16838" w:orient="portrait"/>
          <w:cols w:equalWidth="0" w:num="2">
            <w:col w:w="9060" w:space="720"/>
            <w:col w:w="1640"/>
          </w:cols>
          <w:pgMar w:left="240" w:top="927" w:right="23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ACT Biotech Corporation</w:t>
            </w:r>
          </w:p>
        </w:tc>
        <w:tc>
          <w:tcPr>
            <w:tcW w:w="172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3"/>
                <w:szCs w:val="13"/>
                <w:color w:val="auto"/>
              </w:rPr>
              <w:t>Biotechnology</w:t>
            </w:r>
          </w:p>
        </w:tc>
        <w:tc>
          <w:tcPr>
            <w:tcW w:w="4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130,872 Preferred Stock Warrants</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135"/>
        </w:trPr>
        <w:tc>
          <w:tcPr>
            <w:tcW w:w="33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Alpine Immune Sciences, Inc. (5)(12)</w:t>
            </w:r>
          </w:p>
        </w:tc>
        <w:tc>
          <w:tcPr>
            <w:tcW w:w="1720" w:type="dxa"/>
            <w:vAlign w:val="bottom"/>
          </w:tcPr>
          <w:p>
            <w:pPr>
              <w:ind w:left="600"/>
              <w:spacing w:after="0" w:line="135" w:lineRule="exact"/>
              <w:rPr>
                <w:sz w:val="20"/>
                <w:szCs w:val="20"/>
                <w:color w:val="auto"/>
              </w:rPr>
            </w:pPr>
            <w:r>
              <w:rPr>
                <w:rFonts w:ascii="Times New Roman" w:cs="Times New Roman" w:eastAsia="Times New Roman" w:hAnsi="Times New Roman"/>
                <w:sz w:val="13"/>
                <w:szCs w:val="13"/>
                <w:color w:val="auto"/>
              </w:rPr>
              <w:t>Biotechnology</w:t>
            </w:r>
          </w:p>
        </w:tc>
        <w:tc>
          <w:tcPr>
            <w:tcW w:w="4260" w:type="dxa"/>
            <w:vAlign w:val="bottom"/>
          </w:tcPr>
          <w:p>
            <w:pPr>
              <w:ind w:left="140"/>
              <w:spacing w:after="0" w:line="135" w:lineRule="exact"/>
              <w:rPr>
                <w:sz w:val="20"/>
                <w:szCs w:val="20"/>
                <w:color w:val="auto"/>
              </w:rPr>
            </w:pPr>
            <w:r>
              <w:rPr>
                <w:rFonts w:ascii="Times New Roman" w:cs="Times New Roman" w:eastAsia="Times New Roman" w:hAnsi="Times New Roman"/>
                <w:sz w:val="13"/>
                <w:szCs w:val="13"/>
                <w:color w:val="auto"/>
              </w:rPr>
              <w:t>4,634 Common Stock Warrants</w:t>
            </w:r>
          </w:p>
        </w:tc>
        <w:tc>
          <w:tcPr>
            <w:tcW w:w="112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122</w:t>
            </w:r>
          </w:p>
        </w:tc>
        <w:tc>
          <w:tcPr>
            <w:tcW w:w="102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33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Celsion Corporation (2)(5)(12)</w:t>
            </w:r>
          </w:p>
        </w:tc>
        <w:tc>
          <w:tcPr>
            <w:tcW w:w="1720" w:type="dxa"/>
            <w:vAlign w:val="bottom"/>
            <w:shd w:val="clear" w:color="auto" w:fill="CCEEFF"/>
          </w:tcPr>
          <w:p>
            <w:pPr>
              <w:ind w:left="600"/>
              <w:spacing w:after="0" w:line="135" w:lineRule="exact"/>
              <w:rPr>
                <w:sz w:val="20"/>
                <w:szCs w:val="20"/>
                <w:color w:val="auto"/>
              </w:rPr>
            </w:pPr>
            <w:r>
              <w:rPr>
                <w:rFonts w:ascii="Times New Roman" w:cs="Times New Roman" w:eastAsia="Times New Roman" w:hAnsi="Times New Roman"/>
                <w:sz w:val="13"/>
                <w:szCs w:val="13"/>
                <w:color w:val="auto"/>
              </w:rPr>
              <w:t>Biotechnology</w:t>
            </w:r>
          </w:p>
        </w:tc>
        <w:tc>
          <w:tcPr>
            <w:tcW w:w="4260" w:type="dxa"/>
            <w:vAlign w:val="bottom"/>
            <w:shd w:val="clear" w:color="auto" w:fill="CCEEFF"/>
          </w:tcPr>
          <w:p>
            <w:pPr>
              <w:ind w:left="140"/>
              <w:spacing w:after="0" w:line="135" w:lineRule="exact"/>
              <w:rPr>
                <w:sz w:val="20"/>
                <w:szCs w:val="20"/>
                <w:color w:val="auto"/>
              </w:rPr>
            </w:pPr>
            <w:r>
              <w:rPr>
                <w:rFonts w:ascii="Times New Roman" w:cs="Times New Roman" w:eastAsia="Times New Roman" w:hAnsi="Times New Roman"/>
                <w:sz w:val="13"/>
                <w:szCs w:val="13"/>
                <w:color w:val="auto"/>
              </w:rPr>
              <w:t>95,057 Common Stock Warrants</w:t>
            </w:r>
          </w:p>
        </w:tc>
        <w:tc>
          <w:tcPr>
            <w:tcW w:w="112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65</w:t>
            </w:r>
          </w:p>
        </w:tc>
        <w:tc>
          <w:tcPr>
            <w:tcW w:w="102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2</w:t>
            </w:r>
          </w:p>
        </w:tc>
      </w:tr>
      <w:tr>
        <w:trPr>
          <w:trHeight w:val="135"/>
        </w:trPr>
        <w:tc>
          <w:tcPr>
            <w:tcW w:w="33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Corvium, Inc. (2)(12)</w:t>
            </w:r>
          </w:p>
        </w:tc>
        <w:tc>
          <w:tcPr>
            <w:tcW w:w="1720" w:type="dxa"/>
            <w:vAlign w:val="bottom"/>
          </w:tcPr>
          <w:p>
            <w:pPr>
              <w:ind w:left="600"/>
              <w:spacing w:after="0" w:line="135" w:lineRule="exact"/>
              <w:rPr>
                <w:sz w:val="20"/>
                <w:szCs w:val="20"/>
                <w:color w:val="auto"/>
              </w:rPr>
            </w:pPr>
            <w:r>
              <w:rPr>
                <w:rFonts w:ascii="Times New Roman" w:cs="Times New Roman" w:eastAsia="Times New Roman" w:hAnsi="Times New Roman"/>
                <w:sz w:val="13"/>
                <w:szCs w:val="13"/>
                <w:color w:val="auto"/>
              </w:rPr>
              <w:t>Biotechnology</w:t>
            </w:r>
          </w:p>
        </w:tc>
        <w:tc>
          <w:tcPr>
            <w:tcW w:w="4260" w:type="dxa"/>
            <w:vAlign w:val="bottom"/>
          </w:tcPr>
          <w:p>
            <w:pPr>
              <w:ind w:left="140"/>
              <w:spacing w:after="0" w:line="135" w:lineRule="exact"/>
              <w:rPr>
                <w:sz w:val="20"/>
                <w:szCs w:val="20"/>
                <w:color w:val="auto"/>
              </w:rPr>
            </w:pPr>
            <w:r>
              <w:rPr>
                <w:rFonts w:ascii="Times New Roman" w:cs="Times New Roman" w:eastAsia="Times New Roman" w:hAnsi="Times New Roman"/>
                <w:sz w:val="13"/>
                <w:szCs w:val="13"/>
                <w:color w:val="auto"/>
              </w:rPr>
              <w:t>661,956 Preferred Stock Warrants</w:t>
            </w:r>
          </w:p>
        </w:tc>
        <w:tc>
          <w:tcPr>
            <w:tcW w:w="112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53</w:t>
            </w:r>
          </w:p>
        </w:tc>
        <w:tc>
          <w:tcPr>
            <w:tcW w:w="102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24</w:t>
            </w:r>
          </w:p>
        </w:tc>
      </w:tr>
      <w:tr>
        <w:trPr>
          <w:trHeight w:val="135"/>
        </w:trPr>
        <w:tc>
          <w:tcPr>
            <w:tcW w:w="33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Encore Dermatology, Inc. (2)(12)</w:t>
            </w:r>
          </w:p>
        </w:tc>
        <w:tc>
          <w:tcPr>
            <w:tcW w:w="1720" w:type="dxa"/>
            <w:vAlign w:val="bottom"/>
            <w:shd w:val="clear" w:color="auto" w:fill="CCEEFF"/>
          </w:tcPr>
          <w:p>
            <w:pPr>
              <w:ind w:left="600"/>
              <w:spacing w:after="0" w:line="135" w:lineRule="exact"/>
              <w:rPr>
                <w:sz w:val="20"/>
                <w:szCs w:val="20"/>
                <w:color w:val="auto"/>
              </w:rPr>
            </w:pPr>
            <w:r>
              <w:rPr>
                <w:rFonts w:ascii="Times New Roman" w:cs="Times New Roman" w:eastAsia="Times New Roman" w:hAnsi="Times New Roman"/>
                <w:sz w:val="13"/>
                <w:szCs w:val="13"/>
                <w:color w:val="auto"/>
              </w:rPr>
              <w:t>Biotechnology</w:t>
            </w:r>
          </w:p>
        </w:tc>
        <w:tc>
          <w:tcPr>
            <w:tcW w:w="4260" w:type="dxa"/>
            <w:vAlign w:val="bottom"/>
            <w:shd w:val="clear" w:color="auto" w:fill="CCEEFF"/>
          </w:tcPr>
          <w:p>
            <w:pPr>
              <w:ind w:left="140"/>
              <w:spacing w:after="0" w:line="135" w:lineRule="exact"/>
              <w:rPr>
                <w:sz w:val="20"/>
                <w:szCs w:val="20"/>
                <w:color w:val="auto"/>
              </w:rPr>
            </w:pPr>
            <w:r>
              <w:rPr>
                <w:rFonts w:ascii="Times New Roman" w:cs="Times New Roman" w:eastAsia="Times New Roman" w:hAnsi="Times New Roman"/>
                <w:sz w:val="13"/>
                <w:szCs w:val="13"/>
                <w:color w:val="auto"/>
              </w:rPr>
              <w:t>1,510,878 Preferred Stock Warrants</w:t>
            </w:r>
          </w:p>
        </w:tc>
        <w:tc>
          <w:tcPr>
            <w:tcW w:w="112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113</w:t>
            </w:r>
          </w:p>
        </w:tc>
        <w:tc>
          <w:tcPr>
            <w:tcW w:w="102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111</w:t>
            </w:r>
          </w:p>
        </w:tc>
      </w:tr>
      <w:tr>
        <w:trPr>
          <w:trHeight w:val="135"/>
        </w:trPr>
        <w:tc>
          <w:tcPr>
            <w:tcW w:w="33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Espero BioPharma, Inc. (2)(5)(12)</w:t>
            </w:r>
          </w:p>
        </w:tc>
        <w:tc>
          <w:tcPr>
            <w:tcW w:w="1720" w:type="dxa"/>
            <w:vAlign w:val="bottom"/>
          </w:tcPr>
          <w:p>
            <w:pPr>
              <w:ind w:left="600"/>
              <w:spacing w:after="0" w:line="135" w:lineRule="exact"/>
              <w:rPr>
                <w:sz w:val="20"/>
                <w:szCs w:val="20"/>
                <w:color w:val="auto"/>
              </w:rPr>
            </w:pPr>
            <w:r>
              <w:rPr>
                <w:rFonts w:ascii="Times New Roman" w:cs="Times New Roman" w:eastAsia="Times New Roman" w:hAnsi="Times New Roman"/>
                <w:sz w:val="13"/>
                <w:szCs w:val="13"/>
                <w:color w:val="auto"/>
              </w:rPr>
              <w:t>Biotechnology</w:t>
            </w:r>
          </w:p>
        </w:tc>
        <w:tc>
          <w:tcPr>
            <w:tcW w:w="4260" w:type="dxa"/>
            <w:vAlign w:val="bottom"/>
          </w:tcPr>
          <w:p>
            <w:pPr>
              <w:ind w:left="140"/>
              <w:spacing w:after="0" w:line="135" w:lineRule="exact"/>
              <w:rPr>
                <w:sz w:val="20"/>
                <w:szCs w:val="20"/>
                <w:color w:val="auto"/>
              </w:rPr>
            </w:pPr>
            <w:r>
              <w:rPr>
                <w:rFonts w:ascii="Times New Roman" w:cs="Times New Roman" w:eastAsia="Times New Roman" w:hAnsi="Times New Roman"/>
                <w:sz w:val="13"/>
                <w:szCs w:val="13"/>
                <w:color w:val="auto"/>
              </w:rPr>
              <w:t>1,507,917 Common Stock Warrants</w:t>
            </w:r>
          </w:p>
        </w:tc>
        <w:tc>
          <w:tcPr>
            <w:tcW w:w="112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184</w:t>
            </w:r>
          </w:p>
        </w:tc>
        <w:tc>
          <w:tcPr>
            <w:tcW w:w="102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33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Mustang Bio, Inc. (2)(5)(12)</w:t>
            </w:r>
          </w:p>
        </w:tc>
        <w:tc>
          <w:tcPr>
            <w:tcW w:w="1720" w:type="dxa"/>
            <w:vAlign w:val="bottom"/>
            <w:shd w:val="clear" w:color="auto" w:fill="CCEEFF"/>
          </w:tcPr>
          <w:p>
            <w:pPr>
              <w:ind w:left="600"/>
              <w:spacing w:after="0" w:line="135" w:lineRule="exact"/>
              <w:rPr>
                <w:sz w:val="20"/>
                <w:szCs w:val="20"/>
                <w:color w:val="auto"/>
              </w:rPr>
            </w:pPr>
            <w:r>
              <w:rPr>
                <w:rFonts w:ascii="Times New Roman" w:cs="Times New Roman" w:eastAsia="Times New Roman" w:hAnsi="Times New Roman"/>
                <w:sz w:val="13"/>
                <w:szCs w:val="13"/>
                <w:color w:val="auto"/>
              </w:rPr>
              <w:t>Biotechnology</w:t>
            </w:r>
          </w:p>
        </w:tc>
        <w:tc>
          <w:tcPr>
            <w:tcW w:w="4260" w:type="dxa"/>
            <w:vAlign w:val="bottom"/>
            <w:shd w:val="clear" w:color="auto" w:fill="CCEEFF"/>
          </w:tcPr>
          <w:p>
            <w:pPr>
              <w:ind w:left="140"/>
              <w:spacing w:after="0" w:line="135" w:lineRule="exact"/>
              <w:rPr>
                <w:sz w:val="20"/>
                <w:szCs w:val="20"/>
                <w:color w:val="auto"/>
              </w:rPr>
            </w:pPr>
            <w:r>
              <w:rPr>
                <w:rFonts w:ascii="Times New Roman" w:cs="Times New Roman" w:eastAsia="Times New Roman" w:hAnsi="Times New Roman"/>
                <w:sz w:val="13"/>
                <w:szCs w:val="13"/>
                <w:color w:val="auto"/>
              </w:rPr>
              <w:t>216,138 Common Stock Warrants</w:t>
            </w:r>
          </w:p>
        </w:tc>
        <w:tc>
          <w:tcPr>
            <w:tcW w:w="112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140</w:t>
            </w:r>
          </w:p>
        </w:tc>
        <w:tc>
          <w:tcPr>
            <w:tcW w:w="102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112</w:t>
            </w:r>
          </w:p>
        </w:tc>
      </w:tr>
      <w:tr>
        <w:trPr>
          <w:trHeight w:val="135"/>
        </w:trPr>
        <w:tc>
          <w:tcPr>
            <w:tcW w:w="33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LogicBio, Inc. (2)(5)(12)</w:t>
            </w:r>
          </w:p>
        </w:tc>
        <w:tc>
          <w:tcPr>
            <w:tcW w:w="1720" w:type="dxa"/>
            <w:vAlign w:val="bottom"/>
          </w:tcPr>
          <w:p>
            <w:pPr>
              <w:ind w:left="600"/>
              <w:spacing w:after="0" w:line="135" w:lineRule="exact"/>
              <w:rPr>
                <w:sz w:val="20"/>
                <w:szCs w:val="20"/>
                <w:color w:val="auto"/>
              </w:rPr>
            </w:pPr>
            <w:r>
              <w:rPr>
                <w:rFonts w:ascii="Times New Roman" w:cs="Times New Roman" w:eastAsia="Times New Roman" w:hAnsi="Times New Roman"/>
                <w:sz w:val="13"/>
                <w:szCs w:val="13"/>
                <w:color w:val="auto"/>
              </w:rPr>
              <w:t>Biotechnology</w:t>
            </w:r>
          </w:p>
        </w:tc>
        <w:tc>
          <w:tcPr>
            <w:tcW w:w="4260" w:type="dxa"/>
            <w:vAlign w:val="bottom"/>
          </w:tcPr>
          <w:p>
            <w:pPr>
              <w:ind w:left="140"/>
              <w:spacing w:after="0" w:line="135" w:lineRule="exact"/>
              <w:rPr>
                <w:sz w:val="20"/>
                <w:szCs w:val="20"/>
                <w:color w:val="auto"/>
              </w:rPr>
            </w:pPr>
            <w:r>
              <w:rPr>
                <w:rFonts w:ascii="Times New Roman" w:cs="Times New Roman" w:eastAsia="Times New Roman" w:hAnsi="Times New Roman"/>
                <w:sz w:val="13"/>
                <w:szCs w:val="13"/>
                <w:color w:val="auto"/>
              </w:rPr>
              <w:t>7,843 Common Stock Warrants</w:t>
            </w:r>
          </w:p>
        </w:tc>
        <w:tc>
          <w:tcPr>
            <w:tcW w:w="112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8</w:t>
            </w:r>
          </w:p>
        </w:tc>
        <w:tc>
          <w:tcPr>
            <w:tcW w:w="102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8</w:t>
            </w:r>
          </w:p>
        </w:tc>
      </w:tr>
      <w:tr>
        <w:trPr>
          <w:trHeight w:val="135"/>
        </w:trPr>
        <w:tc>
          <w:tcPr>
            <w:tcW w:w="33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Rocket Pharmaceuticals Corporation (5)(12)</w:t>
            </w:r>
          </w:p>
        </w:tc>
        <w:tc>
          <w:tcPr>
            <w:tcW w:w="1720" w:type="dxa"/>
            <w:vAlign w:val="bottom"/>
            <w:shd w:val="clear" w:color="auto" w:fill="CCEEFF"/>
          </w:tcPr>
          <w:p>
            <w:pPr>
              <w:ind w:left="600"/>
              <w:spacing w:after="0" w:line="135" w:lineRule="exact"/>
              <w:rPr>
                <w:sz w:val="20"/>
                <w:szCs w:val="20"/>
                <w:color w:val="auto"/>
              </w:rPr>
            </w:pPr>
            <w:r>
              <w:rPr>
                <w:rFonts w:ascii="Times New Roman" w:cs="Times New Roman" w:eastAsia="Times New Roman" w:hAnsi="Times New Roman"/>
                <w:sz w:val="13"/>
                <w:szCs w:val="13"/>
                <w:color w:val="auto"/>
              </w:rPr>
              <w:t>Biotechnology</w:t>
            </w:r>
          </w:p>
        </w:tc>
        <w:tc>
          <w:tcPr>
            <w:tcW w:w="4260" w:type="dxa"/>
            <w:vAlign w:val="bottom"/>
            <w:shd w:val="clear" w:color="auto" w:fill="CCEEFF"/>
          </w:tcPr>
          <w:p>
            <w:pPr>
              <w:ind w:left="140"/>
              <w:spacing w:after="0" w:line="135" w:lineRule="exact"/>
              <w:rPr>
                <w:sz w:val="20"/>
                <w:szCs w:val="20"/>
                <w:color w:val="auto"/>
              </w:rPr>
            </w:pPr>
            <w:r>
              <w:rPr>
                <w:rFonts w:ascii="Times New Roman" w:cs="Times New Roman" w:eastAsia="Times New Roman" w:hAnsi="Times New Roman"/>
                <w:sz w:val="13"/>
                <w:szCs w:val="13"/>
                <w:color w:val="auto"/>
              </w:rPr>
              <w:t>7,051 Common Stock Warrants</w:t>
            </w:r>
          </w:p>
        </w:tc>
        <w:tc>
          <w:tcPr>
            <w:tcW w:w="112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17</w:t>
            </w:r>
          </w:p>
        </w:tc>
        <w:tc>
          <w:tcPr>
            <w:tcW w:w="102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33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Palatin Technologies, Inc. (2)(5)(12)</w:t>
            </w:r>
          </w:p>
        </w:tc>
        <w:tc>
          <w:tcPr>
            <w:tcW w:w="1720" w:type="dxa"/>
            <w:vAlign w:val="bottom"/>
          </w:tcPr>
          <w:p>
            <w:pPr>
              <w:ind w:left="600"/>
              <w:spacing w:after="0" w:line="135" w:lineRule="exact"/>
              <w:rPr>
                <w:sz w:val="20"/>
                <w:szCs w:val="20"/>
                <w:color w:val="auto"/>
              </w:rPr>
            </w:pPr>
            <w:r>
              <w:rPr>
                <w:rFonts w:ascii="Times New Roman" w:cs="Times New Roman" w:eastAsia="Times New Roman" w:hAnsi="Times New Roman"/>
                <w:sz w:val="13"/>
                <w:szCs w:val="13"/>
                <w:color w:val="auto"/>
              </w:rPr>
              <w:t>Biotechnology</w:t>
            </w:r>
          </w:p>
        </w:tc>
        <w:tc>
          <w:tcPr>
            <w:tcW w:w="4260" w:type="dxa"/>
            <w:vAlign w:val="bottom"/>
          </w:tcPr>
          <w:p>
            <w:pPr>
              <w:ind w:left="140"/>
              <w:spacing w:after="0" w:line="135" w:lineRule="exact"/>
              <w:rPr>
                <w:sz w:val="20"/>
                <w:szCs w:val="20"/>
                <w:color w:val="auto"/>
              </w:rPr>
            </w:pPr>
            <w:r>
              <w:rPr>
                <w:rFonts w:ascii="Times New Roman" w:cs="Times New Roman" w:eastAsia="Times New Roman" w:hAnsi="Times New Roman"/>
                <w:sz w:val="13"/>
                <w:szCs w:val="13"/>
                <w:color w:val="auto"/>
              </w:rPr>
              <w:t>608,058 Common Stock Warrants</w:t>
            </w:r>
          </w:p>
        </w:tc>
        <w:tc>
          <w:tcPr>
            <w:tcW w:w="112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51</w:t>
            </w:r>
          </w:p>
        </w:tc>
        <w:tc>
          <w:tcPr>
            <w:tcW w:w="102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102</w:t>
            </w:r>
          </w:p>
        </w:tc>
      </w:tr>
      <w:tr>
        <w:trPr>
          <w:trHeight w:val="135"/>
        </w:trPr>
        <w:tc>
          <w:tcPr>
            <w:tcW w:w="33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Revance Therapeutics, Inc. (5)(12)</w:t>
            </w:r>
          </w:p>
        </w:tc>
        <w:tc>
          <w:tcPr>
            <w:tcW w:w="1720" w:type="dxa"/>
            <w:vAlign w:val="bottom"/>
            <w:shd w:val="clear" w:color="auto" w:fill="CCEEFF"/>
          </w:tcPr>
          <w:p>
            <w:pPr>
              <w:ind w:left="600"/>
              <w:spacing w:after="0" w:line="135" w:lineRule="exact"/>
              <w:rPr>
                <w:sz w:val="20"/>
                <w:szCs w:val="20"/>
                <w:color w:val="auto"/>
              </w:rPr>
            </w:pPr>
            <w:r>
              <w:rPr>
                <w:rFonts w:ascii="Times New Roman" w:cs="Times New Roman" w:eastAsia="Times New Roman" w:hAnsi="Times New Roman"/>
                <w:sz w:val="13"/>
                <w:szCs w:val="13"/>
                <w:color w:val="auto"/>
              </w:rPr>
              <w:t>Biotechnology</w:t>
            </w:r>
          </w:p>
        </w:tc>
        <w:tc>
          <w:tcPr>
            <w:tcW w:w="4260" w:type="dxa"/>
            <w:vAlign w:val="bottom"/>
            <w:shd w:val="clear" w:color="auto" w:fill="CCEEFF"/>
          </w:tcPr>
          <w:p>
            <w:pPr>
              <w:ind w:left="140"/>
              <w:spacing w:after="0" w:line="135" w:lineRule="exact"/>
              <w:rPr>
                <w:sz w:val="20"/>
                <w:szCs w:val="20"/>
                <w:color w:val="auto"/>
              </w:rPr>
            </w:pPr>
            <w:r>
              <w:rPr>
                <w:rFonts w:ascii="Times New Roman" w:cs="Times New Roman" w:eastAsia="Times New Roman" w:hAnsi="Times New Roman"/>
                <w:sz w:val="13"/>
                <w:szCs w:val="13"/>
                <w:color w:val="auto"/>
              </w:rPr>
              <w:t>34,113 Common Stock Warrants</w:t>
            </w:r>
          </w:p>
        </w:tc>
        <w:tc>
          <w:tcPr>
            <w:tcW w:w="112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68</w:t>
            </w:r>
          </w:p>
        </w:tc>
        <w:tc>
          <w:tcPr>
            <w:tcW w:w="102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31</w:t>
            </w:r>
          </w:p>
        </w:tc>
      </w:tr>
      <w:tr>
        <w:trPr>
          <w:trHeight w:val="135"/>
        </w:trPr>
        <w:tc>
          <w:tcPr>
            <w:tcW w:w="33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Strongbridge U.S. Inc. (2)(5)(12)</w:t>
            </w:r>
          </w:p>
        </w:tc>
        <w:tc>
          <w:tcPr>
            <w:tcW w:w="1720" w:type="dxa"/>
            <w:vAlign w:val="bottom"/>
          </w:tcPr>
          <w:p>
            <w:pPr>
              <w:ind w:left="600"/>
              <w:spacing w:after="0" w:line="135" w:lineRule="exact"/>
              <w:rPr>
                <w:sz w:val="20"/>
                <w:szCs w:val="20"/>
                <w:color w:val="auto"/>
              </w:rPr>
            </w:pPr>
            <w:r>
              <w:rPr>
                <w:rFonts w:ascii="Times New Roman" w:cs="Times New Roman" w:eastAsia="Times New Roman" w:hAnsi="Times New Roman"/>
                <w:sz w:val="13"/>
                <w:szCs w:val="13"/>
                <w:color w:val="auto"/>
              </w:rPr>
              <w:t>Biotechnology</w:t>
            </w:r>
          </w:p>
        </w:tc>
        <w:tc>
          <w:tcPr>
            <w:tcW w:w="4260" w:type="dxa"/>
            <w:vAlign w:val="bottom"/>
          </w:tcPr>
          <w:p>
            <w:pPr>
              <w:ind w:left="140"/>
              <w:spacing w:after="0" w:line="135" w:lineRule="exact"/>
              <w:rPr>
                <w:sz w:val="20"/>
                <w:szCs w:val="20"/>
                <w:color w:val="auto"/>
              </w:rPr>
            </w:pPr>
            <w:r>
              <w:rPr>
                <w:rFonts w:ascii="Times New Roman" w:cs="Times New Roman" w:eastAsia="Times New Roman" w:hAnsi="Times New Roman"/>
                <w:sz w:val="13"/>
                <w:szCs w:val="13"/>
                <w:color w:val="auto"/>
              </w:rPr>
              <w:t>160,714 Common Stock Warrants</w:t>
            </w:r>
          </w:p>
        </w:tc>
        <w:tc>
          <w:tcPr>
            <w:tcW w:w="112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72</w:t>
            </w:r>
          </w:p>
        </w:tc>
        <w:tc>
          <w:tcPr>
            <w:tcW w:w="102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144</w:t>
            </w:r>
          </w:p>
        </w:tc>
      </w:tr>
      <w:tr>
        <w:trPr>
          <w:trHeight w:val="135"/>
        </w:trPr>
        <w:tc>
          <w:tcPr>
            <w:tcW w:w="33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Sunesis Pharmaceuticals, Inc. (5)(12)</w:t>
            </w:r>
          </w:p>
        </w:tc>
        <w:tc>
          <w:tcPr>
            <w:tcW w:w="1720" w:type="dxa"/>
            <w:vAlign w:val="bottom"/>
            <w:shd w:val="clear" w:color="auto" w:fill="CCEEFF"/>
          </w:tcPr>
          <w:p>
            <w:pPr>
              <w:ind w:left="600"/>
              <w:spacing w:after="0" w:line="135" w:lineRule="exact"/>
              <w:rPr>
                <w:sz w:val="20"/>
                <w:szCs w:val="20"/>
                <w:color w:val="auto"/>
              </w:rPr>
            </w:pPr>
            <w:r>
              <w:rPr>
                <w:rFonts w:ascii="Times New Roman" w:cs="Times New Roman" w:eastAsia="Times New Roman" w:hAnsi="Times New Roman"/>
                <w:sz w:val="13"/>
                <w:szCs w:val="13"/>
                <w:color w:val="auto"/>
              </w:rPr>
              <w:t>Biotechnology</w:t>
            </w:r>
          </w:p>
        </w:tc>
        <w:tc>
          <w:tcPr>
            <w:tcW w:w="4260" w:type="dxa"/>
            <w:vAlign w:val="bottom"/>
            <w:shd w:val="clear" w:color="auto" w:fill="CCEEFF"/>
          </w:tcPr>
          <w:p>
            <w:pPr>
              <w:ind w:left="140"/>
              <w:spacing w:after="0" w:line="135" w:lineRule="exact"/>
              <w:rPr>
                <w:sz w:val="20"/>
                <w:szCs w:val="20"/>
                <w:color w:val="auto"/>
              </w:rPr>
            </w:pPr>
            <w:r>
              <w:rPr>
                <w:rFonts w:ascii="Times New Roman" w:cs="Times New Roman" w:eastAsia="Times New Roman" w:hAnsi="Times New Roman"/>
                <w:sz w:val="13"/>
                <w:szCs w:val="13"/>
                <w:color w:val="auto"/>
              </w:rPr>
              <w:t>2,050 Common Stock Warrants</w:t>
            </w:r>
          </w:p>
        </w:tc>
        <w:tc>
          <w:tcPr>
            <w:tcW w:w="112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5</w:t>
            </w:r>
          </w:p>
        </w:tc>
        <w:tc>
          <w:tcPr>
            <w:tcW w:w="102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33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vTv Therapeutics Inc. (2)(5)(12)</w:t>
            </w:r>
          </w:p>
        </w:tc>
        <w:tc>
          <w:tcPr>
            <w:tcW w:w="1720" w:type="dxa"/>
            <w:vAlign w:val="bottom"/>
          </w:tcPr>
          <w:p>
            <w:pPr>
              <w:ind w:left="600"/>
              <w:spacing w:after="0" w:line="135" w:lineRule="exact"/>
              <w:rPr>
                <w:sz w:val="20"/>
                <w:szCs w:val="20"/>
                <w:color w:val="auto"/>
              </w:rPr>
            </w:pPr>
            <w:r>
              <w:rPr>
                <w:rFonts w:ascii="Times New Roman" w:cs="Times New Roman" w:eastAsia="Times New Roman" w:hAnsi="Times New Roman"/>
                <w:sz w:val="13"/>
                <w:szCs w:val="13"/>
                <w:color w:val="auto"/>
              </w:rPr>
              <w:t>Biotechnology</w:t>
            </w:r>
          </w:p>
        </w:tc>
        <w:tc>
          <w:tcPr>
            <w:tcW w:w="4260" w:type="dxa"/>
            <w:vAlign w:val="bottom"/>
          </w:tcPr>
          <w:p>
            <w:pPr>
              <w:ind w:left="140"/>
              <w:spacing w:after="0" w:line="135" w:lineRule="exact"/>
              <w:rPr>
                <w:sz w:val="20"/>
                <w:szCs w:val="20"/>
                <w:color w:val="auto"/>
              </w:rPr>
            </w:pPr>
            <w:r>
              <w:rPr>
                <w:rFonts w:ascii="Times New Roman" w:cs="Times New Roman" w:eastAsia="Times New Roman" w:hAnsi="Times New Roman"/>
                <w:sz w:val="13"/>
                <w:szCs w:val="13"/>
                <w:color w:val="auto"/>
              </w:rPr>
              <w:t>95,293 Common Stock Warrants</w:t>
            </w:r>
          </w:p>
        </w:tc>
        <w:tc>
          <w:tcPr>
            <w:tcW w:w="112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44</w:t>
            </w:r>
          </w:p>
        </w:tc>
        <w:tc>
          <w:tcPr>
            <w:tcW w:w="102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33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Titan Pharmaceuticals, Inc. (2)(5)(12)</w:t>
            </w:r>
          </w:p>
        </w:tc>
        <w:tc>
          <w:tcPr>
            <w:tcW w:w="1720" w:type="dxa"/>
            <w:vAlign w:val="bottom"/>
            <w:shd w:val="clear" w:color="auto" w:fill="CCEEFF"/>
          </w:tcPr>
          <w:p>
            <w:pPr>
              <w:ind w:left="600"/>
              <w:spacing w:after="0" w:line="135" w:lineRule="exact"/>
              <w:rPr>
                <w:sz w:val="20"/>
                <w:szCs w:val="20"/>
                <w:color w:val="auto"/>
              </w:rPr>
            </w:pPr>
            <w:r>
              <w:rPr>
                <w:rFonts w:ascii="Times New Roman" w:cs="Times New Roman" w:eastAsia="Times New Roman" w:hAnsi="Times New Roman"/>
                <w:sz w:val="13"/>
                <w:szCs w:val="13"/>
                <w:color w:val="auto"/>
              </w:rPr>
              <w:t>Drug Delivery</w:t>
            </w:r>
          </w:p>
        </w:tc>
        <w:tc>
          <w:tcPr>
            <w:tcW w:w="4260" w:type="dxa"/>
            <w:vAlign w:val="bottom"/>
            <w:shd w:val="clear" w:color="auto" w:fill="CCEEFF"/>
          </w:tcPr>
          <w:p>
            <w:pPr>
              <w:ind w:left="140"/>
              <w:spacing w:after="0" w:line="135" w:lineRule="exact"/>
              <w:rPr>
                <w:sz w:val="20"/>
                <w:szCs w:val="20"/>
                <w:color w:val="auto"/>
              </w:rPr>
            </w:pPr>
            <w:r>
              <w:rPr>
                <w:rFonts w:ascii="Times New Roman" w:cs="Times New Roman" w:eastAsia="Times New Roman" w:hAnsi="Times New Roman"/>
                <w:sz w:val="13"/>
                <w:szCs w:val="13"/>
                <w:color w:val="auto"/>
              </w:rPr>
              <w:t>373,333 Common Stock Warrants</w:t>
            </w:r>
          </w:p>
        </w:tc>
        <w:tc>
          <w:tcPr>
            <w:tcW w:w="112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95</w:t>
            </w:r>
          </w:p>
        </w:tc>
        <w:tc>
          <w:tcPr>
            <w:tcW w:w="102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33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AccuVein Inc. (2)(12)</w:t>
            </w:r>
          </w:p>
        </w:tc>
        <w:tc>
          <w:tcPr>
            <w:tcW w:w="1720" w:type="dxa"/>
            <w:vAlign w:val="bottom"/>
          </w:tcPr>
          <w:p>
            <w:pPr>
              <w:ind w:left="600"/>
              <w:spacing w:after="0" w:line="135" w:lineRule="exact"/>
              <w:rPr>
                <w:sz w:val="20"/>
                <w:szCs w:val="20"/>
                <w:color w:val="auto"/>
              </w:rPr>
            </w:pPr>
            <w:r>
              <w:rPr>
                <w:rFonts w:ascii="Times New Roman" w:cs="Times New Roman" w:eastAsia="Times New Roman" w:hAnsi="Times New Roman"/>
                <w:sz w:val="13"/>
                <w:szCs w:val="13"/>
                <w:color w:val="auto"/>
              </w:rPr>
              <w:t>Medical Device</w:t>
            </w:r>
          </w:p>
        </w:tc>
        <w:tc>
          <w:tcPr>
            <w:tcW w:w="4260" w:type="dxa"/>
            <w:vAlign w:val="bottom"/>
          </w:tcPr>
          <w:p>
            <w:pPr>
              <w:ind w:left="140"/>
              <w:spacing w:after="0" w:line="135" w:lineRule="exact"/>
              <w:rPr>
                <w:sz w:val="20"/>
                <w:szCs w:val="20"/>
                <w:color w:val="auto"/>
              </w:rPr>
            </w:pPr>
            <w:r>
              <w:rPr>
                <w:rFonts w:ascii="Times New Roman" w:cs="Times New Roman" w:eastAsia="Times New Roman" w:hAnsi="Times New Roman"/>
                <w:sz w:val="13"/>
                <w:szCs w:val="13"/>
                <w:color w:val="auto"/>
              </w:rPr>
              <w:t>1,174,881 Preferred Stock Warrants</w:t>
            </w:r>
          </w:p>
        </w:tc>
        <w:tc>
          <w:tcPr>
            <w:tcW w:w="112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24</w:t>
            </w:r>
          </w:p>
        </w:tc>
        <w:tc>
          <w:tcPr>
            <w:tcW w:w="102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27</w:t>
            </w:r>
          </w:p>
        </w:tc>
      </w:tr>
      <w:tr>
        <w:trPr>
          <w:trHeight w:val="135"/>
        </w:trPr>
        <w:tc>
          <w:tcPr>
            <w:tcW w:w="33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Aerin Medical, Inc. (2)(12)</w:t>
            </w:r>
          </w:p>
        </w:tc>
        <w:tc>
          <w:tcPr>
            <w:tcW w:w="1720" w:type="dxa"/>
            <w:vAlign w:val="bottom"/>
            <w:shd w:val="clear" w:color="auto" w:fill="CCEEFF"/>
          </w:tcPr>
          <w:p>
            <w:pPr>
              <w:ind w:left="600"/>
              <w:spacing w:after="0" w:line="135" w:lineRule="exact"/>
              <w:rPr>
                <w:sz w:val="20"/>
                <w:szCs w:val="20"/>
                <w:color w:val="auto"/>
              </w:rPr>
            </w:pPr>
            <w:r>
              <w:rPr>
                <w:rFonts w:ascii="Times New Roman" w:cs="Times New Roman" w:eastAsia="Times New Roman" w:hAnsi="Times New Roman"/>
                <w:sz w:val="13"/>
                <w:szCs w:val="13"/>
                <w:color w:val="auto"/>
              </w:rPr>
              <w:t>Medical Device</w:t>
            </w:r>
          </w:p>
        </w:tc>
        <w:tc>
          <w:tcPr>
            <w:tcW w:w="4260" w:type="dxa"/>
            <w:vAlign w:val="bottom"/>
            <w:shd w:val="clear" w:color="auto" w:fill="CCEEFF"/>
          </w:tcPr>
          <w:p>
            <w:pPr>
              <w:ind w:left="140"/>
              <w:spacing w:after="0" w:line="135" w:lineRule="exact"/>
              <w:rPr>
                <w:sz w:val="20"/>
                <w:szCs w:val="20"/>
                <w:color w:val="auto"/>
              </w:rPr>
            </w:pPr>
            <w:r>
              <w:rPr>
                <w:rFonts w:ascii="Times New Roman" w:cs="Times New Roman" w:eastAsia="Times New Roman" w:hAnsi="Times New Roman"/>
                <w:sz w:val="13"/>
                <w:szCs w:val="13"/>
                <w:color w:val="auto"/>
              </w:rPr>
              <w:t>1,818,182 Preferred Stock Warrants</w:t>
            </w:r>
          </w:p>
        </w:tc>
        <w:tc>
          <w:tcPr>
            <w:tcW w:w="112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66</w:t>
            </w:r>
          </w:p>
        </w:tc>
        <w:tc>
          <w:tcPr>
            <w:tcW w:w="102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63</w:t>
            </w:r>
          </w:p>
        </w:tc>
      </w:tr>
      <w:tr>
        <w:trPr>
          <w:trHeight w:val="135"/>
        </w:trPr>
        <w:tc>
          <w:tcPr>
            <w:tcW w:w="33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Conventus Orthopaedics, Inc. (2)(12)</w:t>
            </w:r>
          </w:p>
        </w:tc>
        <w:tc>
          <w:tcPr>
            <w:tcW w:w="1720" w:type="dxa"/>
            <w:vAlign w:val="bottom"/>
          </w:tcPr>
          <w:p>
            <w:pPr>
              <w:ind w:left="600"/>
              <w:spacing w:after="0" w:line="135" w:lineRule="exact"/>
              <w:rPr>
                <w:sz w:val="20"/>
                <w:szCs w:val="20"/>
                <w:color w:val="auto"/>
              </w:rPr>
            </w:pPr>
            <w:r>
              <w:rPr>
                <w:rFonts w:ascii="Times New Roman" w:cs="Times New Roman" w:eastAsia="Times New Roman" w:hAnsi="Times New Roman"/>
                <w:sz w:val="13"/>
                <w:szCs w:val="13"/>
                <w:color w:val="auto"/>
              </w:rPr>
              <w:t>Medical Device</w:t>
            </w:r>
          </w:p>
        </w:tc>
        <w:tc>
          <w:tcPr>
            <w:tcW w:w="4260" w:type="dxa"/>
            <w:vAlign w:val="bottom"/>
          </w:tcPr>
          <w:p>
            <w:pPr>
              <w:ind w:left="140"/>
              <w:spacing w:after="0" w:line="135" w:lineRule="exact"/>
              <w:rPr>
                <w:sz w:val="20"/>
                <w:szCs w:val="20"/>
                <w:color w:val="auto"/>
              </w:rPr>
            </w:pPr>
            <w:r>
              <w:rPr>
                <w:rFonts w:ascii="Times New Roman" w:cs="Times New Roman" w:eastAsia="Times New Roman" w:hAnsi="Times New Roman"/>
                <w:sz w:val="13"/>
                <w:szCs w:val="13"/>
                <w:color w:val="auto"/>
              </w:rPr>
              <w:t>1,145,000 Preferred Stock Warrants</w:t>
            </w:r>
          </w:p>
        </w:tc>
        <w:tc>
          <w:tcPr>
            <w:tcW w:w="112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149</w:t>
            </w:r>
          </w:p>
        </w:tc>
        <w:tc>
          <w:tcPr>
            <w:tcW w:w="102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145</w:t>
            </w:r>
          </w:p>
        </w:tc>
      </w:tr>
      <w:tr>
        <w:trPr>
          <w:trHeight w:val="135"/>
        </w:trPr>
        <w:tc>
          <w:tcPr>
            <w:tcW w:w="33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CSA Medical, Inc. (12)</w:t>
            </w:r>
          </w:p>
        </w:tc>
        <w:tc>
          <w:tcPr>
            <w:tcW w:w="1720" w:type="dxa"/>
            <w:vAlign w:val="bottom"/>
            <w:shd w:val="clear" w:color="auto" w:fill="CCEEFF"/>
          </w:tcPr>
          <w:p>
            <w:pPr>
              <w:ind w:left="600"/>
              <w:spacing w:after="0" w:line="135" w:lineRule="exact"/>
              <w:rPr>
                <w:sz w:val="20"/>
                <w:szCs w:val="20"/>
                <w:color w:val="auto"/>
              </w:rPr>
            </w:pPr>
            <w:r>
              <w:rPr>
                <w:rFonts w:ascii="Times New Roman" w:cs="Times New Roman" w:eastAsia="Times New Roman" w:hAnsi="Times New Roman"/>
                <w:sz w:val="13"/>
                <w:szCs w:val="13"/>
                <w:color w:val="auto"/>
              </w:rPr>
              <w:t>Medical Device</w:t>
            </w:r>
          </w:p>
        </w:tc>
        <w:tc>
          <w:tcPr>
            <w:tcW w:w="4260" w:type="dxa"/>
            <w:vAlign w:val="bottom"/>
            <w:shd w:val="clear" w:color="auto" w:fill="CCEEFF"/>
          </w:tcPr>
          <w:p>
            <w:pPr>
              <w:ind w:left="140"/>
              <w:spacing w:after="0" w:line="135" w:lineRule="exact"/>
              <w:rPr>
                <w:sz w:val="20"/>
                <w:szCs w:val="20"/>
                <w:color w:val="auto"/>
              </w:rPr>
            </w:pPr>
            <w:r>
              <w:rPr>
                <w:rFonts w:ascii="Times New Roman" w:cs="Times New Roman" w:eastAsia="Times New Roman" w:hAnsi="Times New Roman"/>
                <w:sz w:val="13"/>
                <w:szCs w:val="13"/>
                <w:color w:val="auto"/>
              </w:rPr>
              <w:t>958,580 Preferred Stock Warrants</w:t>
            </w:r>
          </w:p>
        </w:tc>
        <w:tc>
          <w:tcPr>
            <w:tcW w:w="112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112</w:t>
            </w:r>
          </w:p>
        </w:tc>
        <w:tc>
          <w:tcPr>
            <w:tcW w:w="102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103</w:t>
            </w:r>
          </w:p>
        </w:tc>
      </w:tr>
      <w:tr>
        <w:trPr>
          <w:trHeight w:val="135"/>
        </w:trPr>
        <w:tc>
          <w:tcPr>
            <w:tcW w:w="33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CVRx, Inc.(2)(12)</w:t>
            </w:r>
          </w:p>
        </w:tc>
        <w:tc>
          <w:tcPr>
            <w:tcW w:w="1720" w:type="dxa"/>
            <w:vAlign w:val="bottom"/>
          </w:tcPr>
          <w:p>
            <w:pPr>
              <w:ind w:left="600"/>
              <w:spacing w:after="0" w:line="135" w:lineRule="exact"/>
              <w:rPr>
                <w:sz w:val="20"/>
                <w:szCs w:val="20"/>
                <w:color w:val="auto"/>
              </w:rPr>
            </w:pPr>
            <w:r>
              <w:rPr>
                <w:rFonts w:ascii="Times New Roman" w:cs="Times New Roman" w:eastAsia="Times New Roman" w:hAnsi="Times New Roman"/>
                <w:sz w:val="13"/>
                <w:szCs w:val="13"/>
                <w:color w:val="auto"/>
              </w:rPr>
              <w:t>Medical Device</w:t>
            </w:r>
          </w:p>
        </w:tc>
        <w:tc>
          <w:tcPr>
            <w:tcW w:w="4260" w:type="dxa"/>
            <w:vAlign w:val="bottom"/>
          </w:tcPr>
          <w:p>
            <w:pPr>
              <w:ind w:left="140"/>
              <w:spacing w:after="0" w:line="135" w:lineRule="exact"/>
              <w:rPr>
                <w:sz w:val="20"/>
                <w:szCs w:val="20"/>
                <w:color w:val="auto"/>
              </w:rPr>
            </w:pPr>
            <w:r>
              <w:rPr>
                <w:rFonts w:ascii="Times New Roman" w:cs="Times New Roman" w:eastAsia="Times New Roman" w:hAnsi="Times New Roman"/>
                <w:sz w:val="13"/>
                <w:szCs w:val="13"/>
                <w:color w:val="auto"/>
              </w:rPr>
              <w:t>750,000 Preferred Stock Warrants</w:t>
            </w:r>
          </w:p>
        </w:tc>
        <w:tc>
          <w:tcPr>
            <w:tcW w:w="112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76</w:t>
            </w:r>
          </w:p>
        </w:tc>
        <w:tc>
          <w:tcPr>
            <w:tcW w:w="102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76</w:t>
            </w:r>
          </w:p>
        </w:tc>
      </w:tr>
      <w:tr>
        <w:trPr>
          <w:trHeight w:val="135"/>
        </w:trPr>
        <w:tc>
          <w:tcPr>
            <w:tcW w:w="33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Lantos Technologies, Inc. (2)(12)</w:t>
            </w:r>
          </w:p>
        </w:tc>
        <w:tc>
          <w:tcPr>
            <w:tcW w:w="1720" w:type="dxa"/>
            <w:vAlign w:val="bottom"/>
            <w:shd w:val="clear" w:color="auto" w:fill="CCEEFF"/>
          </w:tcPr>
          <w:p>
            <w:pPr>
              <w:ind w:left="600"/>
              <w:spacing w:after="0" w:line="135" w:lineRule="exact"/>
              <w:rPr>
                <w:sz w:val="20"/>
                <w:szCs w:val="20"/>
                <w:color w:val="auto"/>
              </w:rPr>
            </w:pPr>
            <w:r>
              <w:rPr>
                <w:rFonts w:ascii="Times New Roman" w:cs="Times New Roman" w:eastAsia="Times New Roman" w:hAnsi="Times New Roman"/>
                <w:sz w:val="13"/>
                <w:szCs w:val="13"/>
                <w:color w:val="auto"/>
              </w:rPr>
              <w:t>Medical Device</w:t>
            </w:r>
          </w:p>
        </w:tc>
        <w:tc>
          <w:tcPr>
            <w:tcW w:w="4260" w:type="dxa"/>
            <w:vAlign w:val="bottom"/>
            <w:shd w:val="clear" w:color="auto" w:fill="CCEEFF"/>
          </w:tcPr>
          <w:p>
            <w:pPr>
              <w:ind w:left="140"/>
              <w:spacing w:after="0" w:line="135" w:lineRule="exact"/>
              <w:rPr>
                <w:sz w:val="20"/>
                <w:szCs w:val="20"/>
                <w:color w:val="auto"/>
              </w:rPr>
            </w:pPr>
            <w:r>
              <w:rPr>
                <w:rFonts w:ascii="Times New Roman" w:cs="Times New Roman" w:eastAsia="Times New Roman" w:hAnsi="Times New Roman"/>
                <w:sz w:val="13"/>
                <w:szCs w:val="13"/>
                <w:color w:val="auto"/>
              </w:rPr>
              <w:t>1,715,926 Common Stock Warrants</w:t>
            </w:r>
          </w:p>
        </w:tc>
        <w:tc>
          <w:tcPr>
            <w:tcW w:w="112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253</w:t>
            </w:r>
          </w:p>
        </w:tc>
        <w:tc>
          <w:tcPr>
            <w:tcW w:w="102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80</w:t>
            </w:r>
          </w:p>
        </w:tc>
      </w:tr>
      <w:tr>
        <w:trPr>
          <w:trHeight w:val="135"/>
        </w:trPr>
        <w:tc>
          <w:tcPr>
            <w:tcW w:w="33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MacuLogix, Inc. (2)(12)</w:t>
            </w:r>
          </w:p>
        </w:tc>
        <w:tc>
          <w:tcPr>
            <w:tcW w:w="1720" w:type="dxa"/>
            <w:vAlign w:val="bottom"/>
          </w:tcPr>
          <w:p>
            <w:pPr>
              <w:ind w:left="600"/>
              <w:spacing w:after="0" w:line="135" w:lineRule="exact"/>
              <w:rPr>
                <w:sz w:val="20"/>
                <w:szCs w:val="20"/>
                <w:color w:val="auto"/>
              </w:rPr>
            </w:pPr>
            <w:r>
              <w:rPr>
                <w:rFonts w:ascii="Times New Roman" w:cs="Times New Roman" w:eastAsia="Times New Roman" w:hAnsi="Times New Roman"/>
                <w:sz w:val="13"/>
                <w:szCs w:val="13"/>
                <w:color w:val="auto"/>
              </w:rPr>
              <w:t>Medical Device</w:t>
            </w:r>
          </w:p>
        </w:tc>
        <w:tc>
          <w:tcPr>
            <w:tcW w:w="4260" w:type="dxa"/>
            <w:vAlign w:val="bottom"/>
          </w:tcPr>
          <w:p>
            <w:pPr>
              <w:ind w:left="140"/>
              <w:spacing w:after="0" w:line="135" w:lineRule="exact"/>
              <w:rPr>
                <w:sz w:val="20"/>
                <w:szCs w:val="20"/>
                <w:color w:val="auto"/>
              </w:rPr>
            </w:pPr>
            <w:r>
              <w:rPr>
                <w:rFonts w:ascii="Times New Roman" w:cs="Times New Roman" w:eastAsia="Times New Roman" w:hAnsi="Times New Roman"/>
                <w:sz w:val="13"/>
                <w:szCs w:val="13"/>
                <w:color w:val="auto"/>
              </w:rPr>
              <w:t>454,460 Preferred Stock Warrants</w:t>
            </w:r>
          </w:p>
        </w:tc>
        <w:tc>
          <w:tcPr>
            <w:tcW w:w="112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238</w:t>
            </w:r>
          </w:p>
        </w:tc>
        <w:tc>
          <w:tcPr>
            <w:tcW w:w="102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143</w:t>
            </w:r>
          </w:p>
        </w:tc>
      </w:tr>
      <w:tr>
        <w:trPr>
          <w:trHeight w:val="135"/>
        </w:trPr>
        <w:tc>
          <w:tcPr>
            <w:tcW w:w="33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Meditrina, Inc. (12)</w:t>
            </w:r>
          </w:p>
        </w:tc>
        <w:tc>
          <w:tcPr>
            <w:tcW w:w="1720" w:type="dxa"/>
            <w:vAlign w:val="bottom"/>
            <w:shd w:val="clear" w:color="auto" w:fill="CCEEFF"/>
          </w:tcPr>
          <w:p>
            <w:pPr>
              <w:ind w:left="600"/>
              <w:spacing w:after="0" w:line="135" w:lineRule="exact"/>
              <w:rPr>
                <w:sz w:val="20"/>
                <w:szCs w:val="20"/>
                <w:color w:val="auto"/>
              </w:rPr>
            </w:pPr>
            <w:r>
              <w:rPr>
                <w:rFonts w:ascii="Times New Roman" w:cs="Times New Roman" w:eastAsia="Times New Roman" w:hAnsi="Times New Roman"/>
                <w:sz w:val="13"/>
                <w:szCs w:val="13"/>
                <w:color w:val="auto"/>
              </w:rPr>
              <w:t>Medical Device</w:t>
            </w:r>
          </w:p>
        </w:tc>
        <w:tc>
          <w:tcPr>
            <w:tcW w:w="4260" w:type="dxa"/>
            <w:vAlign w:val="bottom"/>
            <w:shd w:val="clear" w:color="auto" w:fill="CCEEFF"/>
          </w:tcPr>
          <w:p>
            <w:pPr>
              <w:ind w:left="140"/>
              <w:spacing w:after="0" w:line="135" w:lineRule="exact"/>
              <w:rPr>
                <w:sz w:val="20"/>
                <w:szCs w:val="20"/>
                <w:color w:val="auto"/>
              </w:rPr>
            </w:pPr>
            <w:r>
              <w:rPr>
                <w:rFonts w:ascii="Times New Roman" w:cs="Times New Roman" w:eastAsia="Times New Roman" w:hAnsi="Times New Roman"/>
                <w:sz w:val="13"/>
                <w:szCs w:val="13"/>
                <w:color w:val="auto"/>
              </w:rPr>
              <w:t>243,391 Preferred Stock Warrants</w:t>
            </w:r>
          </w:p>
        </w:tc>
        <w:tc>
          <w:tcPr>
            <w:tcW w:w="112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83</w:t>
            </w:r>
          </w:p>
        </w:tc>
        <w:tc>
          <w:tcPr>
            <w:tcW w:w="102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109</w:t>
            </w:r>
          </w:p>
        </w:tc>
      </w:tr>
      <w:tr>
        <w:trPr>
          <w:trHeight w:val="135"/>
        </w:trPr>
        <w:tc>
          <w:tcPr>
            <w:tcW w:w="33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NinePoint Medical, Inc. (2)(12)</w:t>
            </w:r>
          </w:p>
        </w:tc>
        <w:tc>
          <w:tcPr>
            <w:tcW w:w="1720" w:type="dxa"/>
            <w:vAlign w:val="bottom"/>
          </w:tcPr>
          <w:p>
            <w:pPr>
              <w:ind w:left="600"/>
              <w:spacing w:after="0" w:line="135" w:lineRule="exact"/>
              <w:rPr>
                <w:sz w:val="20"/>
                <w:szCs w:val="20"/>
                <w:color w:val="auto"/>
              </w:rPr>
            </w:pPr>
            <w:r>
              <w:rPr>
                <w:rFonts w:ascii="Times New Roman" w:cs="Times New Roman" w:eastAsia="Times New Roman" w:hAnsi="Times New Roman"/>
                <w:sz w:val="13"/>
                <w:szCs w:val="13"/>
                <w:color w:val="auto"/>
              </w:rPr>
              <w:t>Medical Device</w:t>
            </w:r>
          </w:p>
        </w:tc>
        <w:tc>
          <w:tcPr>
            <w:tcW w:w="4260" w:type="dxa"/>
            <w:vAlign w:val="bottom"/>
          </w:tcPr>
          <w:p>
            <w:pPr>
              <w:ind w:left="140"/>
              <w:spacing w:after="0" w:line="135" w:lineRule="exact"/>
              <w:rPr>
                <w:sz w:val="20"/>
                <w:szCs w:val="20"/>
                <w:color w:val="auto"/>
              </w:rPr>
            </w:pPr>
            <w:r>
              <w:rPr>
                <w:rFonts w:ascii="Times New Roman" w:cs="Times New Roman" w:eastAsia="Times New Roman" w:hAnsi="Times New Roman"/>
                <w:sz w:val="13"/>
                <w:szCs w:val="13"/>
                <w:color w:val="auto"/>
              </w:rPr>
              <w:t>29,102 Preferred Stock Warrants</w:t>
            </w:r>
          </w:p>
        </w:tc>
        <w:tc>
          <w:tcPr>
            <w:tcW w:w="112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33</w:t>
            </w:r>
          </w:p>
        </w:tc>
        <w:tc>
          <w:tcPr>
            <w:tcW w:w="102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6</w:t>
            </w:r>
          </w:p>
        </w:tc>
      </w:tr>
      <w:tr>
        <w:trPr>
          <w:trHeight w:val="135"/>
        </w:trPr>
        <w:tc>
          <w:tcPr>
            <w:tcW w:w="33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Tryton Medical, Inc. (2)(12)</w:t>
            </w:r>
          </w:p>
        </w:tc>
        <w:tc>
          <w:tcPr>
            <w:tcW w:w="1720" w:type="dxa"/>
            <w:vAlign w:val="bottom"/>
            <w:shd w:val="clear" w:color="auto" w:fill="CCEEFF"/>
          </w:tcPr>
          <w:p>
            <w:pPr>
              <w:ind w:left="600"/>
              <w:spacing w:after="0" w:line="135" w:lineRule="exact"/>
              <w:rPr>
                <w:sz w:val="20"/>
                <w:szCs w:val="20"/>
                <w:color w:val="auto"/>
              </w:rPr>
            </w:pPr>
            <w:r>
              <w:rPr>
                <w:rFonts w:ascii="Times New Roman" w:cs="Times New Roman" w:eastAsia="Times New Roman" w:hAnsi="Times New Roman"/>
                <w:sz w:val="13"/>
                <w:szCs w:val="13"/>
                <w:color w:val="auto"/>
              </w:rPr>
              <w:t>Medical Device</w:t>
            </w:r>
          </w:p>
        </w:tc>
        <w:tc>
          <w:tcPr>
            <w:tcW w:w="4260" w:type="dxa"/>
            <w:vAlign w:val="bottom"/>
            <w:shd w:val="clear" w:color="auto" w:fill="CCEEFF"/>
          </w:tcPr>
          <w:p>
            <w:pPr>
              <w:ind w:left="140"/>
              <w:spacing w:after="0" w:line="135" w:lineRule="exact"/>
              <w:rPr>
                <w:sz w:val="20"/>
                <w:szCs w:val="20"/>
                <w:color w:val="auto"/>
              </w:rPr>
            </w:pPr>
            <w:r>
              <w:rPr>
                <w:rFonts w:ascii="Times New Roman" w:cs="Times New Roman" w:eastAsia="Times New Roman" w:hAnsi="Times New Roman"/>
                <w:sz w:val="13"/>
                <w:szCs w:val="13"/>
                <w:color w:val="auto"/>
              </w:rPr>
              <w:t>122,362 Preferred Stock Warrants</w:t>
            </w:r>
          </w:p>
        </w:tc>
        <w:tc>
          <w:tcPr>
            <w:tcW w:w="112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15</w:t>
            </w:r>
          </w:p>
        </w:tc>
        <w:tc>
          <w:tcPr>
            <w:tcW w:w="102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49"/>
        </w:trPr>
        <w:tc>
          <w:tcPr>
            <w:tcW w:w="3300" w:type="dxa"/>
            <w:vAlign w:val="bottom"/>
          </w:tcPr>
          <w:p>
            <w:pPr>
              <w:spacing w:after="0"/>
              <w:rPr>
                <w:sz w:val="20"/>
                <w:szCs w:val="20"/>
                <w:color w:val="auto"/>
              </w:rPr>
            </w:pPr>
            <w:r>
              <w:rPr>
                <w:rFonts w:ascii="Times New Roman" w:cs="Times New Roman" w:eastAsia="Times New Roman" w:hAnsi="Times New Roman"/>
                <w:sz w:val="13"/>
                <w:szCs w:val="13"/>
                <w:color w:val="auto"/>
              </w:rPr>
              <w:t>VERO Biotech LLC (2)(12)</w:t>
            </w:r>
          </w:p>
        </w:tc>
        <w:tc>
          <w:tcPr>
            <w:tcW w:w="172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Medical Device</w:t>
            </w:r>
          </w:p>
        </w:tc>
        <w:tc>
          <w:tcPr>
            <w:tcW w:w="42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800 Common Stock Warrants</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53</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323</w:t>
            </w:r>
          </w:p>
        </w:tc>
      </w:tr>
      <w:tr>
        <w:trPr>
          <w:trHeight w:val="129"/>
        </w:trPr>
        <w:tc>
          <w:tcPr>
            <w:tcW w:w="330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Total Non-Affiliate Warrants — Life Science</w:t>
            </w:r>
          </w:p>
        </w:tc>
        <w:tc>
          <w:tcPr>
            <w:tcW w:w="1720" w:type="dxa"/>
            <w:vAlign w:val="bottom"/>
            <w:tcBorders>
              <w:top w:val="single" w:sz="8" w:color="CCEEFF"/>
            </w:tcBorders>
            <w:shd w:val="clear" w:color="auto" w:fill="CCEEFF"/>
          </w:tcPr>
          <w:p>
            <w:pPr>
              <w:spacing w:after="0"/>
              <w:rPr>
                <w:sz w:val="11"/>
                <w:szCs w:val="11"/>
                <w:color w:val="auto"/>
              </w:rPr>
            </w:pPr>
          </w:p>
        </w:tc>
        <w:tc>
          <w:tcPr>
            <w:tcW w:w="4260" w:type="dxa"/>
            <w:vAlign w:val="bottom"/>
            <w:tcBorders>
              <w:top w:val="single" w:sz="8" w:color="CCEEFF"/>
            </w:tcBorders>
            <w:shd w:val="clear" w:color="auto" w:fill="CCEEFF"/>
          </w:tcPr>
          <w:p>
            <w:pPr>
              <w:spacing w:after="0"/>
              <w:rPr>
                <w:sz w:val="11"/>
                <w:szCs w:val="11"/>
                <w:color w:val="auto"/>
              </w:rPr>
            </w:pPr>
          </w:p>
        </w:tc>
        <w:tc>
          <w:tcPr>
            <w:tcW w:w="9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2,139</w:t>
            </w:r>
          </w:p>
        </w:tc>
        <w:tc>
          <w:tcPr>
            <w:tcW w:w="200" w:type="dxa"/>
            <w:vAlign w:val="bottom"/>
            <w:tcBorders>
              <w:top w:val="single" w:sz="8" w:color="CCEEFF"/>
            </w:tcBorders>
            <w:shd w:val="clear" w:color="auto" w:fill="CCEEFF"/>
          </w:tcPr>
          <w:p>
            <w:pPr>
              <w:spacing w:after="0"/>
              <w:rPr>
                <w:sz w:val="11"/>
                <w:szCs w:val="11"/>
                <w:color w:val="auto"/>
              </w:rPr>
            </w:pPr>
          </w:p>
        </w:tc>
        <w:tc>
          <w:tcPr>
            <w:tcW w:w="9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1,609</w:t>
            </w:r>
          </w:p>
        </w:tc>
        <w:tc>
          <w:tcPr>
            <w:tcW w:w="100" w:type="dxa"/>
            <w:vAlign w:val="bottom"/>
            <w:tcBorders>
              <w:top w:val="single" w:sz="8" w:color="CCEEFF"/>
            </w:tcBorders>
            <w:shd w:val="clear" w:color="auto" w:fill="CCEEFF"/>
          </w:tcPr>
          <w:p>
            <w:pPr>
              <w:spacing w:after="0"/>
              <w:rPr>
                <w:sz w:val="11"/>
                <w:szCs w:val="11"/>
                <w:color w:val="auto"/>
              </w:rPr>
            </w:pPr>
          </w:p>
        </w:tc>
      </w:tr>
      <w:tr>
        <w:trPr>
          <w:trHeight w:val="129"/>
        </w:trPr>
        <w:tc>
          <w:tcPr>
            <w:tcW w:w="330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Non-Affiliate Warrants — Technology — 3.3% (8)</w:t>
            </w:r>
          </w:p>
        </w:tc>
        <w:tc>
          <w:tcPr>
            <w:tcW w:w="1720" w:type="dxa"/>
            <w:vAlign w:val="bottom"/>
          </w:tcPr>
          <w:p>
            <w:pPr>
              <w:spacing w:after="0"/>
              <w:rPr>
                <w:sz w:val="11"/>
                <w:szCs w:val="11"/>
                <w:color w:val="auto"/>
              </w:rPr>
            </w:pPr>
          </w:p>
        </w:tc>
        <w:tc>
          <w:tcPr>
            <w:tcW w:w="4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3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Audacy Corporation (2)(12)</w:t>
            </w:r>
          </w:p>
        </w:tc>
        <w:tc>
          <w:tcPr>
            <w:tcW w:w="1720" w:type="dxa"/>
            <w:vAlign w:val="bottom"/>
            <w:shd w:val="clear" w:color="auto" w:fill="CCEEFF"/>
          </w:tcPr>
          <w:p>
            <w:pPr>
              <w:ind w:left="600"/>
              <w:spacing w:after="0" w:line="135" w:lineRule="exact"/>
              <w:rPr>
                <w:sz w:val="20"/>
                <w:szCs w:val="20"/>
                <w:color w:val="auto"/>
              </w:rPr>
            </w:pPr>
            <w:r>
              <w:rPr>
                <w:rFonts w:ascii="Times New Roman" w:cs="Times New Roman" w:eastAsia="Times New Roman" w:hAnsi="Times New Roman"/>
                <w:sz w:val="13"/>
                <w:szCs w:val="13"/>
                <w:color w:val="auto"/>
              </w:rPr>
              <w:t>Communications</w:t>
            </w:r>
          </w:p>
        </w:tc>
        <w:tc>
          <w:tcPr>
            <w:tcW w:w="4260" w:type="dxa"/>
            <w:vAlign w:val="bottom"/>
            <w:shd w:val="clear" w:color="auto" w:fill="CCEEFF"/>
          </w:tcPr>
          <w:p>
            <w:pPr>
              <w:ind w:left="140"/>
              <w:spacing w:after="0" w:line="135" w:lineRule="exact"/>
              <w:rPr>
                <w:sz w:val="20"/>
                <w:szCs w:val="20"/>
                <w:color w:val="auto"/>
              </w:rPr>
            </w:pPr>
            <w:r>
              <w:rPr>
                <w:rFonts w:ascii="Times New Roman" w:cs="Times New Roman" w:eastAsia="Times New Roman" w:hAnsi="Times New Roman"/>
                <w:sz w:val="13"/>
                <w:szCs w:val="13"/>
                <w:color w:val="auto"/>
              </w:rPr>
              <w:t>1,545,575 Preferred Stock Warrants</w:t>
            </w:r>
          </w:p>
        </w:tc>
        <w:tc>
          <w:tcPr>
            <w:tcW w:w="112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194</w:t>
            </w:r>
          </w:p>
        </w:tc>
        <w:tc>
          <w:tcPr>
            <w:tcW w:w="102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33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Intelepeer Holdings, Inc. (2)(12)</w:t>
            </w:r>
          </w:p>
        </w:tc>
        <w:tc>
          <w:tcPr>
            <w:tcW w:w="1720" w:type="dxa"/>
            <w:vAlign w:val="bottom"/>
          </w:tcPr>
          <w:p>
            <w:pPr>
              <w:ind w:left="600"/>
              <w:spacing w:after="0" w:line="135" w:lineRule="exact"/>
              <w:rPr>
                <w:sz w:val="20"/>
                <w:szCs w:val="20"/>
                <w:color w:val="auto"/>
              </w:rPr>
            </w:pPr>
            <w:r>
              <w:rPr>
                <w:rFonts w:ascii="Times New Roman" w:cs="Times New Roman" w:eastAsia="Times New Roman" w:hAnsi="Times New Roman"/>
                <w:sz w:val="13"/>
                <w:szCs w:val="13"/>
                <w:color w:val="auto"/>
              </w:rPr>
              <w:t>Communications</w:t>
            </w:r>
          </w:p>
        </w:tc>
        <w:tc>
          <w:tcPr>
            <w:tcW w:w="4260" w:type="dxa"/>
            <w:vAlign w:val="bottom"/>
          </w:tcPr>
          <w:p>
            <w:pPr>
              <w:ind w:left="140"/>
              <w:spacing w:after="0" w:line="135" w:lineRule="exact"/>
              <w:rPr>
                <w:sz w:val="20"/>
                <w:szCs w:val="20"/>
                <w:color w:val="auto"/>
              </w:rPr>
            </w:pPr>
            <w:r>
              <w:rPr>
                <w:rFonts w:ascii="Times New Roman" w:cs="Times New Roman" w:eastAsia="Times New Roman" w:hAnsi="Times New Roman"/>
                <w:sz w:val="13"/>
                <w:szCs w:val="13"/>
                <w:color w:val="auto"/>
              </w:rPr>
              <w:t>1,993,068 Preferred Stock Warrants</w:t>
            </w:r>
          </w:p>
        </w:tc>
        <w:tc>
          <w:tcPr>
            <w:tcW w:w="112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144</w:t>
            </w:r>
          </w:p>
        </w:tc>
        <w:tc>
          <w:tcPr>
            <w:tcW w:w="102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102</w:t>
            </w:r>
          </w:p>
        </w:tc>
      </w:tr>
      <w:tr>
        <w:trPr>
          <w:trHeight w:val="135"/>
        </w:trPr>
        <w:tc>
          <w:tcPr>
            <w:tcW w:w="33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PebblePost, Inc. (2)(12)</w:t>
            </w:r>
          </w:p>
        </w:tc>
        <w:tc>
          <w:tcPr>
            <w:tcW w:w="1720" w:type="dxa"/>
            <w:vAlign w:val="bottom"/>
            <w:shd w:val="clear" w:color="auto" w:fill="CCEEFF"/>
          </w:tcPr>
          <w:p>
            <w:pPr>
              <w:ind w:left="600"/>
              <w:spacing w:after="0" w:line="135" w:lineRule="exact"/>
              <w:rPr>
                <w:sz w:val="20"/>
                <w:szCs w:val="20"/>
                <w:color w:val="auto"/>
              </w:rPr>
            </w:pPr>
            <w:r>
              <w:rPr>
                <w:rFonts w:ascii="Times New Roman" w:cs="Times New Roman" w:eastAsia="Times New Roman" w:hAnsi="Times New Roman"/>
                <w:sz w:val="13"/>
                <w:szCs w:val="13"/>
                <w:color w:val="auto"/>
              </w:rPr>
              <w:t>Communications</w:t>
            </w:r>
          </w:p>
        </w:tc>
        <w:tc>
          <w:tcPr>
            <w:tcW w:w="4260" w:type="dxa"/>
            <w:vAlign w:val="bottom"/>
            <w:shd w:val="clear" w:color="auto" w:fill="CCEEFF"/>
          </w:tcPr>
          <w:p>
            <w:pPr>
              <w:ind w:left="140"/>
              <w:spacing w:after="0" w:line="135" w:lineRule="exact"/>
              <w:rPr>
                <w:sz w:val="20"/>
                <w:szCs w:val="20"/>
                <w:color w:val="auto"/>
              </w:rPr>
            </w:pPr>
            <w:r>
              <w:rPr>
                <w:rFonts w:ascii="Times New Roman" w:cs="Times New Roman" w:eastAsia="Times New Roman" w:hAnsi="Times New Roman"/>
                <w:sz w:val="13"/>
                <w:szCs w:val="13"/>
                <w:color w:val="auto"/>
              </w:rPr>
              <w:t>598,850 Preferred Stock Warrants</w:t>
            </w:r>
          </w:p>
        </w:tc>
        <w:tc>
          <w:tcPr>
            <w:tcW w:w="112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92</w:t>
            </w:r>
          </w:p>
        </w:tc>
        <w:tc>
          <w:tcPr>
            <w:tcW w:w="102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149</w:t>
            </w:r>
          </w:p>
        </w:tc>
      </w:tr>
      <w:tr>
        <w:trPr>
          <w:trHeight w:val="117"/>
        </w:trPr>
        <w:tc>
          <w:tcPr>
            <w:tcW w:w="330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Betabrand Corporation (2)(12)</w:t>
            </w:r>
          </w:p>
        </w:tc>
        <w:tc>
          <w:tcPr>
            <w:tcW w:w="1720" w:type="dxa"/>
            <w:vAlign w:val="bottom"/>
          </w:tcPr>
          <w:p>
            <w:pPr>
              <w:ind w:left="600"/>
              <w:spacing w:after="0" w:line="117" w:lineRule="exact"/>
              <w:rPr>
                <w:sz w:val="20"/>
                <w:szCs w:val="20"/>
                <w:color w:val="auto"/>
              </w:rPr>
            </w:pPr>
            <w:r>
              <w:rPr>
                <w:rFonts w:ascii="Times New Roman" w:cs="Times New Roman" w:eastAsia="Times New Roman" w:hAnsi="Times New Roman"/>
                <w:sz w:val="13"/>
                <w:szCs w:val="13"/>
                <w:color w:val="auto"/>
              </w:rPr>
              <w:t>Consumer-related</w:t>
            </w:r>
          </w:p>
        </w:tc>
        <w:tc>
          <w:tcPr>
            <w:tcW w:w="4260" w:type="dxa"/>
            <w:vAlign w:val="bottom"/>
          </w:tcPr>
          <w:p>
            <w:pPr>
              <w:ind w:left="140"/>
              <w:spacing w:after="0" w:line="117" w:lineRule="exact"/>
              <w:rPr>
                <w:sz w:val="20"/>
                <w:szCs w:val="20"/>
                <w:color w:val="auto"/>
              </w:rPr>
            </w:pPr>
            <w:r>
              <w:rPr>
                <w:rFonts w:ascii="Times New Roman" w:cs="Times New Roman" w:eastAsia="Times New Roman" w:hAnsi="Times New Roman"/>
                <w:sz w:val="13"/>
                <w:szCs w:val="13"/>
                <w:color w:val="auto"/>
              </w:rPr>
              <w:t>248,210 Preferred Stock Warrants</w:t>
            </w:r>
          </w:p>
        </w:tc>
        <w:tc>
          <w:tcPr>
            <w:tcW w:w="1120" w:type="dxa"/>
            <w:vAlign w:val="bottom"/>
            <w:gridSpan w:val="2"/>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101</w:t>
            </w:r>
          </w:p>
        </w:tc>
        <w:tc>
          <w:tcPr>
            <w:tcW w:w="1020" w:type="dxa"/>
            <w:vAlign w:val="bottom"/>
            <w:gridSpan w:val="2"/>
          </w:tcPr>
          <w:p>
            <w:pPr>
              <w:jc w:val="right"/>
              <w:ind w:right="100"/>
              <w:spacing w:after="0" w:line="117" w:lineRule="exact"/>
              <w:rPr>
                <w:sz w:val="20"/>
                <w:szCs w:val="20"/>
                <w:color w:val="auto"/>
              </w:rPr>
            </w:pPr>
            <w:r>
              <w:rPr>
                <w:rFonts w:ascii="Times New Roman" w:cs="Times New Roman" w:eastAsia="Times New Roman" w:hAnsi="Times New Roman"/>
                <w:sz w:val="13"/>
                <w:szCs w:val="13"/>
                <w:color w:val="auto"/>
              </w:rPr>
              <w:t>95</w:t>
            </w:r>
          </w:p>
        </w:tc>
      </w:tr>
      <w:tr>
        <w:trPr>
          <w:trHeight w:val="153"/>
        </w:trPr>
        <w:tc>
          <w:tcPr>
            <w:tcW w:w="3300" w:type="dxa"/>
            <w:vAlign w:val="bottom"/>
          </w:tcPr>
          <w:p>
            <w:pPr>
              <w:spacing w:after="0"/>
              <w:rPr>
                <w:sz w:val="13"/>
                <w:szCs w:val="13"/>
                <w:color w:val="auto"/>
              </w:rPr>
            </w:pPr>
          </w:p>
        </w:tc>
        <w:tc>
          <w:tcPr>
            <w:tcW w:w="172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Technologies</w:t>
            </w:r>
          </w:p>
        </w:tc>
        <w:tc>
          <w:tcPr>
            <w:tcW w:w="4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17"/>
        </w:trPr>
        <w:tc>
          <w:tcPr>
            <w:tcW w:w="330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Caastle, Inc. (2)(12)</w:t>
            </w:r>
          </w:p>
        </w:tc>
        <w:tc>
          <w:tcPr>
            <w:tcW w:w="1720" w:type="dxa"/>
            <w:vAlign w:val="bottom"/>
            <w:shd w:val="clear" w:color="auto" w:fill="CCEEFF"/>
          </w:tcPr>
          <w:p>
            <w:pPr>
              <w:ind w:left="600"/>
              <w:spacing w:after="0" w:line="117" w:lineRule="exact"/>
              <w:rPr>
                <w:sz w:val="20"/>
                <w:szCs w:val="20"/>
                <w:color w:val="auto"/>
              </w:rPr>
            </w:pPr>
            <w:r>
              <w:rPr>
                <w:rFonts w:ascii="Times New Roman" w:cs="Times New Roman" w:eastAsia="Times New Roman" w:hAnsi="Times New Roman"/>
                <w:sz w:val="13"/>
                <w:szCs w:val="13"/>
                <w:color w:val="auto"/>
              </w:rPr>
              <w:t>Consumer-related</w:t>
            </w:r>
          </w:p>
        </w:tc>
        <w:tc>
          <w:tcPr>
            <w:tcW w:w="4260" w:type="dxa"/>
            <w:vAlign w:val="bottom"/>
            <w:shd w:val="clear" w:color="auto" w:fill="CCEEFF"/>
          </w:tcPr>
          <w:p>
            <w:pPr>
              <w:ind w:left="140"/>
              <w:spacing w:after="0" w:line="117" w:lineRule="exact"/>
              <w:rPr>
                <w:sz w:val="20"/>
                <w:szCs w:val="20"/>
                <w:color w:val="auto"/>
              </w:rPr>
            </w:pPr>
            <w:r>
              <w:rPr>
                <w:rFonts w:ascii="Times New Roman" w:cs="Times New Roman" w:eastAsia="Times New Roman" w:hAnsi="Times New Roman"/>
                <w:sz w:val="13"/>
                <w:szCs w:val="13"/>
                <w:color w:val="auto"/>
              </w:rPr>
              <w:t>268,591 Preferred Stock Warrants</w:t>
            </w:r>
          </w:p>
        </w:tc>
        <w:tc>
          <w:tcPr>
            <w:tcW w:w="1120" w:type="dxa"/>
            <w:vAlign w:val="bottom"/>
            <w:gridSpan w:val="2"/>
            <w:shd w:val="clear" w:color="auto" w:fill="CCEEFF"/>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68</w:t>
            </w:r>
          </w:p>
        </w:tc>
        <w:tc>
          <w:tcPr>
            <w:tcW w:w="1020" w:type="dxa"/>
            <w:vAlign w:val="bottom"/>
            <w:gridSpan w:val="2"/>
            <w:shd w:val="clear" w:color="auto" w:fill="CCEEFF"/>
          </w:tcPr>
          <w:p>
            <w:pPr>
              <w:jc w:val="right"/>
              <w:ind w:right="100"/>
              <w:spacing w:after="0" w:line="117" w:lineRule="exact"/>
              <w:rPr>
                <w:sz w:val="20"/>
                <w:szCs w:val="20"/>
                <w:color w:val="auto"/>
              </w:rPr>
            </w:pPr>
            <w:r>
              <w:rPr>
                <w:rFonts w:ascii="Times New Roman" w:cs="Times New Roman" w:eastAsia="Times New Roman" w:hAnsi="Times New Roman"/>
                <w:sz w:val="13"/>
                <w:szCs w:val="13"/>
                <w:color w:val="auto"/>
              </w:rPr>
              <w:t>832</w:t>
            </w:r>
          </w:p>
        </w:tc>
      </w:tr>
      <w:tr>
        <w:trPr>
          <w:trHeight w:val="153"/>
        </w:trPr>
        <w:tc>
          <w:tcPr>
            <w:tcW w:w="3300" w:type="dxa"/>
            <w:vAlign w:val="bottom"/>
            <w:shd w:val="clear" w:color="auto" w:fill="CCEEFF"/>
          </w:tcPr>
          <w:p>
            <w:pPr>
              <w:spacing w:after="0"/>
              <w:rPr>
                <w:sz w:val="13"/>
                <w:szCs w:val="13"/>
                <w:color w:val="auto"/>
              </w:rPr>
            </w:pPr>
          </w:p>
        </w:tc>
        <w:tc>
          <w:tcPr>
            <w:tcW w:w="172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3"/>
                <w:szCs w:val="13"/>
                <w:color w:val="auto"/>
              </w:rPr>
              <w:t>Technologies</w:t>
            </w:r>
          </w:p>
        </w:tc>
        <w:tc>
          <w:tcPr>
            <w:tcW w:w="42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17"/>
        </w:trPr>
        <w:tc>
          <w:tcPr>
            <w:tcW w:w="330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Le Tote, Inc. (2)(12)</w:t>
            </w:r>
          </w:p>
        </w:tc>
        <w:tc>
          <w:tcPr>
            <w:tcW w:w="1720" w:type="dxa"/>
            <w:vAlign w:val="bottom"/>
          </w:tcPr>
          <w:p>
            <w:pPr>
              <w:ind w:left="600"/>
              <w:spacing w:after="0" w:line="117" w:lineRule="exact"/>
              <w:rPr>
                <w:sz w:val="20"/>
                <w:szCs w:val="20"/>
                <w:color w:val="auto"/>
              </w:rPr>
            </w:pPr>
            <w:r>
              <w:rPr>
                <w:rFonts w:ascii="Times New Roman" w:cs="Times New Roman" w:eastAsia="Times New Roman" w:hAnsi="Times New Roman"/>
                <w:sz w:val="13"/>
                <w:szCs w:val="13"/>
                <w:color w:val="auto"/>
              </w:rPr>
              <w:t>Consumer-related</w:t>
            </w:r>
          </w:p>
        </w:tc>
        <w:tc>
          <w:tcPr>
            <w:tcW w:w="4260" w:type="dxa"/>
            <w:vAlign w:val="bottom"/>
          </w:tcPr>
          <w:p>
            <w:pPr>
              <w:ind w:left="140"/>
              <w:spacing w:after="0" w:line="117" w:lineRule="exact"/>
              <w:rPr>
                <w:sz w:val="20"/>
                <w:szCs w:val="20"/>
                <w:color w:val="auto"/>
              </w:rPr>
            </w:pPr>
            <w:r>
              <w:rPr>
                <w:rFonts w:ascii="Times New Roman" w:cs="Times New Roman" w:eastAsia="Times New Roman" w:hAnsi="Times New Roman"/>
                <w:sz w:val="13"/>
                <w:szCs w:val="13"/>
                <w:color w:val="auto"/>
              </w:rPr>
              <w:t>202,974 Preferred Stock Warrants</w:t>
            </w:r>
          </w:p>
        </w:tc>
        <w:tc>
          <w:tcPr>
            <w:tcW w:w="1120" w:type="dxa"/>
            <w:vAlign w:val="bottom"/>
            <w:gridSpan w:val="2"/>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63</w:t>
            </w:r>
          </w:p>
        </w:tc>
        <w:tc>
          <w:tcPr>
            <w:tcW w:w="1020" w:type="dxa"/>
            <w:vAlign w:val="bottom"/>
            <w:gridSpan w:val="2"/>
          </w:tcPr>
          <w:p>
            <w:pPr>
              <w:jc w:val="right"/>
              <w:ind w:right="100"/>
              <w:spacing w:after="0" w:line="117" w:lineRule="exact"/>
              <w:rPr>
                <w:sz w:val="20"/>
                <w:szCs w:val="20"/>
                <w:color w:val="auto"/>
              </w:rPr>
            </w:pPr>
            <w:r>
              <w:rPr>
                <w:rFonts w:ascii="Times New Roman" w:cs="Times New Roman" w:eastAsia="Times New Roman" w:hAnsi="Times New Roman"/>
                <w:sz w:val="13"/>
                <w:szCs w:val="13"/>
                <w:color w:val="auto"/>
              </w:rPr>
              <w:t>359</w:t>
            </w:r>
          </w:p>
        </w:tc>
      </w:tr>
      <w:tr>
        <w:trPr>
          <w:trHeight w:val="153"/>
        </w:trPr>
        <w:tc>
          <w:tcPr>
            <w:tcW w:w="3300" w:type="dxa"/>
            <w:vAlign w:val="bottom"/>
          </w:tcPr>
          <w:p>
            <w:pPr>
              <w:spacing w:after="0"/>
              <w:rPr>
                <w:sz w:val="13"/>
                <w:szCs w:val="13"/>
                <w:color w:val="auto"/>
              </w:rPr>
            </w:pPr>
          </w:p>
        </w:tc>
        <w:tc>
          <w:tcPr>
            <w:tcW w:w="172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Technologies</w:t>
            </w:r>
          </w:p>
        </w:tc>
        <w:tc>
          <w:tcPr>
            <w:tcW w:w="4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17"/>
        </w:trPr>
        <w:tc>
          <w:tcPr>
            <w:tcW w:w="330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Mohawk Group Holdings, Inc. (2)(5)(12)</w:t>
            </w:r>
          </w:p>
        </w:tc>
        <w:tc>
          <w:tcPr>
            <w:tcW w:w="1720" w:type="dxa"/>
            <w:vAlign w:val="bottom"/>
            <w:shd w:val="clear" w:color="auto" w:fill="CCEEFF"/>
          </w:tcPr>
          <w:p>
            <w:pPr>
              <w:ind w:left="600"/>
              <w:spacing w:after="0" w:line="117" w:lineRule="exact"/>
              <w:rPr>
                <w:sz w:val="20"/>
                <w:szCs w:val="20"/>
                <w:color w:val="auto"/>
              </w:rPr>
            </w:pPr>
            <w:r>
              <w:rPr>
                <w:rFonts w:ascii="Times New Roman" w:cs="Times New Roman" w:eastAsia="Times New Roman" w:hAnsi="Times New Roman"/>
                <w:sz w:val="13"/>
                <w:szCs w:val="13"/>
                <w:color w:val="auto"/>
              </w:rPr>
              <w:t>Consumer-related</w:t>
            </w:r>
          </w:p>
        </w:tc>
        <w:tc>
          <w:tcPr>
            <w:tcW w:w="4260" w:type="dxa"/>
            <w:vAlign w:val="bottom"/>
            <w:shd w:val="clear" w:color="auto" w:fill="CCEEFF"/>
          </w:tcPr>
          <w:p>
            <w:pPr>
              <w:ind w:left="140"/>
              <w:spacing w:after="0" w:line="117" w:lineRule="exact"/>
              <w:rPr>
                <w:sz w:val="20"/>
                <w:szCs w:val="20"/>
                <w:color w:val="auto"/>
              </w:rPr>
            </w:pPr>
            <w:r>
              <w:rPr>
                <w:rFonts w:ascii="Times New Roman" w:cs="Times New Roman" w:eastAsia="Times New Roman" w:hAnsi="Times New Roman"/>
                <w:sz w:val="13"/>
                <w:szCs w:val="13"/>
                <w:color w:val="auto"/>
              </w:rPr>
              <w:t>76,923 Common Stock Warrants</w:t>
            </w:r>
          </w:p>
        </w:tc>
        <w:tc>
          <w:tcPr>
            <w:tcW w:w="1120" w:type="dxa"/>
            <w:vAlign w:val="bottom"/>
            <w:gridSpan w:val="2"/>
            <w:shd w:val="clear" w:color="auto" w:fill="CCEEFF"/>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195</w:t>
            </w:r>
          </w:p>
        </w:tc>
        <w:tc>
          <w:tcPr>
            <w:tcW w:w="1020" w:type="dxa"/>
            <w:vAlign w:val="bottom"/>
            <w:gridSpan w:val="2"/>
            <w:shd w:val="clear" w:color="auto" w:fill="CCEEFF"/>
          </w:tcPr>
          <w:p>
            <w:pPr>
              <w:jc w:val="right"/>
              <w:ind w:right="100"/>
              <w:spacing w:after="0" w:line="117" w:lineRule="exact"/>
              <w:rPr>
                <w:sz w:val="20"/>
                <w:szCs w:val="20"/>
                <w:color w:val="auto"/>
              </w:rPr>
            </w:pPr>
            <w:r>
              <w:rPr>
                <w:rFonts w:ascii="Times New Roman" w:cs="Times New Roman" w:eastAsia="Times New Roman" w:hAnsi="Times New Roman"/>
                <w:sz w:val="13"/>
                <w:szCs w:val="13"/>
                <w:color w:val="auto"/>
              </w:rPr>
              <w:t>8</w:t>
            </w:r>
          </w:p>
        </w:tc>
      </w:tr>
      <w:tr>
        <w:trPr>
          <w:trHeight w:val="153"/>
        </w:trPr>
        <w:tc>
          <w:tcPr>
            <w:tcW w:w="3300" w:type="dxa"/>
            <w:vAlign w:val="bottom"/>
            <w:shd w:val="clear" w:color="auto" w:fill="CCEEFF"/>
          </w:tcPr>
          <w:p>
            <w:pPr>
              <w:spacing w:after="0"/>
              <w:rPr>
                <w:sz w:val="13"/>
                <w:szCs w:val="13"/>
                <w:color w:val="auto"/>
              </w:rPr>
            </w:pPr>
          </w:p>
        </w:tc>
        <w:tc>
          <w:tcPr>
            <w:tcW w:w="172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3"/>
                <w:szCs w:val="13"/>
                <w:color w:val="auto"/>
              </w:rPr>
              <w:t>Technologies</w:t>
            </w:r>
          </w:p>
        </w:tc>
        <w:tc>
          <w:tcPr>
            <w:tcW w:w="42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17"/>
        </w:trPr>
        <w:tc>
          <w:tcPr>
            <w:tcW w:w="330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Rhapsody International Inc. (2)(12)</w:t>
            </w:r>
          </w:p>
        </w:tc>
        <w:tc>
          <w:tcPr>
            <w:tcW w:w="1720" w:type="dxa"/>
            <w:vAlign w:val="bottom"/>
          </w:tcPr>
          <w:p>
            <w:pPr>
              <w:ind w:left="600"/>
              <w:spacing w:after="0" w:line="117" w:lineRule="exact"/>
              <w:rPr>
                <w:sz w:val="20"/>
                <w:szCs w:val="20"/>
                <w:color w:val="auto"/>
              </w:rPr>
            </w:pPr>
            <w:r>
              <w:rPr>
                <w:rFonts w:ascii="Times New Roman" w:cs="Times New Roman" w:eastAsia="Times New Roman" w:hAnsi="Times New Roman"/>
                <w:sz w:val="13"/>
                <w:szCs w:val="13"/>
                <w:color w:val="auto"/>
              </w:rPr>
              <w:t>Consumer-related</w:t>
            </w:r>
          </w:p>
        </w:tc>
        <w:tc>
          <w:tcPr>
            <w:tcW w:w="4260" w:type="dxa"/>
            <w:vAlign w:val="bottom"/>
          </w:tcPr>
          <w:p>
            <w:pPr>
              <w:ind w:left="140"/>
              <w:spacing w:after="0" w:line="117" w:lineRule="exact"/>
              <w:rPr>
                <w:sz w:val="20"/>
                <w:szCs w:val="20"/>
                <w:color w:val="auto"/>
              </w:rPr>
            </w:pPr>
            <w:r>
              <w:rPr>
                <w:rFonts w:ascii="Times New Roman" w:cs="Times New Roman" w:eastAsia="Times New Roman" w:hAnsi="Times New Roman"/>
                <w:sz w:val="13"/>
                <w:szCs w:val="13"/>
                <w:color w:val="auto"/>
              </w:rPr>
              <w:t>852,273 Common Stock Warrants</w:t>
            </w:r>
          </w:p>
        </w:tc>
        <w:tc>
          <w:tcPr>
            <w:tcW w:w="1120" w:type="dxa"/>
            <w:vAlign w:val="bottom"/>
            <w:gridSpan w:val="2"/>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164</w:t>
            </w:r>
          </w:p>
        </w:tc>
        <w:tc>
          <w:tcPr>
            <w:tcW w:w="1020" w:type="dxa"/>
            <w:vAlign w:val="bottom"/>
            <w:gridSpan w:val="2"/>
          </w:tcPr>
          <w:p>
            <w:pPr>
              <w:jc w:val="right"/>
              <w:ind w:right="100"/>
              <w:spacing w:after="0" w:line="117" w:lineRule="exact"/>
              <w:rPr>
                <w:sz w:val="20"/>
                <w:szCs w:val="20"/>
                <w:color w:val="auto"/>
              </w:rPr>
            </w:pPr>
            <w:r>
              <w:rPr>
                <w:rFonts w:ascii="Times New Roman" w:cs="Times New Roman" w:eastAsia="Times New Roman" w:hAnsi="Times New Roman"/>
                <w:sz w:val="13"/>
                <w:szCs w:val="13"/>
                <w:color w:val="auto"/>
              </w:rPr>
              <w:t>—</w:t>
            </w:r>
          </w:p>
        </w:tc>
      </w:tr>
      <w:tr>
        <w:trPr>
          <w:trHeight w:val="153"/>
        </w:trPr>
        <w:tc>
          <w:tcPr>
            <w:tcW w:w="3300" w:type="dxa"/>
            <w:vAlign w:val="bottom"/>
          </w:tcPr>
          <w:p>
            <w:pPr>
              <w:spacing w:after="0"/>
              <w:rPr>
                <w:sz w:val="13"/>
                <w:szCs w:val="13"/>
                <w:color w:val="auto"/>
              </w:rPr>
            </w:pPr>
          </w:p>
        </w:tc>
        <w:tc>
          <w:tcPr>
            <w:tcW w:w="172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Technologies</w:t>
            </w:r>
          </w:p>
        </w:tc>
        <w:tc>
          <w:tcPr>
            <w:tcW w:w="4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35"/>
        </w:trPr>
        <w:tc>
          <w:tcPr>
            <w:tcW w:w="33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Canara, Inc. (2)(12)</w:t>
            </w:r>
          </w:p>
        </w:tc>
        <w:tc>
          <w:tcPr>
            <w:tcW w:w="1720" w:type="dxa"/>
            <w:vAlign w:val="bottom"/>
            <w:shd w:val="clear" w:color="auto" w:fill="CCEEFF"/>
          </w:tcPr>
          <w:p>
            <w:pPr>
              <w:ind w:left="600"/>
              <w:spacing w:after="0" w:line="135" w:lineRule="exact"/>
              <w:rPr>
                <w:sz w:val="20"/>
                <w:szCs w:val="20"/>
                <w:color w:val="auto"/>
              </w:rPr>
            </w:pPr>
            <w:r>
              <w:rPr>
                <w:rFonts w:ascii="Times New Roman" w:cs="Times New Roman" w:eastAsia="Times New Roman" w:hAnsi="Times New Roman"/>
                <w:sz w:val="13"/>
                <w:szCs w:val="13"/>
                <w:color w:val="auto"/>
              </w:rPr>
              <w:t>Data Storage</w:t>
            </w:r>
          </w:p>
        </w:tc>
        <w:tc>
          <w:tcPr>
            <w:tcW w:w="4260" w:type="dxa"/>
            <w:vAlign w:val="bottom"/>
            <w:shd w:val="clear" w:color="auto" w:fill="CCEEFF"/>
          </w:tcPr>
          <w:p>
            <w:pPr>
              <w:ind w:left="140"/>
              <w:spacing w:after="0" w:line="135" w:lineRule="exact"/>
              <w:rPr>
                <w:sz w:val="20"/>
                <w:szCs w:val="20"/>
                <w:color w:val="auto"/>
              </w:rPr>
            </w:pPr>
            <w:r>
              <w:rPr>
                <w:rFonts w:ascii="Times New Roman" w:cs="Times New Roman" w:eastAsia="Times New Roman" w:hAnsi="Times New Roman"/>
                <w:sz w:val="13"/>
                <w:szCs w:val="13"/>
                <w:color w:val="auto"/>
              </w:rPr>
              <w:t>500,000 Preferred Stock Warrants</w:t>
            </w:r>
          </w:p>
        </w:tc>
        <w:tc>
          <w:tcPr>
            <w:tcW w:w="112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242</w:t>
            </w:r>
          </w:p>
        </w:tc>
        <w:tc>
          <w:tcPr>
            <w:tcW w:w="102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234</w:t>
            </w:r>
          </w:p>
        </w:tc>
      </w:tr>
      <w:tr>
        <w:trPr>
          <w:trHeight w:val="135"/>
        </w:trPr>
        <w:tc>
          <w:tcPr>
            <w:tcW w:w="33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Kaminario, Inc. (2)(12)</w:t>
            </w:r>
          </w:p>
        </w:tc>
        <w:tc>
          <w:tcPr>
            <w:tcW w:w="1720" w:type="dxa"/>
            <w:vAlign w:val="bottom"/>
          </w:tcPr>
          <w:p>
            <w:pPr>
              <w:ind w:left="600"/>
              <w:spacing w:after="0" w:line="135" w:lineRule="exact"/>
              <w:rPr>
                <w:sz w:val="20"/>
                <w:szCs w:val="20"/>
                <w:color w:val="auto"/>
              </w:rPr>
            </w:pPr>
            <w:r>
              <w:rPr>
                <w:rFonts w:ascii="Times New Roman" w:cs="Times New Roman" w:eastAsia="Times New Roman" w:hAnsi="Times New Roman"/>
                <w:sz w:val="13"/>
                <w:szCs w:val="13"/>
                <w:color w:val="auto"/>
              </w:rPr>
              <w:t>Data Storage</w:t>
            </w:r>
          </w:p>
        </w:tc>
        <w:tc>
          <w:tcPr>
            <w:tcW w:w="4260" w:type="dxa"/>
            <w:vAlign w:val="bottom"/>
          </w:tcPr>
          <w:p>
            <w:pPr>
              <w:ind w:left="140"/>
              <w:spacing w:after="0" w:line="135" w:lineRule="exact"/>
              <w:rPr>
                <w:sz w:val="20"/>
                <w:szCs w:val="20"/>
                <w:color w:val="auto"/>
              </w:rPr>
            </w:pPr>
            <w:r>
              <w:rPr>
                <w:rFonts w:ascii="Times New Roman" w:cs="Times New Roman" w:eastAsia="Times New Roman" w:hAnsi="Times New Roman"/>
                <w:sz w:val="13"/>
                <w:szCs w:val="13"/>
                <w:color w:val="auto"/>
              </w:rPr>
              <w:t>9,981,346 Preferred Stock Warrants</w:t>
            </w:r>
          </w:p>
        </w:tc>
        <w:tc>
          <w:tcPr>
            <w:tcW w:w="112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124</w:t>
            </w:r>
          </w:p>
        </w:tc>
        <w:tc>
          <w:tcPr>
            <w:tcW w:w="102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152</w:t>
            </w:r>
          </w:p>
        </w:tc>
      </w:tr>
      <w:tr>
        <w:trPr>
          <w:trHeight w:val="135"/>
        </w:trPr>
        <w:tc>
          <w:tcPr>
            <w:tcW w:w="33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Global Worldwide LLC (2)(12)</w:t>
            </w:r>
          </w:p>
        </w:tc>
        <w:tc>
          <w:tcPr>
            <w:tcW w:w="1720" w:type="dxa"/>
            <w:vAlign w:val="bottom"/>
            <w:shd w:val="clear" w:color="auto" w:fill="CCEEFF"/>
          </w:tcPr>
          <w:p>
            <w:pPr>
              <w:ind w:left="600"/>
              <w:spacing w:after="0" w:line="135" w:lineRule="exact"/>
              <w:rPr>
                <w:sz w:val="20"/>
                <w:szCs w:val="20"/>
                <w:color w:val="auto"/>
              </w:rPr>
            </w:pPr>
            <w:r>
              <w:rPr>
                <w:rFonts w:ascii="Times New Roman" w:cs="Times New Roman" w:eastAsia="Times New Roman" w:hAnsi="Times New Roman"/>
                <w:sz w:val="13"/>
                <w:szCs w:val="13"/>
                <w:color w:val="auto"/>
              </w:rPr>
              <w:t>Internet and Media</w:t>
            </w:r>
          </w:p>
        </w:tc>
        <w:tc>
          <w:tcPr>
            <w:tcW w:w="4260" w:type="dxa"/>
            <w:vAlign w:val="bottom"/>
            <w:shd w:val="clear" w:color="auto" w:fill="CCEEFF"/>
          </w:tcPr>
          <w:p>
            <w:pPr>
              <w:ind w:left="140"/>
              <w:spacing w:after="0" w:line="135" w:lineRule="exact"/>
              <w:rPr>
                <w:sz w:val="20"/>
                <w:szCs w:val="20"/>
                <w:color w:val="auto"/>
              </w:rPr>
            </w:pPr>
            <w:r>
              <w:rPr>
                <w:rFonts w:ascii="Times New Roman" w:cs="Times New Roman" w:eastAsia="Times New Roman" w:hAnsi="Times New Roman"/>
                <w:sz w:val="13"/>
                <w:szCs w:val="13"/>
                <w:color w:val="auto"/>
              </w:rPr>
              <w:t>245,810 Preferred Stock Warrants</w:t>
            </w:r>
          </w:p>
        </w:tc>
        <w:tc>
          <w:tcPr>
            <w:tcW w:w="112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75</w:t>
            </w:r>
          </w:p>
        </w:tc>
        <w:tc>
          <w:tcPr>
            <w:tcW w:w="102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9</w:t>
            </w:r>
          </w:p>
        </w:tc>
      </w:tr>
      <w:tr>
        <w:trPr>
          <w:trHeight w:val="135"/>
        </w:trPr>
        <w:tc>
          <w:tcPr>
            <w:tcW w:w="33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IgnitionOne, Inc. (2)(12)</w:t>
            </w:r>
          </w:p>
        </w:tc>
        <w:tc>
          <w:tcPr>
            <w:tcW w:w="1720" w:type="dxa"/>
            <w:vAlign w:val="bottom"/>
          </w:tcPr>
          <w:p>
            <w:pPr>
              <w:ind w:left="600"/>
              <w:spacing w:after="0" w:line="135" w:lineRule="exact"/>
              <w:rPr>
                <w:sz w:val="20"/>
                <w:szCs w:val="20"/>
                <w:color w:val="auto"/>
              </w:rPr>
            </w:pPr>
            <w:r>
              <w:rPr>
                <w:rFonts w:ascii="Times New Roman" w:cs="Times New Roman" w:eastAsia="Times New Roman" w:hAnsi="Times New Roman"/>
                <w:sz w:val="13"/>
                <w:szCs w:val="13"/>
                <w:color w:val="auto"/>
              </w:rPr>
              <w:t>Internet and Media</w:t>
            </w:r>
          </w:p>
        </w:tc>
        <w:tc>
          <w:tcPr>
            <w:tcW w:w="4260" w:type="dxa"/>
            <w:vAlign w:val="bottom"/>
          </w:tcPr>
          <w:p>
            <w:pPr>
              <w:ind w:left="140"/>
              <w:spacing w:after="0" w:line="135" w:lineRule="exact"/>
              <w:rPr>
                <w:sz w:val="20"/>
                <w:szCs w:val="20"/>
                <w:color w:val="auto"/>
              </w:rPr>
            </w:pPr>
            <w:r>
              <w:rPr>
                <w:rFonts w:ascii="Times New Roman" w:cs="Times New Roman" w:eastAsia="Times New Roman" w:hAnsi="Times New Roman"/>
                <w:sz w:val="13"/>
                <w:szCs w:val="13"/>
                <w:color w:val="auto"/>
              </w:rPr>
              <w:t>262,910 Preferred Stock Warrants</w:t>
            </w:r>
          </w:p>
        </w:tc>
        <w:tc>
          <w:tcPr>
            <w:tcW w:w="112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672</w:t>
            </w:r>
          </w:p>
        </w:tc>
        <w:tc>
          <w:tcPr>
            <w:tcW w:w="102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78</w:t>
            </w:r>
          </w:p>
        </w:tc>
      </w:tr>
      <w:tr>
        <w:trPr>
          <w:trHeight w:val="135"/>
        </w:trPr>
        <w:tc>
          <w:tcPr>
            <w:tcW w:w="33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Rocket Lawyer Incorporated (2)(12)</w:t>
            </w:r>
          </w:p>
        </w:tc>
        <w:tc>
          <w:tcPr>
            <w:tcW w:w="1720" w:type="dxa"/>
            <w:vAlign w:val="bottom"/>
            <w:shd w:val="clear" w:color="auto" w:fill="CCEEFF"/>
          </w:tcPr>
          <w:p>
            <w:pPr>
              <w:ind w:left="600"/>
              <w:spacing w:after="0" w:line="135" w:lineRule="exact"/>
              <w:rPr>
                <w:sz w:val="20"/>
                <w:szCs w:val="20"/>
                <w:color w:val="auto"/>
              </w:rPr>
            </w:pPr>
            <w:r>
              <w:rPr>
                <w:rFonts w:ascii="Times New Roman" w:cs="Times New Roman" w:eastAsia="Times New Roman" w:hAnsi="Times New Roman"/>
                <w:sz w:val="13"/>
                <w:szCs w:val="13"/>
                <w:color w:val="auto"/>
              </w:rPr>
              <w:t>Internet and Media</w:t>
            </w:r>
          </w:p>
        </w:tc>
        <w:tc>
          <w:tcPr>
            <w:tcW w:w="4260" w:type="dxa"/>
            <w:vAlign w:val="bottom"/>
            <w:shd w:val="clear" w:color="auto" w:fill="CCEEFF"/>
          </w:tcPr>
          <w:p>
            <w:pPr>
              <w:ind w:left="140"/>
              <w:spacing w:after="0" w:line="135" w:lineRule="exact"/>
              <w:rPr>
                <w:sz w:val="20"/>
                <w:szCs w:val="20"/>
                <w:color w:val="auto"/>
              </w:rPr>
            </w:pPr>
            <w:r>
              <w:rPr>
                <w:rFonts w:ascii="Times New Roman" w:cs="Times New Roman" w:eastAsia="Times New Roman" w:hAnsi="Times New Roman"/>
                <w:sz w:val="13"/>
                <w:szCs w:val="13"/>
                <w:color w:val="auto"/>
              </w:rPr>
              <w:t>261,721 Preferred Stock Warrants</w:t>
            </w:r>
          </w:p>
        </w:tc>
        <w:tc>
          <w:tcPr>
            <w:tcW w:w="112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92</w:t>
            </w:r>
          </w:p>
        </w:tc>
        <w:tc>
          <w:tcPr>
            <w:tcW w:w="102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71</w:t>
            </w:r>
          </w:p>
        </w:tc>
      </w:tr>
      <w:tr>
        <w:trPr>
          <w:trHeight w:val="135"/>
        </w:trPr>
        <w:tc>
          <w:tcPr>
            <w:tcW w:w="33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Verve Wireless, Inc. (2)(12)</w:t>
            </w:r>
          </w:p>
        </w:tc>
        <w:tc>
          <w:tcPr>
            <w:tcW w:w="1720" w:type="dxa"/>
            <w:vAlign w:val="bottom"/>
          </w:tcPr>
          <w:p>
            <w:pPr>
              <w:ind w:left="600"/>
              <w:spacing w:after="0" w:line="135" w:lineRule="exact"/>
              <w:rPr>
                <w:sz w:val="20"/>
                <w:szCs w:val="20"/>
                <w:color w:val="auto"/>
              </w:rPr>
            </w:pPr>
            <w:r>
              <w:rPr>
                <w:rFonts w:ascii="Times New Roman" w:cs="Times New Roman" w:eastAsia="Times New Roman" w:hAnsi="Times New Roman"/>
                <w:sz w:val="13"/>
                <w:szCs w:val="13"/>
                <w:color w:val="auto"/>
              </w:rPr>
              <w:t>Internet and Media</w:t>
            </w:r>
          </w:p>
        </w:tc>
        <w:tc>
          <w:tcPr>
            <w:tcW w:w="4260" w:type="dxa"/>
            <w:vAlign w:val="bottom"/>
          </w:tcPr>
          <w:p>
            <w:pPr>
              <w:ind w:left="140"/>
              <w:spacing w:after="0" w:line="135" w:lineRule="exact"/>
              <w:rPr>
                <w:sz w:val="20"/>
                <w:szCs w:val="20"/>
                <w:color w:val="auto"/>
              </w:rPr>
            </w:pPr>
            <w:r>
              <w:rPr>
                <w:rFonts w:ascii="Times New Roman" w:cs="Times New Roman" w:eastAsia="Times New Roman" w:hAnsi="Times New Roman"/>
                <w:sz w:val="13"/>
                <w:szCs w:val="13"/>
                <w:color w:val="auto"/>
              </w:rPr>
              <w:t>112,805 Common Stock Warrants</w:t>
            </w:r>
          </w:p>
        </w:tc>
        <w:tc>
          <w:tcPr>
            <w:tcW w:w="112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120</w:t>
            </w:r>
          </w:p>
        </w:tc>
        <w:tc>
          <w:tcPr>
            <w:tcW w:w="102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30</w:t>
            </w:r>
          </w:p>
        </w:tc>
      </w:tr>
      <w:tr>
        <w:trPr>
          <w:trHeight w:val="135"/>
        </w:trPr>
        <w:tc>
          <w:tcPr>
            <w:tcW w:w="33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The NanoSteel Company, Inc. (2)(12)</w:t>
            </w:r>
          </w:p>
        </w:tc>
        <w:tc>
          <w:tcPr>
            <w:tcW w:w="1720" w:type="dxa"/>
            <w:vAlign w:val="bottom"/>
            <w:shd w:val="clear" w:color="auto" w:fill="CCEEFF"/>
          </w:tcPr>
          <w:p>
            <w:pPr>
              <w:ind w:left="600"/>
              <w:spacing w:after="0" w:line="135" w:lineRule="exact"/>
              <w:rPr>
                <w:sz w:val="20"/>
                <w:szCs w:val="20"/>
                <w:color w:val="auto"/>
              </w:rPr>
            </w:pPr>
            <w:r>
              <w:rPr>
                <w:rFonts w:ascii="Times New Roman" w:cs="Times New Roman" w:eastAsia="Times New Roman" w:hAnsi="Times New Roman"/>
                <w:sz w:val="13"/>
                <w:szCs w:val="13"/>
                <w:color w:val="auto"/>
              </w:rPr>
              <w:t>Materials</w:t>
            </w:r>
          </w:p>
        </w:tc>
        <w:tc>
          <w:tcPr>
            <w:tcW w:w="4260" w:type="dxa"/>
            <w:vAlign w:val="bottom"/>
            <w:shd w:val="clear" w:color="auto" w:fill="CCEEFF"/>
          </w:tcPr>
          <w:p>
            <w:pPr>
              <w:ind w:left="140"/>
              <w:spacing w:after="0" w:line="135" w:lineRule="exact"/>
              <w:rPr>
                <w:sz w:val="20"/>
                <w:szCs w:val="20"/>
                <w:color w:val="auto"/>
              </w:rPr>
            </w:pPr>
            <w:r>
              <w:rPr>
                <w:rFonts w:ascii="Times New Roman" w:cs="Times New Roman" w:eastAsia="Times New Roman" w:hAnsi="Times New Roman"/>
                <w:sz w:val="13"/>
                <w:szCs w:val="13"/>
                <w:color w:val="auto"/>
              </w:rPr>
              <w:t>467,277 Preferred Stock Warrants</w:t>
            </w:r>
          </w:p>
        </w:tc>
        <w:tc>
          <w:tcPr>
            <w:tcW w:w="112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233</w:t>
            </w:r>
          </w:p>
        </w:tc>
        <w:tc>
          <w:tcPr>
            <w:tcW w:w="102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524</w:t>
            </w: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type w:val="continuous"/>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Schedule of Investments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2019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7"/>
              </w:rPr>
              <w:t>Principal</w:t>
            </w:r>
          </w:p>
        </w:tc>
        <w:tc>
          <w:tcPr>
            <w:tcW w:w="160" w:type="dxa"/>
            <w:vAlign w:val="bottom"/>
          </w:tcPr>
          <w:p>
            <w:pPr>
              <w:spacing w:after="0"/>
              <w:rPr>
                <w:sz w:val="12"/>
                <w:szCs w:val="12"/>
                <w:color w:val="auto"/>
              </w:rPr>
            </w:pPr>
          </w:p>
        </w:tc>
        <w:tc>
          <w:tcPr>
            <w:tcW w:w="86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6"/>
              </w:rPr>
              <w:t>Cost of</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Fair</w:t>
            </w:r>
          </w:p>
        </w:tc>
        <w:tc>
          <w:tcPr>
            <w:tcW w:w="0" w:type="dxa"/>
            <w:vAlign w:val="bottom"/>
          </w:tcPr>
          <w:p>
            <w:pPr>
              <w:spacing w:after="0"/>
              <w:rPr>
                <w:sz w:val="1"/>
                <w:szCs w:val="1"/>
                <w:color w:val="auto"/>
              </w:rPr>
            </w:pPr>
          </w:p>
        </w:tc>
      </w:tr>
      <w:tr>
        <w:trPr>
          <w:trHeight w:val="155"/>
        </w:trPr>
        <w:tc>
          <w:tcPr>
            <w:tcW w:w="390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Portfolio Company (1)(3)</w:t>
            </w:r>
          </w:p>
        </w:tc>
        <w:tc>
          <w:tcPr>
            <w:tcW w:w="1140" w:type="dxa"/>
            <w:vAlign w:val="bottom"/>
          </w:tcPr>
          <w:p>
            <w:pPr>
              <w:ind w:left="400"/>
              <w:spacing w:after="0"/>
              <w:rPr>
                <w:sz w:val="20"/>
                <w:szCs w:val="20"/>
                <w:color w:val="auto"/>
              </w:rPr>
            </w:pPr>
            <w:r>
              <w:rPr>
                <w:rFonts w:ascii="Times New Roman" w:cs="Times New Roman" w:eastAsia="Times New Roman" w:hAnsi="Times New Roman"/>
                <w:sz w:val="13"/>
                <w:szCs w:val="13"/>
                <w:b w:val="1"/>
                <w:bCs w:val="1"/>
                <w:color w:val="auto"/>
              </w:rPr>
              <w:t>Sector</w:t>
            </w: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4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Type of Investment (4)(7)(9)(10)</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102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Investments (6)</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8"/>
              </w:rPr>
              <w:t>Value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76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Avalanche Technology, Inc. (2)(12)</w:t>
            </w:r>
          </w:p>
        </w:tc>
        <w:tc>
          <w:tcPr>
            <w:tcW w:w="120" w:type="dxa"/>
            <w:vAlign w:val="bottom"/>
            <w:tcBorders>
              <w:top w:val="single" w:sz="8" w:color="CCEEFF"/>
            </w:tcBorders>
            <w:shd w:val="clear" w:color="auto" w:fill="CCEEFF"/>
          </w:tcPr>
          <w:p>
            <w:pPr>
              <w:spacing w:after="0"/>
              <w:rPr>
                <w:sz w:val="11"/>
                <w:szCs w:val="11"/>
                <w:color w:val="auto"/>
              </w:rPr>
            </w:pPr>
          </w:p>
        </w:tc>
        <w:tc>
          <w:tcPr>
            <w:tcW w:w="114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Semiconductors</w:t>
            </w:r>
          </w:p>
        </w:tc>
        <w:tc>
          <w:tcPr>
            <w:tcW w:w="12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w w:val="99"/>
              </w:rPr>
              <w:t>202,602</w:t>
            </w:r>
          </w:p>
        </w:tc>
        <w:tc>
          <w:tcPr>
            <w:tcW w:w="244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Preferred Stock Warrants</w:t>
            </w: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101</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170</w:t>
            </w: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8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Soraa, Inc. (2)(12)</w:t>
            </w:r>
          </w:p>
        </w:tc>
        <w:tc>
          <w:tcPr>
            <w:tcW w:w="11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Semiconductors</w:t>
            </w:r>
          </w:p>
        </w:tc>
        <w:tc>
          <w:tcPr>
            <w:tcW w:w="56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w w:val="99"/>
              </w:rPr>
              <w:t>203,616</w:t>
            </w:r>
          </w:p>
        </w:tc>
        <w:tc>
          <w:tcPr>
            <w:tcW w:w="24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Preferred Stock Warrants</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80</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8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Bridge2 Solutions, Inc. (2)(12)</w:t>
            </w:r>
          </w:p>
        </w:tc>
        <w:tc>
          <w:tcPr>
            <w:tcW w:w="11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Software</w:t>
            </w:r>
          </w:p>
        </w:tc>
        <w:tc>
          <w:tcPr>
            <w:tcW w:w="56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w w:val="99"/>
              </w:rPr>
              <w:t>162,958</w:t>
            </w:r>
          </w:p>
        </w:tc>
        <w:tc>
          <w:tcPr>
            <w:tcW w:w="24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Common Stock Warrants</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788</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1,107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8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BSI Platform Holdings, LLC (2)(12)(13)</w:t>
            </w:r>
          </w:p>
        </w:tc>
        <w:tc>
          <w:tcPr>
            <w:tcW w:w="11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Software</w:t>
            </w:r>
          </w:p>
        </w:tc>
        <w:tc>
          <w:tcPr>
            <w:tcW w:w="56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w w:val="99"/>
              </w:rPr>
              <w:t>187,500</w:t>
            </w:r>
          </w:p>
        </w:tc>
        <w:tc>
          <w:tcPr>
            <w:tcW w:w="24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Preferred Stock Warrants</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26</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8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Clarabridge, Inc. (12)</w:t>
            </w:r>
          </w:p>
        </w:tc>
        <w:tc>
          <w:tcPr>
            <w:tcW w:w="11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Software</w:t>
            </w:r>
          </w:p>
        </w:tc>
        <w:tc>
          <w:tcPr>
            <w:tcW w:w="3000" w:type="dxa"/>
            <w:vAlign w:val="bottom"/>
            <w:gridSpan w:val="3"/>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53,486 Preferred Stock Warrants</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14</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105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8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Education Elements, Inc. (2)(12)</w:t>
            </w:r>
          </w:p>
        </w:tc>
        <w:tc>
          <w:tcPr>
            <w:tcW w:w="11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Software</w:t>
            </w:r>
          </w:p>
        </w:tc>
        <w:tc>
          <w:tcPr>
            <w:tcW w:w="56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w w:val="99"/>
              </w:rPr>
              <w:t>238,121</w:t>
            </w:r>
          </w:p>
        </w:tc>
        <w:tc>
          <w:tcPr>
            <w:tcW w:w="24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Preferred Stock Warrants</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28</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21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8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Lotame Solutions, Inc. (2)(12)</w:t>
            </w:r>
          </w:p>
        </w:tc>
        <w:tc>
          <w:tcPr>
            <w:tcW w:w="11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Software</w:t>
            </w:r>
          </w:p>
        </w:tc>
        <w:tc>
          <w:tcPr>
            <w:tcW w:w="3000" w:type="dxa"/>
            <w:vAlign w:val="bottom"/>
            <w:gridSpan w:val="3"/>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288,115 Preferred Stock Warrants</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22</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278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8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OutboundEngine, Inc. (2)(12)</w:t>
            </w:r>
          </w:p>
        </w:tc>
        <w:tc>
          <w:tcPr>
            <w:tcW w:w="11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Software</w:t>
            </w:r>
          </w:p>
        </w:tc>
        <w:tc>
          <w:tcPr>
            <w:tcW w:w="56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w w:val="99"/>
              </w:rPr>
              <w:t>640,000</w:t>
            </w:r>
          </w:p>
        </w:tc>
        <w:tc>
          <w:tcPr>
            <w:tcW w:w="24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Preferred Stock Warrants</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82</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81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8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Revinate, Inc. (2)(12)</w:t>
            </w:r>
          </w:p>
        </w:tc>
        <w:tc>
          <w:tcPr>
            <w:tcW w:w="11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Software</w:t>
            </w:r>
          </w:p>
        </w:tc>
        <w:tc>
          <w:tcPr>
            <w:tcW w:w="56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w w:val="99"/>
              </w:rPr>
              <w:t>324,544</w:t>
            </w:r>
          </w:p>
        </w:tc>
        <w:tc>
          <w:tcPr>
            <w:tcW w:w="24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Preferred Stock Warrants</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25</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24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8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Riv Data Corp. (2)(12)</w:t>
            </w:r>
          </w:p>
        </w:tc>
        <w:tc>
          <w:tcPr>
            <w:tcW w:w="11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Software</w:t>
            </w:r>
          </w:p>
        </w:tc>
        <w:tc>
          <w:tcPr>
            <w:tcW w:w="56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w w:val="99"/>
              </w:rPr>
              <w:t>321,428</w:t>
            </w:r>
          </w:p>
        </w:tc>
        <w:tc>
          <w:tcPr>
            <w:tcW w:w="24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Preferred Stock Warrants</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12</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253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8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ShopKeep.com, Inc. (2)(12)</w:t>
            </w:r>
          </w:p>
        </w:tc>
        <w:tc>
          <w:tcPr>
            <w:tcW w:w="11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Software</w:t>
            </w:r>
          </w:p>
        </w:tc>
        <w:tc>
          <w:tcPr>
            <w:tcW w:w="56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w w:val="99"/>
              </w:rPr>
              <w:t>193,962</w:t>
            </w:r>
          </w:p>
        </w:tc>
        <w:tc>
          <w:tcPr>
            <w:tcW w:w="24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Preferred Stock Warrants</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118</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107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8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SIGNiX, Inc. (12)</w:t>
            </w:r>
          </w:p>
        </w:tc>
        <w:tc>
          <w:tcPr>
            <w:tcW w:w="11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Software</w:t>
            </w:r>
          </w:p>
        </w:tc>
        <w:tc>
          <w:tcPr>
            <w:tcW w:w="56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w w:val="99"/>
              </w:rPr>
              <w:t>133,560</w:t>
            </w:r>
          </w:p>
        </w:tc>
        <w:tc>
          <w:tcPr>
            <w:tcW w:w="24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Preferred Stock Warrants</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225</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35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8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Skyword, Inc. (12)</w:t>
            </w:r>
          </w:p>
        </w:tc>
        <w:tc>
          <w:tcPr>
            <w:tcW w:w="11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Software</w:t>
            </w:r>
          </w:p>
        </w:tc>
        <w:tc>
          <w:tcPr>
            <w:tcW w:w="56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w w:val="99"/>
              </w:rPr>
              <w:t>301,056</w:t>
            </w:r>
          </w:p>
        </w:tc>
        <w:tc>
          <w:tcPr>
            <w:tcW w:w="24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Preferred Stock Warrants</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48</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8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Sys-Tech Solutions, Inc. (2)(12)</w:t>
            </w:r>
          </w:p>
        </w:tc>
        <w:tc>
          <w:tcPr>
            <w:tcW w:w="11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Software</w:t>
            </w:r>
          </w:p>
        </w:tc>
        <w:tc>
          <w:tcPr>
            <w:tcW w:w="56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w w:val="99"/>
              </w:rPr>
              <w:t>375,000</w:t>
            </w:r>
          </w:p>
        </w:tc>
        <w:tc>
          <w:tcPr>
            <w:tcW w:w="24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Preferred Stock Warrants</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242</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534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8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Weblinc Corporation (2)(12)</w:t>
            </w:r>
          </w:p>
        </w:tc>
        <w:tc>
          <w:tcPr>
            <w:tcW w:w="11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Software</w:t>
            </w:r>
          </w:p>
        </w:tc>
        <w:tc>
          <w:tcPr>
            <w:tcW w:w="56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w w:val="99"/>
              </w:rPr>
              <w:t>195,122</w:t>
            </w:r>
          </w:p>
        </w:tc>
        <w:tc>
          <w:tcPr>
            <w:tcW w:w="24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Preferred Stock Warrants</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42</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xAd, Inc. (2)(12)</w:t>
            </w:r>
          </w:p>
        </w:tc>
        <w:tc>
          <w:tcPr>
            <w:tcW w:w="1140" w:type="dxa"/>
            <w:vAlign w:val="bottom"/>
          </w:tcPr>
          <w:p>
            <w:pPr>
              <w:spacing w:after="0"/>
              <w:rPr>
                <w:sz w:val="20"/>
                <w:szCs w:val="20"/>
                <w:color w:val="auto"/>
              </w:rPr>
            </w:pPr>
            <w:r>
              <w:rPr>
                <w:rFonts w:ascii="Times New Roman" w:cs="Times New Roman" w:eastAsia="Times New Roman" w:hAnsi="Times New Roman"/>
                <w:sz w:val="13"/>
                <w:szCs w:val="13"/>
                <w:color w:val="auto"/>
              </w:rPr>
              <w:t>Software</w:t>
            </w:r>
          </w:p>
        </w:tc>
        <w:tc>
          <w:tcPr>
            <w:tcW w:w="300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4,343,350 Preferred Stock Warrants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177</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239</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880" w:type="dxa"/>
            <w:vAlign w:val="bottom"/>
            <w:tcBorders>
              <w:top w:val="single" w:sz="8" w:color="CCEEFF"/>
            </w:tcBorders>
            <w:gridSpan w:val="2"/>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Total Non-Affiliate Warrants — Technology</w:t>
            </w:r>
          </w:p>
        </w:tc>
        <w:tc>
          <w:tcPr>
            <w:tcW w:w="1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CCEEFF"/>
            </w:tcBorders>
            <w:shd w:val="clear" w:color="auto" w:fill="CCEEFF"/>
          </w:tcPr>
          <w:p>
            <w:pPr>
              <w:spacing w:after="0"/>
              <w:rPr>
                <w:sz w:val="11"/>
                <w:szCs w:val="11"/>
                <w:color w:val="auto"/>
              </w:rPr>
            </w:pPr>
          </w:p>
        </w:tc>
        <w:tc>
          <w:tcPr>
            <w:tcW w:w="24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7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4,609</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spacing w:after="0"/>
              <w:rPr>
                <w:sz w:val="11"/>
                <w:szCs w:val="11"/>
                <w:color w:val="auto"/>
              </w:rPr>
            </w:pPr>
          </w:p>
        </w:tc>
        <w:tc>
          <w:tcPr>
            <w:tcW w:w="7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5,619</w:t>
            </w: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880" w:type="dxa"/>
            <w:vAlign w:val="bottom"/>
            <w:gridSpan w:val="2"/>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Non-Affiliate Warrants — Sustainability — 0.1% (8)</w:t>
            </w: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Tigo Energy, Inc. (2)(12)</w:t>
            </w:r>
          </w:p>
        </w:tc>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Energy Efficiency</w:t>
            </w:r>
          </w:p>
        </w:tc>
        <w:tc>
          <w:tcPr>
            <w:tcW w:w="5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w w:val="99"/>
              </w:rPr>
              <w:t>804,604</w:t>
            </w:r>
          </w:p>
        </w:tc>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Preferred Stock Warrants</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100</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109</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880" w:type="dxa"/>
            <w:vAlign w:val="bottom"/>
            <w:tcBorders>
              <w:bottom w:val="single" w:sz="8" w:color="CCEEFF"/>
            </w:tcBorders>
            <w:gridSpan w:val="2"/>
          </w:tcPr>
          <w:p>
            <w:pPr>
              <w:spacing w:after="0" w:line="129" w:lineRule="exact"/>
              <w:rPr>
                <w:sz w:val="20"/>
                <w:szCs w:val="20"/>
                <w:color w:val="auto"/>
              </w:rPr>
            </w:pPr>
            <w:r>
              <w:rPr>
                <w:rFonts w:ascii="Times New Roman" w:cs="Times New Roman" w:eastAsia="Times New Roman" w:hAnsi="Times New Roman"/>
                <w:sz w:val="13"/>
                <w:szCs w:val="13"/>
                <w:color w:val="auto"/>
              </w:rPr>
              <w:t>Total Non-Affiliate Warrants — Sustainability</w:t>
            </w:r>
          </w:p>
        </w:tc>
        <w:tc>
          <w:tcPr>
            <w:tcW w:w="114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440" w:type="dxa"/>
            <w:vAlign w:val="bottom"/>
            <w:tcBorders>
              <w:bottom w:val="single" w:sz="8" w:color="CCEEFF"/>
            </w:tcBorders>
          </w:tcPr>
          <w:p>
            <w:pPr>
              <w:spacing w:after="0"/>
              <w:rPr>
                <w:sz w:val="11"/>
                <w:szCs w:val="11"/>
                <w:color w:val="auto"/>
              </w:rPr>
            </w:pPr>
          </w:p>
        </w:tc>
        <w:tc>
          <w:tcPr>
            <w:tcW w:w="244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800" w:type="dxa"/>
            <w:vAlign w:val="bottom"/>
            <w:tcBorders>
              <w:bottom w:val="single" w:sz="8" w:color="CCEEFF"/>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7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100</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109</w:t>
            </w: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880" w:type="dxa"/>
            <w:vAlign w:val="bottom"/>
            <w:gridSpan w:val="2"/>
            <w:shd w:val="clear" w:color="auto" w:fill="CCEEFF"/>
          </w:tcPr>
          <w:p>
            <w:pPr>
              <w:spacing w:after="0" w:line="95" w:lineRule="exact"/>
              <w:rPr>
                <w:sz w:val="20"/>
                <w:szCs w:val="20"/>
                <w:color w:val="auto"/>
              </w:rPr>
            </w:pPr>
            <w:r>
              <w:rPr>
                <w:rFonts w:ascii="Times New Roman" w:cs="Times New Roman" w:eastAsia="Times New Roman" w:hAnsi="Times New Roman"/>
                <w:sz w:val="9"/>
                <w:szCs w:val="9"/>
                <w:b w:val="1"/>
                <w:bCs w:val="1"/>
                <w:color w:val="auto"/>
              </w:rPr>
              <w:t>Non-Affiliate Warrants — Healthcare information and services —</w:t>
            </w:r>
          </w:p>
        </w:tc>
        <w:tc>
          <w:tcPr>
            <w:tcW w:w="11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4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760" w:type="dxa"/>
            <w:vAlign w:val="bottom"/>
            <w:shd w:val="clear" w:color="auto" w:fill="CCEEFF"/>
          </w:tcPr>
          <w:p>
            <w:pPr>
              <w:jc w:val="right"/>
              <w:ind w:right="3077"/>
              <w:spacing w:after="0"/>
              <w:rPr>
                <w:sz w:val="20"/>
                <w:szCs w:val="20"/>
                <w:color w:val="auto"/>
              </w:rPr>
            </w:pPr>
            <w:r>
              <w:rPr>
                <w:rFonts w:ascii="Times New Roman" w:cs="Times New Roman" w:eastAsia="Times New Roman" w:hAnsi="Times New Roman"/>
                <w:sz w:val="13"/>
                <w:szCs w:val="13"/>
                <w:b w:val="1"/>
                <w:bCs w:val="1"/>
                <w:color w:val="auto"/>
              </w:rPr>
              <w:t>1.5% (8)</w:t>
            </w: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24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8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LifePrint Group, Inc. (2)(12)</w:t>
            </w:r>
          </w:p>
        </w:tc>
        <w:tc>
          <w:tcPr>
            <w:tcW w:w="11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Diagnostics</w:t>
            </w:r>
          </w:p>
        </w:tc>
        <w:tc>
          <w:tcPr>
            <w:tcW w:w="3000" w:type="dxa"/>
            <w:vAlign w:val="bottom"/>
            <w:gridSpan w:val="3"/>
          </w:tcPr>
          <w:p>
            <w:pPr>
              <w:ind w:left="120"/>
              <w:spacing w:after="0" w:line="135" w:lineRule="exact"/>
              <w:rPr>
                <w:sz w:val="20"/>
                <w:szCs w:val="20"/>
                <w:color w:val="auto"/>
              </w:rPr>
            </w:pPr>
            <w:r>
              <w:rPr>
                <w:rFonts w:ascii="Times New Roman" w:cs="Times New Roman" w:eastAsia="Times New Roman" w:hAnsi="Times New Roman"/>
                <w:sz w:val="13"/>
                <w:szCs w:val="13"/>
                <w:color w:val="auto"/>
              </w:rPr>
              <w:t>49,000 Preferred Stock Warrants</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29</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8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ProterixBio, Inc. (2)(12)</w:t>
            </w:r>
          </w:p>
        </w:tc>
        <w:tc>
          <w:tcPr>
            <w:tcW w:w="11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Diagnostics</w:t>
            </w:r>
          </w:p>
        </w:tc>
        <w:tc>
          <w:tcPr>
            <w:tcW w:w="3000" w:type="dxa"/>
            <w:vAlign w:val="bottom"/>
            <w:gridSpan w:val="3"/>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2,676 Common Stock Warrants</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42</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8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Verity Solutions Group, Inc. (12)</w:t>
            </w:r>
          </w:p>
        </w:tc>
        <w:tc>
          <w:tcPr>
            <w:tcW w:w="11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Other Healthcare</w:t>
            </w:r>
          </w:p>
        </w:tc>
        <w:tc>
          <w:tcPr>
            <w:tcW w:w="56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w w:val="99"/>
              </w:rPr>
              <w:t>300,360</w:t>
            </w:r>
          </w:p>
        </w:tc>
        <w:tc>
          <w:tcPr>
            <w:tcW w:w="24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Preferred Stock Warrants</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100</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1,678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8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Watermark Medical, Inc. (2)(12)</w:t>
            </w:r>
          </w:p>
        </w:tc>
        <w:tc>
          <w:tcPr>
            <w:tcW w:w="11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Other Healthcare</w:t>
            </w:r>
          </w:p>
        </w:tc>
        <w:tc>
          <w:tcPr>
            <w:tcW w:w="3000" w:type="dxa"/>
            <w:vAlign w:val="bottom"/>
            <w:gridSpan w:val="3"/>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27,373 Preferred Stock Warrants</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74</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58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8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Catasys, Inc. (2)(5)(12)</w:t>
            </w:r>
          </w:p>
        </w:tc>
        <w:tc>
          <w:tcPr>
            <w:tcW w:w="11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Software</w:t>
            </w:r>
          </w:p>
        </w:tc>
        <w:tc>
          <w:tcPr>
            <w:tcW w:w="3000" w:type="dxa"/>
            <w:vAlign w:val="bottom"/>
            <w:gridSpan w:val="3"/>
          </w:tcPr>
          <w:p>
            <w:pPr>
              <w:ind w:left="120"/>
              <w:spacing w:after="0" w:line="135" w:lineRule="exact"/>
              <w:rPr>
                <w:sz w:val="20"/>
                <w:szCs w:val="20"/>
                <w:color w:val="auto"/>
              </w:rPr>
            </w:pPr>
            <w:r>
              <w:rPr>
                <w:rFonts w:ascii="Times New Roman" w:cs="Times New Roman" w:eastAsia="Times New Roman" w:hAnsi="Times New Roman"/>
                <w:sz w:val="13"/>
                <w:szCs w:val="13"/>
                <w:color w:val="auto"/>
              </w:rPr>
              <w:t>51,188 Common Stock Warrants</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193</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289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8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HealthEdge Software, Inc. (2)(12)</w:t>
            </w:r>
          </w:p>
        </w:tc>
        <w:tc>
          <w:tcPr>
            <w:tcW w:w="11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Software</w:t>
            </w:r>
          </w:p>
        </w:tc>
        <w:tc>
          <w:tcPr>
            <w:tcW w:w="56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w w:val="99"/>
              </w:rPr>
              <w:t>205,481</w:t>
            </w:r>
          </w:p>
        </w:tc>
        <w:tc>
          <w:tcPr>
            <w:tcW w:w="24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Preferred Stock Warrants</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83</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66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8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Medsphere Systems Corporation (2)(12)</w:t>
            </w:r>
          </w:p>
        </w:tc>
        <w:tc>
          <w:tcPr>
            <w:tcW w:w="11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Software</w:t>
            </w:r>
          </w:p>
        </w:tc>
        <w:tc>
          <w:tcPr>
            <w:tcW w:w="3000" w:type="dxa"/>
            <w:vAlign w:val="bottom"/>
            <w:gridSpan w:val="3"/>
          </w:tcPr>
          <w:p>
            <w:pPr>
              <w:ind w:left="120"/>
              <w:spacing w:after="0" w:line="135" w:lineRule="exact"/>
              <w:rPr>
                <w:sz w:val="20"/>
                <w:szCs w:val="20"/>
                <w:color w:val="auto"/>
              </w:rPr>
            </w:pPr>
            <w:r>
              <w:rPr>
                <w:rFonts w:ascii="Times New Roman" w:cs="Times New Roman" w:eastAsia="Times New Roman" w:hAnsi="Times New Roman"/>
                <w:sz w:val="13"/>
                <w:szCs w:val="13"/>
                <w:color w:val="auto"/>
              </w:rPr>
              <w:t>7,097,792 Preferred Stock Warrants</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60</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Recondo Technology, Inc. (2)(12)</w:t>
            </w:r>
          </w:p>
        </w:tc>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Software</w:t>
            </w:r>
          </w:p>
        </w:tc>
        <w:tc>
          <w:tcPr>
            <w:tcW w:w="5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w w:val="99"/>
              </w:rPr>
              <w:t>556,796</w:t>
            </w:r>
          </w:p>
        </w:tc>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Preferred Stock Warrants</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95</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206</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880" w:type="dxa"/>
            <w:vAlign w:val="bottom"/>
            <w:tcBorders>
              <w:bottom w:val="single" w:sz="8" w:color="CCEEFF"/>
            </w:tcBorders>
            <w:gridSpan w:val="2"/>
          </w:tcPr>
          <w:p>
            <w:pPr>
              <w:spacing w:after="0" w:line="129" w:lineRule="exact"/>
              <w:rPr>
                <w:sz w:val="20"/>
                <w:szCs w:val="20"/>
                <w:color w:val="auto"/>
              </w:rPr>
            </w:pPr>
            <w:r>
              <w:rPr>
                <w:rFonts w:ascii="Times New Roman" w:cs="Times New Roman" w:eastAsia="Times New Roman" w:hAnsi="Times New Roman"/>
                <w:sz w:val="13"/>
                <w:szCs w:val="13"/>
                <w:color w:val="auto"/>
              </w:rPr>
              <w:t>Total Non-Affiliate Warrants — Healthcare information and services</w:t>
            </w:r>
          </w:p>
        </w:tc>
        <w:tc>
          <w:tcPr>
            <w:tcW w:w="114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440" w:type="dxa"/>
            <w:vAlign w:val="bottom"/>
            <w:tcBorders>
              <w:bottom w:val="single" w:sz="8" w:color="CCEEFF"/>
            </w:tcBorders>
          </w:tcPr>
          <w:p>
            <w:pPr>
              <w:spacing w:after="0"/>
              <w:rPr>
                <w:sz w:val="11"/>
                <w:szCs w:val="11"/>
                <w:color w:val="auto"/>
              </w:rPr>
            </w:pPr>
          </w:p>
        </w:tc>
        <w:tc>
          <w:tcPr>
            <w:tcW w:w="244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800" w:type="dxa"/>
            <w:vAlign w:val="bottom"/>
            <w:tcBorders>
              <w:bottom w:val="single" w:sz="8" w:color="CCEEFF"/>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7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676</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2,493</w:t>
            </w: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880" w:type="dxa"/>
            <w:vAlign w:val="bottom"/>
            <w:gridSpan w:val="2"/>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Non-Affiliate Warrants</w:t>
            </w: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7,524</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9,830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3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88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Non-Affiliate Other Investments — 0.5% (8)</w:t>
            </w: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8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ZetrOZ, Inc. (12)</w:t>
            </w:r>
          </w:p>
        </w:tc>
        <w:tc>
          <w:tcPr>
            <w:tcW w:w="11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Medical Device</w:t>
            </w:r>
          </w:p>
        </w:tc>
        <w:tc>
          <w:tcPr>
            <w:tcW w:w="3000" w:type="dxa"/>
            <w:vAlign w:val="bottom"/>
            <w:gridSpan w:val="3"/>
          </w:tcPr>
          <w:p>
            <w:pPr>
              <w:ind w:left="120"/>
              <w:spacing w:after="0" w:line="135" w:lineRule="exact"/>
              <w:rPr>
                <w:sz w:val="20"/>
                <w:szCs w:val="20"/>
                <w:color w:val="auto"/>
              </w:rPr>
            </w:pPr>
            <w:r>
              <w:rPr>
                <w:rFonts w:ascii="Times New Roman" w:cs="Times New Roman" w:eastAsia="Times New Roman" w:hAnsi="Times New Roman"/>
                <w:sz w:val="13"/>
                <w:szCs w:val="13"/>
                <w:color w:val="auto"/>
              </w:rPr>
              <w:t>Royalty Agreement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90</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700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Triple Double Holdings, LLC (12)</w:t>
            </w:r>
          </w:p>
        </w:tc>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Software</w:t>
            </w:r>
          </w:p>
        </w:tc>
        <w:tc>
          <w:tcPr>
            <w:tcW w:w="30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License Agreement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2,200</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188</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880" w:type="dxa"/>
            <w:vAlign w:val="bottom"/>
            <w:tcBorders>
              <w:bottom w:val="single" w:sz="8" w:color="CCEEFF"/>
            </w:tcBorders>
            <w:gridSpan w:val="2"/>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Non-Affiliate Other Investments</w:t>
            </w:r>
          </w:p>
        </w:tc>
        <w:tc>
          <w:tcPr>
            <w:tcW w:w="114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440" w:type="dxa"/>
            <w:vAlign w:val="bottom"/>
            <w:tcBorders>
              <w:bottom w:val="single" w:sz="8" w:color="CCEEFF"/>
            </w:tcBorders>
          </w:tcPr>
          <w:p>
            <w:pPr>
              <w:spacing w:after="0"/>
              <w:rPr>
                <w:sz w:val="11"/>
                <w:szCs w:val="11"/>
                <w:color w:val="auto"/>
              </w:rPr>
            </w:pPr>
          </w:p>
        </w:tc>
        <w:tc>
          <w:tcPr>
            <w:tcW w:w="244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800" w:type="dxa"/>
            <w:vAlign w:val="bottom"/>
            <w:tcBorders>
              <w:bottom w:val="single" w:sz="8" w:color="CCEEFF"/>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7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2,290</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888</w:t>
            </w: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3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88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Non-Affiliate Equity — 0.3% (8)</w:t>
            </w: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8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Revance Therapeutics, Inc.(5)</w:t>
            </w:r>
          </w:p>
        </w:tc>
        <w:tc>
          <w:tcPr>
            <w:tcW w:w="11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Biotechnology</w:t>
            </w:r>
          </w:p>
        </w:tc>
        <w:tc>
          <w:tcPr>
            <w:tcW w:w="3000" w:type="dxa"/>
            <w:vAlign w:val="bottom"/>
            <w:gridSpan w:val="3"/>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5,125 Common Stock</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73</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66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8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Zeta Global Holdings Corp.</w:t>
            </w:r>
          </w:p>
        </w:tc>
        <w:tc>
          <w:tcPr>
            <w:tcW w:w="11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Internet and Media</w:t>
            </w:r>
          </w:p>
        </w:tc>
        <w:tc>
          <w:tcPr>
            <w:tcW w:w="3000" w:type="dxa"/>
            <w:vAlign w:val="bottom"/>
            <w:gridSpan w:val="3"/>
          </w:tcPr>
          <w:p>
            <w:pPr>
              <w:ind w:left="120"/>
              <w:spacing w:after="0" w:line="135" w:lineRule="exact"/>
              <w:rPr>
                <w:sz w:val="20"/>
                <w:szCs w:val="20"/>
                <w:color w:val="auto"/>
              </w:rPr>
            </w:pPr>
            <w:r>
              <w:rPr>
                <w:rFonts w:ascii="Times New Roman" w:cs="Times New Roman" w:eastAsia="Times New Roman" w:hAnsi="Times New Roman"/>
                <w:sz w:val="13"/>
                <w:szCs w:val="13"/>
                <w:color w:val="auto"/>
              </w:rPr>
              <w:t>18,405 Common Stock</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240</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240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8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Sunesis Pharmaceuticals, Inc. (5)</w:t>
            </w:r>
          </w:p>
        </w:tc>
        <w:tc>
          <w:tcPr>
            <w:tcW w:w="11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Biotechnology</w:t>
            </w:r>
          </w:p>
        </w:tc>
        <w:tc>
          <w:tcPr>
            <w:tcW w:w="3000" w:type="dxa"/>
            <w:vAlign w:val="bottom"/>
            <w:gridSpan w:val="3"/>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13,082 Common Stock</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83</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10</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880" w:type="dxa"/>
            <w:vAlign w:val="bottom"/>
            <w:gridSpan w:val="2"/>
          </w:tcPr>
          <w:p>
            <w:pPr>
              <w:spacing w:after="0" w:line="117" w:lineRule="exact"/>
              <w:rPr>
                <w:sz w:val="20"/>
                <w:szCs w:val="20"/>
                <w:color w:val="auto"/>
              </w:rPr>
            </w:pPr>
            <w:r>
              <w:rPr>
                <w:rFonts w:ascii="Times New Roman" w:cs="Times New Roman" w:eastAsia="Times New Roman" w:hAnsi="Times New Roman"/>
                <w:sz w:val="13"/>
                <w:szCs w:val="13"/>
                <w:color w:val="auto"/>
              </w:rPr>
              <w:t>SnagAJob.com, Inc. (12)</w:t>
            </w:r>
          </w:p>
        </w:tc>
        <w:tc>
          <w:tcPr>
            <w:tcW w:w="114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Consumer-related</w:t>
            </w:r>
          </w:p>
        </w:tc>
        <w:tc>
          <w:tcPr>
            <w:tcW w:w="3000" w:type="dxa"/>
            <w:vAlign w:val="bottom"/>
            <w:gridSpan w:val="3"/>
          </w:tcPr>
          <w:p>
            <w:pPr>
              <w:ind w:left="120"/>
              <w:spacing w:after="0" w:line="117" w:lineRule="exact"/>
              <w:rPr>
                <w:sz w:val="20"/>
                <w:szCs w:val="20"/>
                <w:color w:val="auto"/>
              </w:rPr>
            </w:pPr>
            <w:r>
              <w:rPr>
                <w:rFonts w:ascii="Times New Roman" w:cs="Times New Roman" w:eastAsia="Times New Roman" w:hAnsi="Times New Roman"/>
                <w:sz w:val="13"/>
                <w:szCs w:val="13"/>
                <w:color w:val="auto"/>
              </w:rPr>
              <w:t>82,974 Common Stock</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gridSpan w:val="2"/>
          </w:tcPr>
          <w:p>
            <w:pPr>
              <w:jc w:val="right"/>
              <w:ind w:right="100"/>
              <w:spacing w:after="0" w:line="117" w:lineRule="exact"/>
              <w:rPr>
                <w:sz w:val="20"/>
                <w:szCs w:val="20"/>
                <w:color w:val="auto"/>
              </w:rPr>
            </w:pPr>
            <w:r>
              <w:rPr>
                <w:rFonts w:ascii="Times New Roman" w:cs="Times New Roman" w:eastAsia="Times New Roman" w:hAnsi="Times New Roman"/>
                <w:sz w:val="13"/>
                <w:szCs w:val="13"/>
                <w:color w:val="auto"/>
              </w:rPr>
              <w:t>8</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gridSpan w:val="2"/>
          </w:tcPr>
          <w:p>
            <w:pPr>
              <w:jc w:val="right"/>
              <w:ind w:right="100"/>
              <w:spacing w:after="0" w:line="117" w:lineRule="exact"/>
              <w:rPr>
                <w:sz w:val="20"/>
                <w:szCs w:val="20"/>
                <w:color w:val="auto"/>
              </w:rPr>
            </w:pPr>
            <w:r>
              <w:rPr>
                <w:rFonts w:ascii="Times New Roman" w:cs="Times New Roman" w:eastAsia="Times New Roman" w:hAnsi="Times New Roman"/>
                <w:sz w:val="13"/>
                <w:szCs w:val="13"/>
                <w:color w:val="auto"/>
              </w:rPr>
              <w:t>82</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3"/>
                <w:szCs w:val="13"/>
                <w:color w:val="auto"/>
              </w:rPr>
              <w:t>Technologies</w:t>
            </w: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8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Verve Wireless, Inc. (2)(12)</w:t>
            </w:r>
          </w:p>
        </w:tc>
        <w:tc>
          <w:tcPr>
            <w:tcW w:w="11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Internet and Media</w:t>
            </w:r>
          </w:p>
        </w:tc>
        <w:tc>
          <w:tcPr>
            <w:tcW w:w="56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w w:val="99"/>
              </w:rPr>
              <w:t>100,598</w:t>
            </w:r>
          </w:p>
        </w:tc>
        <w:tc>
          <w:tcPr>
            <w:tcW w:w="24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Preferred Stock</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225</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92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Formetrix, Inc. (2)(12)</w:t>
            </w:r>
          </w:p>
        </w:tc>
        <w:tc>
          <w:tcPr>
            <w:tcW w:w="1140" w:type="dxa"/>
            <w:vAlign w:val="bottom"/>
          </w:tcPr>
          <w:p>
            <w:pPr>
              <w:spacing w:after="0"/>
              <w:rPr>
                <w:sz w:val="20"/>
                <w:szCs w:val="20"/>
                <w:color w:val="auto"/>
              </w:rPr>
            </w:pPr>
            <w:r>
              <w:rPr>
                <w:rFonts w:ascii="Times New Roman" w:cs="Times New Roman" w:eastAsia="Times New Roman" w:hAnsi="Times New Roman"/>
                <w:sz w:val="13"/>
                <w:szCs w:val="13"/>
                <w:color w:val="auto"/>
              </w:rPr>
              <w:t>Materials</w:t>
            </w:r>
          </w:p>
        </w:tc>
        <w:tc>
          <w:tcPr>
            <w:tcW w:w="300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74,286 Common Stock</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74</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74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880" w:type="dxa"/>
            <w:vAlign w:val="bottom"/>
            <w:tcBorders>
              <w:top w:val="single" w:sz="8" w:color="CCEEFF"/>
            </w:tcBorders>
            <w:gridSpan w:val="2"/>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Non-Affiliate Equity</w:t>
            </w:r>
          </w:p>
        </w:tc>
        <w:tc>
          <w:tcPr>
            <w:tcW w:w="1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CCEEFF"/>
            </w:tcBorders>
            <w:shd w:val="clear" w:color="auto" w:fill="CCEEFF"/>
          </w:tcPr>
          <w:p>
            <w:pPr>
              <w:spacing w:after="0"/>
              <w:rPr>
                <w:sz w:val="11"/>
                <w:szCs w:val="11"/>
                <w:color w:val="auto"/>
              </w:rPr>
            </w:pPr>
          </w:p>
        </w:tc>
        <w:tc>
          <w:tcPr>
            <w:tcW w:w="24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7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703</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spacing w:after="0"/>
              <w:rPr>
                <w:sz w:val="11"/>
                <w:szCs w:val="11"/>
                <w:color w:val="auto"/>
              </w:rPr>
            </w:pPr>
          </w:p>
        </w:tc>
        <w:tc>
          <w:tcPr>
            <w:tcW w:w="7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564</w:t>
            </w: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880" w:type="dxa"/>
            <w:vAlign w:val="bottom"/>
            <w:tcBorders>
              <w:bottom w:val="single" w:sz="8" w:color="CCEEFF"/>
            </w:tcBorders>
            <w:gridSpan w:val="2"/>
          </w:tcPr>
          <w:p>
            <w:pPr>
              <w:spacing w:after="0" w:line="143" w:lineRule="exact"/>
              <w:rPr>
                <w:sz w:val="20"/>
                <w:szCs w:val="20"/>
                <w:color w:val="auto"/>
              </w:rPr>
            </w:pPr>
            <w:r>
              <w:rPr>
                <w:rFonts w:ascii="Times New Roman" w:cs="Times New Roman" w:eastAsia="Times New Roman" w:hAnsi="Times New Roman"/>
                <w:sz w:val="13"/>
                <w:szCs w:val="13"/>
                <w:b w:val="1"/>
                <w:bCs w:val="1"/>
                <w:color w:val="auto"/>
              </w:rPr>
              <w:t>Total Non-Affiliate Portfolio Investment Assets</w:t>
            </w:r>
          </w:p>
        </w:tc>
        <w:tc>
          <w:tcPr>
            <w:tcW w:w="11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440" w:type="dxa"/>
            <w:vAlign w:val="bottom"/>
            <w:tcBorders>
              <w:bottom w:val="single" w:sz="8" w:color="CCEEFF"/>
            </w:tcBorders>
          </w:tcPr>
          <w:p>
            <w:pPr>
              <w:spacing w:after="0"/>
              <w:rPr>
                <w:sz w:val="15"/>
                <w:szCs w:val="15"/>
                <w:color w:val="auto"/>
              </w:rPr>
            </w:pPr>
          </w:p>
        </w:tc>
        <w:tc>
          <w:tcPr>
            <w:tcW w:w="24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0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259,778</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jc w:val="right"/>
              <w:ind w:right="37"/>
              <w:spacing w:after="0" w:line="143" w:lineRule="exact"/>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258,249</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3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88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Non-controlled Affiliate Investments — 5.3% (8)</w:t>
            </w: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8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Non-controlled Affiliate Debt Investments — Technology — 3.7% (8)</w:t>
            </w: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880" w:type="dxa"/>
            <w:vAlign w:val="bottom"/>
            <w:gridSpan w:val="2"/>
          </w:tcPr>
          <w:p>
            <w:pPr>
              <w:spacing w:after="0" w:line="117" w:lineRule="exact"/>
              <w:rPr>
                <w:sz w:val="20"/>
                <w:szCs w:val="20"/>
                <w:color w:val="auto"/>
              </w:rPr>
            </w:pPr>
            <w:r>
              <w:rPr>
                <w:rFonts w:ascii="Times New Roman" w:cs="Times New Roman" w:eastAsia="Times New Roman" w:hAnsi="Times New Roman"/>
                <w:sz w:val="13"/>
                <w:szCs w:val="13"/>
                <w:color w:val="auto"/>
              </w:rPr>
              <w:t>Decisyon, Inc. (12)</w:t>
            </w:r>
          </w:p>
        </w:tc>
        <w:tc>
          <w:tcPr>
            <w:tcW w:w="114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Software</w:t>
            </w:r>
          </w:p>
        </w:tc>
        <w:tc>
          <w:tcPr>
            <w:tcW w:w="3000" w:type="dxa"/>
            <w:vAlign w:val="bottom"/>
            <w:gridSpan w:val="3"/>
          </w:tcPr>
          <w:p>
            <w:pPr>
              <w:ind w:left="120"/>
              <w:spacing w:after="0" w:line="117" w:lineRule="exact"/>
              <w:rPr>
                <w:sz w:val="20"/>
                <w:szCs w:val="20"/>
                <w:color w:val="auto"/>
              </w:rPr>
            </w:pPr>
            <w:r>
              <w:rPr>
                <w:rFonts w:ascii="Times New Roman" w:cs="Times New Roman" w:eastAsia="Times New Roman" w:hAnsi="Times New Roman"/>
                <w:sz w:val="13"/>
                <w:szCs w:val="13"/>
                <w:color w:val="auto"/>
              </w:rPr>
              <w:t>Term Loan (14.41% cash (Libor + 12.31%; Floor</w:t>
            </w:r>
          </w:p>
        </w:tc>
        <w:tc>
          <w:tcPr>
            <w:tcW w:w="240" w:type="dxa"/>
            <w:vAlign w:val="bottom"/>
            <w:gridSpan w:val="2"/>
          </w:tcPr>
          <w:p>
            <w:pPr>
              <w:jc w:val="right"/>
              <w:ind w:right="60"/>
              <w:spacing w:after="0" w:line="117" w:lineRule="exact"/>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1,237</w:t>
            </w:r>
          </w:p>
        </w:tc>
        <w:tc>
          <w:tcPr>
            <w:tcW w:w="160" w:type="dxa"/>
            <w:vAlign w:val="bottom"/>
          </w:tcPr>
          <w:p>
            <w:pPr>
              <w:jc w:val="right"/>
              <w:ind w:right="44"/>
              <w:spacing w:after="0" w:line="117" w:lineRule="exact"/>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tcPr>
          <w:p>
            <w:pPr>
              <w:jc w:val="right"/>
              <w:ind w:right="100"/>
              <w:spacing w:after="0" w:line="117" w:lineRule="exact"/>
              <w:rPr>
                <w:sz w:val="20"/>
                <w:szCs w:val="20"/>
                <w:color w:val="auto"/>
              </w:rPr>
            </w:pPr>
            <w:r>
              <w:rPr>
                <w:rFonts w:ascii="Times New Roman" w:cs="Times New Roman" w:eastAsia="Times New Roman" w:hAnsi="Times New Roman"/>
                <w:sz w:val="13"/>
                <w:szCs w:val="13"/>
                <w:color w:val="auto"/>
              </w:rPr>
              <w:t>1,237</w:t>
            </w:r>
          </w:p>
        </w:tc>
        <w:tc>
          <w:tcPr>
            <w:tcW w:w="280" w:type="dxa"/>
            <w:vAlign w:val="bottom"/>
            <w:gridSpan w:val="2"/>
          </w:tcPr>
          <w:p>
            <w:pPr>
              <w:jc w:val="right"/>
              <w:ind w:right="37"/>
              <w:spacing w:after="0" w:line="117"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00"/>
              <w:spacing w:after="0" w:line="117" w:lineRule="exact"/>
              <w:rPr>
                <w:sz w:val="20"/>
                <w:szCs w:val="20"/>
                <w:color w:val="auto"/>
              </w:rPr>
            </w:pPr>
            <w:r>
              <w:rPr>
                <w:rFonts w:ascii="Times New Roman" w:cs="Times New Roman" w:eastAsia="Times New Roman" w:hAnsi="Times New Roman"/>
                <w:sz w:val="13"/>
                <w:szCs w:val="13"/>
                <w:color w:val="auto"/>
              </w:rPr>
              <w:t>1,237</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00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12.50%), 8.00% ETP, Due 12/1/20)</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3000" w:type="dxa"/>
            <w:vAlign w:val="bottom"/>
            <w:gridSpan w:val="3"/>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Term Loan (14.41% cash (Libor + 12.31%; Floor</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0" w:type="dxa"/>
            <w:vAlign w:val="bottom"/>
            <w:gridSpan w:val="2"/>
            <w:shd w:val="clear" w:color="auto" w:fill="CCEEFF"/>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653</w:t>
            </w:r>
          </w:p>
        </w:tc>
        <w:tc>
          <w:tcPr>
            <w:tcW w:w="16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100"/>
              <w:spacing w:after="0" w:line="117" w:lineRule="exact"/>
              <w:rPr>
                <w:sz w:val="20"/>
                <w:szCs w:val="20"/>
                <w:color w:val="auto"/>
              </w:rPr>
            </w:pPr>
            <w:r>
              <w:rPr>
                <w:rFonts w:ascii="Times New Roman" w:cs="Times New Roman" w:eastAsia="Times New Roman" w:hAnsi="Times New Roman"/>
                <w:sz w:val="13"/>
                <w:szCs w:val="13"/>
                <w:color w:val="auto"/>
              </w:rPr>
              <w:t>653</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right"/>
              <w:ind w:right="100"/>
              <w:spacing w:after="0" w:line="117" w:lineRule="exact"/>
              <w:rPr>
                <w:sz w:val="20"/>
                <w:szCs w:val="20"/>
                <w:color w:val="auto"/>
              </w:rPr>
            </w:pPr>
            <w:r>
              <w:rPr>
                <w:rFonts w:ascii="Times New Roman" w:cs="Times New Roman" w:eastAsia="Times New Roman" w:hAnsi="Times New Roman"/>
                <w:sz w:val="13"/>
                <w:szCs w:val="13"/>
                <w:color w:val="auto"/>
              </w:rPr>
              <w:t>653</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30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12.50%), 8.00% ETP, Due 12/1/20)</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000" w:type="dxa"/>
            <w:vAlign w:val="bottom"/>
            <w:gridSpan w:val="3"/>
          </w:tcPr>
          <w:p>
            <w:pPr>
              <w:ind w:left="120"/>
              <w:spacing w:after="0" w:line="135" w:lineRule="exact"/>
              <w:rPr>
                <w:sz w:val="20"/>
                <w:szCs w:val="20"/>
                <w:color w:val="auto"/>
              </w:rPr>
            </w:pPr>
            <w:r>
              <w:rPr>
                <w:rFonts w:ascii="Times New Roman" w:cs="Times New Roman" w:eastAsia="Times New Roman" w:hAnsi="Times New Roman"/>
                <w:sz w:val="13"/>
                <w:szCs w:val="13"/>
                <w:color w:val="auto"/>
              </w:rPr>
              <w:t>Term Loan (12.02% cash, Due 12/31/19)</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242</w:t>
            </w:r>
          </w:p>
        </w:tc>
        <w:tc>
          <w:tcPr>
            <w:tcW w:w="160" w:type="dxa"/>
            <w:vAlign w:val="bottom"/>
          </w:tcPr>
          <w:p>
            <w:pPr>
              <w:spacing w:after="0"/>
              <w:rPr>
                <w:sz w:val="11"/>
                <w:szCs w:val="11"/>
                <w:color w:val="auto"/>
              </w:rPr>
            </w:pPr>
          </w:p>
        </w:tc>
        <w:tc>
          <w:tcPr>
            <w:tcW w:w="8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242</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242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3000" w:type="dxa"/>
            <w:vAlign w:val="bottom"/>
            <w:gridSpan w:val="3"/>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Term Loan (12.03% cash, Due 12/31/19)</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242</w:t>
            </w:r>
          </w:p>
        </w:tc>
        <w:tc>
          <w:tcPr>
            <w:tcW w:w="1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242</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242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000" w:type="dxa"/>
            <w:vAlign w:val="bottom"/>
            <w:gridSpan w:val="3"/>
          </w:tcPr>
          <w:p>
            <w:pPr>
              <w:ind w:left="120"/>
              <w:spacing w:after="0" w:line="135" w:lineRule="exact"/>
              <w:rPr>
                <w:sz w:val="20"/>
                <w:szCs w:val="20"/>
                <w:color w:val="auto"/>
              </w:rPr>
            </w:pPr>
            <w:r>
              <w:rPr>
                <w:rFonts w:ascii="Times New Roman" w:cs="Times New Roman" w:eastAsia="Times New Roman" w:hAnsi="Times New Roman"/>
                <w:sz w:val="13"/>
                <w:szCs w:val="13"/>
                <w:color w:val="auto"/>
              </w:rPr>
              <w:t>Term Loan (12.24% cash, Due 12/31/19)</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727</w:t>
            </w:r>
          </w:p>
        </w:tc>
        <w:tc>
          <w:tcPr>
            <w:tcW w:w="160" w:type="dxa"/>
            <w:vAlign w:val="bottom"/>
          </w:tcPr>
          <w:p>
            <w:pPr>
              <w:spacing w:after="0"/>
              <w:rPr>
                <w:sz w:val="11"/>
                <w:szCs w:val="11"/>
                <w:color w:val="auto"/>
              </w:rPr>
            </w:pPr>
          </w:p>
        </w:tc>
        <w:tc>
          <w:tcPr>
            <w:tcW w:w="8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727</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727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3000" w:type="dxa"/>
            <w:vAlign w:val="bottom"/>
            <w:gridSpan w:val="3"/>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Term Loan (13.08% cash, Due 12/31/19)</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292</w:t>
            </w:r>
          </w:p>
        </w:tc>
        <w:tc>
          <w:tcPr>
            <w:tcW w:w="1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292</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292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000" w:type="dxa"/>
            <w:vAlign w:val="bottom"/>
            <w:gridSpan w:val="3"/>
          </w:tcPr>
          <w:p>
            <w:pPr>
              <w:ind w:left="120"/>
              <w:spacing w:after="0" w:line="135" w:lineRule="exact"/>
              <w:rPr>
                <w:sz w:val="20"/>
                <w:szCs w:val="20"/>
                <w:color w:val="auto"/>
              </w:rPr>
            </w:pPr>
            <w:r>
              <w:rPr>
                <w:rFonts w:ascii="Times New Roman" w:cs="Times New Roman" w:eastAsia="Times New Roman" w:hAnsi="Times New Roman"/>
                <w:sz w:val="13"/>
                <w:szCs w:val="13"/>
                <w:color w:val="auto"/>
              </w:rPr>
              <w:t>Term Loan (13.10% cash, Due 12/31/19)</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194</w:t>
            </w:r>
          </w:p>
        </w:tc>
        <w:tc>
          <w:tcPr>
            <w:tcW w:w="160" w:type="dxa"/>
            <w:vAlign w:val="bottom"/>
          </w:tcPr>
          <w:p>
            <w:pPr>
              <w:spacing w:after="0"/>
              <w:rPr>
                <w:sz w:val="11"/>
                <w:szCs w:val="11"/>
                <w:color w:val="auto"/>
              </w:rPr>
            </w:pPr>
          </w:p>
        </w:tc>
        <w:tc>
          <w:tcPr>
            <w:tcW w:w="8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194</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194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8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StereoVision Imaging, Inc. (12)</w:t>
            </w:r>
          </w:p>
        </w:tc>
        <w:tc>
          <w:tcPr>
            <w:tcW w:w="11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Software</w:t>
            </w:r>
          </w:p>
        </w:tc>
        <w:tc>
          <w:tcPr>
            <w:tcW w:w="3000" w:type="dxa"/>
            <w:vAlign w:val="bottom"/>
            <w:gridSpan w:val="3"/>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Term Loan (9.13% Cash (Libor + 7.03%; Floor</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3,033</w:t>
            </w:r>
          </w:p>
        </w:tc>
        <w:tc>
          <w:tcPr>
            <w:tcW w:w="1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2,632</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2,632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140" w:type="dxa"/>
            <w:vAlign w:val="bottom"/>
            <w:tcBorders>
              <w:bottom w:val="single" w:sz="8" w:color="CCEEFF"/>
            </w:tcBorders>
          </w:tcPr>
          <w:p>
            <w:pPr>
              <w:spacing w:after="0"/>
              <w:rPr>
                <w:sz w:val="12"/>
                <w:szCs w:val="12"/>
                <w:color w:val="auto"/>
              </w:rPr>
            </w:pPr>
          </w:p>
        </w:tc>
        <w:tc>
          <w:tcPr>
            <w:tcW w:w="3000" w:type="dxa"/>
            <w:vAlign w:val="bottom"/>
            <w:tcBorders>
              <w:bottom w:val="single" w:sz="8" w:color="CCEEFF"/>
            </w:tcBorders>
            <w:gridSpan w:val="3"/>
          </w:tcPr>
          <w:p>
            <w:pPr>
              <w:ind w:left="120"/>
              <w:spacing w:after="0"/>
              <w:rPr>
                <w:sz w:val="20"/>
                <w:szCs w:val="20"/>
                <w:color w:val="auto"/>
              </w:rPr>
            </w:pPr>
            <w:r>
              <w:rPr>
                <w:rFonts w:ascii="Times New Roman" w:cs="Times New Roman" w:eastAsia="Times New Roman" w:hAnsi="Times New Roman"/>
                <w:sz w:val="13"/>
                <w:szCs w:val="13"/>
                <w:color w:val="auto"/>
              </w:rPr>
              <w:t>8.50%), 8.50% ETP, Due 9/1/21) (11)</w:t>
            </w: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880" w:type="dxa"/>
            <w:vAlign w:val="bottom"/>
            <w:gridSpan w:val="2"/>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Total Non-controlled Affiliate Debt Investments — Technology</w:t>
            </w: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6,219</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6,219</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Schedule of Investments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2019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Principal</w:t>
            </w:r>
          </w:p>
        </w:tc>
        <w:tc>
          <w:tcPr>
            <w:tcW w:w="160" w:type="dxa"/>
            <w:vAlign w:val="bottom"/>
          </w:tcPr>
          <w:p>
            <w:pPr>
              <w:spacing w:after="0"/>
              <w:rPr>
                <w:sz w:val="12"/>
                <w:szCs w:val="12"/>
                <w:color w:val="auto"/>
              </w:rPr>
            </w:pPr>
          </w:p>
        </w:tc>
        <w:tc>
          <w:tcPr>
            <w:tcW w:w="96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w w:val="96"/>
              </w:rPr>
              <w:t>Cost of</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3"/>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Fair</w:t>
            </w:r>
          </w:p>
        </w:tc>
        <w:tc>
          <w:tcPr>
            <w:tcW w:w="0" w:type="dxa"/>
            <w:vAlign w:val="bottom"/>
          </w:tcPr>
          <w:p>
            <w:pPr>
              <w:spacing w:after="0"/>
              <w:rPr>
                <w:sz w:val="1"/>
                <w:szCs w:val="1"/>
                <w:color w:val="auto"/>
              </w:rPr>
            </w:pPr>
          </w:p>
        </w:tc>
      </w:tr>
      <w:tr>
        <w:trPr>
          <w:trHeight w:val="155"/>
        </w:trPr>
        <w:tc>
          <w:tcPr>
            <w:tcW w:w="390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Portfolio Company (1)(3)</w:t>
            </w:r>
          </w:p>
        </w:tc>
        <w:tc>
          <w:tcPr>
            <w:tcW w:w="1140" w:type="dxa"/>
            <w:vAlign w:val="bottom"/>
          </w:tcPr>
          <w:p>
            <w:pPr>
              <w:ind w:left="400"/>
              <w:spacing w:after="0"/>
              <w:rPr>
                <w:sz w:val="20"/>
                <w:szCs w:val="20"/>
                <w:color w:val="auto"/>
              </w:rPr>
            </w:pPr>
            <w:r>
              <w:rPr>
                <w:rFonts w:ascii="Times New Roman" w:cs="Times New Roman" w:eastAsia="Times New Roman" w:hAnsi="Times New Roman"/>
                <w:sz w:val="13"/>
                <w:szCs w:val="13"/>
                <w:b w:val="1"/>
                <w:bCs w:val="1"/>
                <w:color w:val="auto"/>
              </w:rPr>
              <w:t>Sector</w:t>
            </w:r>
          </w:p>
        </w:tc>
        <w:tc>
          <w:tcPr>
            <w:tcW w:w="120" w:type="dxa"/>
            <w:vAlign w:val="bottom"/>
          </w:tcPr>
          <w:p>
            <w:pPr>
              <w:spacing w:after="0"/>
              <w:rPr>
                <w:sz w:val="13"/>
                <w:szCs w:val="13"/>
                <w:color w:val="auto"/>
              </w:rPr>
            </w:pPr>
          </w:p>
        </w:tc>
        <w:tc>
          <w:tcPr>
            <w:tcW w:w="3000" w:type="dxa"/>
            <w:vAlign w:val="bottom"/>
            <w:gridSpan w:val="2"/>
          </w:tcPr>
          <w:p>
            <w:pPr>
              <w:ind w:left="580"/>
              <w:spacing w:after="0"/>
              <w:rPr>
                <w:sz w:val="20"/>
                <w:szCs w:val="20"/>
                <w:color w:val="auto"/>
              </w:rPr>
            </w:pPr>
            <w:r>
              <w:rPr>
                <w:rFonts w:ascii="Times New Roman" w:cs="Times New Roman" w:eastAsia="Times New Roman" w:hAnsi="Times New Roman"/>
                <w:sz w:val="13"/>
                <w:szCs w:val="13"/>
                <w:b w:val="1"/>
                <w:bCs w:val="1"/>
                <w:color w:val="auto"/>
              </w:rPr>
              <w:t>Type of Investment (4)(7)(9)(10)</w:t>
            </w: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1120" w:type="dxa"/>
            <w:vAlign w:val="bottom"/>
            <w:gridSpan w:val="3"/>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8"/>
              </w:rPr>
              <w:t>Investments (6)</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3"/>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8"/>
              </w:rPr>
              <w:t>Value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76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Non-controlled Affiliate Warrants — Technology — 0.0% (8)</w:t>
            </w:r>
          </w:p>
        </w:tc>
        <w:tc>
          <w:tcPr>
            <w:tcW w:w="120" w:type="dxa"/>
            <w:vAlign w:val="bottom"/>
            <w:tcBorders>
              <w:top w:val="single" w:sz="8" w:color="CCEEFF"/>
            </w:tcBorders>
            <w:shd w:val="clear" w:color="auto" w:fill="CCEEFF"/>
          </w:tcPr>
          <w:p>
            <w:pPr>
              <w:spacing w:after="0"/>
              <w:rPr>
                <w:sz w:val="11"/>
                <w:szCs w:val="11"/>
                <w:color w:val="auto"/>
              </w:rPr>
            </w:pPr>
          </w:p>
        </w:tc>
        <w:tc>
          <w:tcPr>
            <w:tcW w:w="11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8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3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Decisyon, Inc. (12)</w:t>
            </w:r>
          </w:p>
        </w:tc>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Software</w:t>
            </w:r>
          </w:p>
        </w:tc>
        <w:tc>
          <w:tcPr>
            <w:tcW w:w="31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82,967 Common Stock Warrants</w:t>
            </w: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46</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880" w:type="dxa"/>
            <w:vAlign w:val="bottom"/>
            <w:tcBorders>
              <w:bottom w:val="single" w:sz="8" w:color="CCEEFF"/>
            </w:tcBorders>
            <w:gridSpan w:val="2"/>
          </w:tcPr>
          <w:p>
            <w:pPr>
              <w:spacing w:after="0" w:line="129" w:lineRule="exact"/>
              <w:rPr>
                <w:sz w:val="20"/>
                <w:szCs w:val="20"/>
                <w:color w:val="auto"/>
              </w:rPr>
            </w:pPr>
            <w:r>
              <w:rPr>
                <w:rFonts w:ascii="Times New Roman" w:cs="Times New Roman" w:eastAsia="Times New Roman" w:hAnsi="Times New Roman"/>
                <w:sz w:val="13"/>
                <w:szCs w:val="13"/>
                <w:color w:val="auto"/>
              </w:rPr>
              <w:t>Total Non-controlled Affiliate Warrants — Technology</w:t>
            </w:r>
          </w:p>
        </w:tc>
        <w:tc>
          <w:tcPr>
            <w:tcW w:w="114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288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920" w:type="dxa"/>
            <w:vAlign w:val="bottom"/>
            <w:tcBorders>
              <w:bottom w:val="single" w:sz="8" w:color="CCEEFF"/>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7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46</w:t>
            </w:r>
          </w:p>
        </w:tc>
        <w:tc>
          <w:tcPr>
            <w:tcW w:w="20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gridSpan w:val="2"/>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880" w:type="dxa"/>
            <w:vAlign w:val="bottom"/>
            <w:gridSpan w:val="2"/>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Non-controlled Affiliate Equity — Technology — 1.6% (8)</w:t>
            </w: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8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Decisyon, Inc. (12)</w:t>
            </w:r>
          </w:p>
        </w:tc>
        <w:tc>
          <w:tcPr>
            <w:tcW w:w="11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Software</w:t>
            </w:r>
          </w:p>
        </w:tc>
        <w:tc>
          <w:tcPr>
            <w:tcW w:w="3120" w:type="dxa"/>
            <w:vAlign w:val="bottom"/>
            <w:gridSpan w:val="3"/>
          </w:tcPr>
          <w:p>
            <w:pPr>
              <w:ind w:left="120"/>
              <w:spacing w:after="0" w:line="135" w:lineRule="exact"/>
              <w:rPr>
                <w:sz w:val="20"/>
                <w:szCs w:val="20"/>
                <w:color w:val="auto"/>
              </w:rPr>
            </w:pPr>
            <w:r>
              <w:rPr>
                <w:rFonts w:ascii="Times New Roman" w:cs="Times New Roman" w:eastAsia="Times New Roman" w:hAnsi="Times New Roman"/>
                <w:sz w:val="13"/>
                <w:szCs w:val="13"/>
                <w:color w:val="auto"/>
              </w:rPr>
              <w:t>45,365,936 Common Stock</w:t>
            </w: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185</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75</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StereoVision Imaging, Inc. (12)</w:t>
            </w:r>
          </w:p>
        </w:tc>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Software</w:t>
            </w:r>
          </w:p>
        </w:tc>
        <w:tc>
          <w:tcPr>
            <w:tcW w:w="31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1,943,572 Common Stock</w:t>
            </w: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791</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2,653</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880" w:type="dxa"/>
            <w:vAlign w:val="bottom"/>
            <w:tcBorders>
              <w:bottom w:val="single" w:sz="8" w:color="CCEEFF"/>
            </w:tcBorders>
            <w:gridSpan w:val="2"/>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Non-controlled Affiliate Equity</w:t>
            </w:r>
          </w:p>
        </w:tc>
        <w:tc>
          <w:tcPr>
            <w:tcW w:w="114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288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920" w:type="dxa"/>
            <w:vAlign w:val="bottom"/>
            <w:tcBorders>
              <w:bottom w:val="single" w:sz="8" w:color="CCEEFF"/>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7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976</w:t>
            </w:r>
          </w:p>
        </w:tc>
        <w:tc>
          <w:tcPr>
            <w:tcW w:w="20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2,728</w:t>
            </w:r>
          </w:p>
        </w:tc>
        <w:tc>
          <w:tcPr>
            <w:tcW w:w="2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80" w:type="dxa"/>
            <w:vAlign w:val="bottom"/>
            <w:tcBorders>
              <w:bottom w:val="single" w:sz="8" w:color="CCEEFF"/>
            </w:tcBorders>
            <w:gridSpan w:val="2"/>
            <w:shd w:val="clear" w:color="auto" w:fill="CCEEFF"/>
          </w:tcPr>
          <w:p>
            <w:pPr>
              <w:spacing w:after="0" w:line="143" w:lineRule="exact"/>
              <w:rPr>
                <w:sz w:val="20"/>
                <w:szCs w:val="20"/>
                <w:color w:val="auto"/>
              </w:rPr>
            </w:pPr>
            <w:r>
              <w:rPr>
                <w:rFonts w:ascii="Times New Roman" w:cs="Times New Roman" w:eastAsia="Times New Roman" w:hAnsi="Times New Roman"/>
                <w:sz w:val="13"/>
                <w:szCs w:val="13"/>
                <w:b w:val="1"/>
                <w:bCs w:val="1"/>
                <w:color w:val="auto"/>
              </w:rPr>
              <w:t>Total Non-controlled Affiliate Portfolio Investment Assets</w:t>
            </w:r>
          </w:p>
        </w:tc>
        <w:tc>
          <w:tcPr>
            <w:tcW w:w="11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28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shd w:val="clear" w:color="auto" w:fill="CCEEFF"/>
          </w:tcPr>
          <w:p>
            <w:pPr>
              <w:jc w:val="right"/>
              <w:spacing w:after="0" w:line="143" w:lineRule="exact"/>
              <w:rPr>
                <w:sz w:val="20"/>
                <w:szCs w:val="20"/>
                <w:color w:val="auto"/>
              </w:rPr>
            </w:pPr>
            <w:r>
              <w:rPr>
                <w:rFonts w:ascii="Times New Roman" w:cs="Times New Roman" w:eastAsia="Times New Roman" w:hAnsi="Times New Roman"/>
                <w:sz w:val="13"/>
                <w:szCs w:val="13"/>
                <w:color w:val="auto"/>
              </w:rPr>
              <w:t>7,241</w:t>
            </w:r>
          </w:p>
        </w:tc>
        <w:tc>
          <w:tcPr>
            <w:tcW w:w="20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shd w:val="clear" w:color="auto" w:fill="CCEEFF"/>
          </w:tcPr>
          <w:p>
            <w:pPr>
              <w:jc w:val="right"/>
              <w:spacing w:after="0" w:line="143" w:lineRule="exact"/>
              <w:rPr>
                <w:sz w:val="20"/>
                <w:szCs w:val="20"/>
                <w:color w:val="auto"/>
              </w:rPr>
            </w:pPr>
            <w:r>
              <w:rPr>
                <w:rFonts w:ascii="Times New Roman" w:cs="Times New Roman" w:eastAsia="Times New Roman" w:hAnsi="Times New Roman"/>
                <w:sz w:val="13"/>
                <w:szCs w:val="13"/>
                <w:color w:val="auto"/>
              </w:rPr>
              <w:t>8,947</w:t>
            </w: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vMerge w:val="restart"/>
          </w:tcPr>
          <w:p>
            <w:pPr>
              <w:spacing w:after="0"/>
              <w:rPr>
                <w:sz w:val="10"/>
                <w:szCs w:val="10"/>
                <w:color w:val="auto"/>
              </w:rPr>
            </w:pPr>
          </w:p>
        </w:tc>
        <w:tc>
          <w:tcPr>
            <w:tcW w:w="3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88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Controlled Affiliate Investments — 8.5% (8)</w:t>
            </w: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8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Controlled Affiliate Equity — Financial — 8.5% (8)</w:t>
            </w: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3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Horizon Secured Loan Fund I LLC (12)(14)</w:t>
            </w: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14,358</w:t>
            </w:r>
          </w:p>
        </w:tc>
        <w:tc>
          <w:tcPr>
            <w:tcW w:w="180" w:type="dxa"/>
            <w:vAlign w:val="bottom"/>
            <w:gridSpan w:val="2"/>
          </w:tcPr>
          <w:p>
            <w:pPr>
              <w:jc w:val="right"/>
              <w:ind w:right="47"/>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14,323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880" w:type="dxa"/>
            <w:vAlign w:val="bottom"/>
            <w:tcBorders>
              <w:top w:val="single" w:sz="8" w:color="CCEEFF"/>
            </w:tcBorders>
            <w:gridSpan w:val="2"/>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Controlled Affiliate Equity</w:t>
            </w:r>
          </w:p>
        </w:tc>
        <w:tc>
          <w:tcPr>
            <w:tcW w:w="1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8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9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7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14,358</w:t>
            </w:r>
          </w:p>
        </w:tc>
        <w:tc>
          <w:tcPr>
            <w:tcW w:w="20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7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14,323</w:t>
            </w: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880" w:type="dxa"/>
            <w:vAlign w:val="bottom"/>
            <w:tcBorders>
              <w:bottom w:val="single" w:sz="8" w:color="CCEEFF"/>
            </w:tcBorders>
            <w:gridSpan w:val="2"/>
          </w:tcPr>
          <w:p>
            <w:pPr>
              <w:spacing w:after="0" w:line="143" w:lineRule="exact"/>
              <w:rPr>
                <w:sz w:val="20"/>
                <w:szCs w:val="20"/>
                <w:color w:val="auto"/>
              </w:rPr>
            </w:pPr>
            <w:r>
              <w:rPr>
                <w:rFonts w:ascii="Times New Roman" w:cs="Times New Roman" w:eastAsia="Times New Roman" w:hAnsi="Times New Roman"/>
                <w:sz w:val="13"/>
                <w:szCs w:val="13"/>
                <w:b w:val="1"/>
                <w:bCs w:val="1"/>
                <w:color w:val="auto"/>
              </w:rPr>
              <w:t>Total Controlled Affiliate Portfolio Investment Assets</w:t>
            </w:r>
          </w:p>
        </w:tc>
        <w:tc>
          <w:tcPr>
            <w:tcW w:w="11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8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92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14,358</w:t>
            </w:r>
          </w:p>
        </w:tc>
        <w:tc>
          <w:tcPr>
            <w:tcW w:w="2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14,323</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3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8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Total Portfolio Investment Assets — 167.4%(8)</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281,377</w:t>
            </w:r>
          </w:p>
        </w:tc>
        <w:tc>
          <w:tcPr>
            <w:tcW w:w="180" w:type="dxa"/>
            <w:vAlign w:val="bottom"/>
            <w:gridSpan w:val="2"/>
          </w:tcPr>
          <w:p>
            <w:pPr>
              <w:jc w:val="right"/>
              <w:ind w:right="47"/>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281,519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376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14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28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92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88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Short Term Investments — Unrestricted Investments — 10.8% (8)</w:t>
            </w: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US Bank Money Market Deposit Account</w:t>
            </w: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18,199</w:t>
            </w:r>
          </w:p>
        </w:tc>
        <w:tc>
          <w:tcPr>
            <w:tcW w:w="180" w:type="dxa"/>
            <w:vAlign w:val="bottom"/>
            <w:gridSpan w:val="2"/>
            <w:shd w:val="clear" w:color="auto" w:fill="CCEEFF"/>
          </w:tcPr>
          <w:p>
            <w:pPr>
              <w:jc w:val="right"/>
              <w:ind w:right="47"/>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18,199</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880" w:type="dxa"/>
            <w:vAlign w:val="bottom"/>
            <w:tcBorders>
              <w:bottom w:val="single" w:sz="8" w:color="CCEEFF"/>
            </w:tcBorders>
            <w:gridSpan w:val="2"/>
          </w:tcPr>
          <w:p>
            <w:pPr>
              <w:spacing w:after="0" w:line="143" w:lineRule="exact"/>
              <w:rPr>
                <w:sz w:val="20"/>
                <w:szCs w:val="20"/>
                <w:color w:val="auto"/>
              </w:rPr>
            </w:pPr>
            <w:r>
              <w:rPr>
                <w:rFonts w:ascii="Times New Roman" w:cs="Times New Roman" w:eastAsia="Times New Roman" w:hAnsi="Times New Roman"/>
                <w:sz w:val="13"/>
                <w:szCs w:val="13"/>
                <w:b w:val="1"/>
                <w:bCs w:val="1"/>
                <w:color w:val="auto"/>
              </w:rPr>
              <w:t>Total Short Term Investments —Unrestricted Investments</w:t>
            </w:r>
          </w:p>
        </w:tc>
        <w:tc>
          <w:tcPr>
            <w:tcW w:w="11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8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92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18,199</w:t>
            </w:r>
          </w:p>
        </w:tc>
        <w:tc>
          <w:tcPr>
            <w:tcW w:w="2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18,199</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3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8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88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Short Term Investments — Restricted Investments—0.7% (8)</w:t>
            </w: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US Bank Money Market Deposit Account</w:t>
            </w: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1,201</w:t>
            </w:r>
          </w:p>
        </w:tc>
        <w:tc>
          <w:tcPr>
            <w:tcW w:w="180" w:type="dxa"/>
            <w:vAlign w:val="bottom"/>
            <w:gridSpan w:val="2"/>
            <w:shd w:val="clear" w:color="auto" w:fill="CCEEFF"/>
          </w:tcPr>
          <w:p>
            <w:pPr>
              <w:jc w:val="right"/>
              <w:ind w:right="47"/>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1,201</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80" w:type="dxa"/>
            <w:vAlign w:val="bottom"/>
            <w:gridSpan w:val="2"/>
          </w:tcPr>
          <w:p>
            <w:pPr>
              <w:spacing w:after="0" w:line="143" w:lineRule="exact"/>
              <w:rPr>
                <w:sz w:val="20"/>
                <w:szCs w:val="20"/>
                <w:color w:val="auto"/>
              </w:rPr>
            </w:pPr>
            <w:r>
              <w:rPr>
                <w:rFonts w:ascii="Times New Roman" w:cs="Times New Roman" w:eastAsia="Times New Roman" w:hAnsi="Times New Roman"/>
                <w:sz w:val="13"/>
                <w:szCs w:val="13"/>
                <w:b w:val="1"/>
                <w:bCs w:val="1"/>
                <w:color w:val="auto"/>
              </w:rPr>
              <w:t>Total Short Term Investments — Restricted Investments</w:t>
            </w: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1,201</w:t>
            </w:r>
          </w:p>
        </w:tc>
        <w:tc>
          <w:tcPr>
            <w:tcW w:w="20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1,201</w:t>
            </w:r>
          </w:p>
        </w:tc>
        <w:tc>
          <w:tcPr>
            <w:tcW w:w="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1513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715135" cy="8890"/>
                    </a:xfrm>
                    <a:prstGeom prst="rect">
                      <a:avLst/>
                    </a:prstGeom>
                    <a:noFill/>
                  </pic:spPr>
                </pic:pic>
              </a:graphicData>
            </a:graphic>
          </wp:anchor>
        </w:drawing>
      </w:r>
    </w:p>
    <w:p>
      <w:pPr>
        <w:spacing w:after="0" w:line="200" w:lineRule="exact"/>
        <w:rPr>
          <w:sz w:val="20"/>
          <w:szCs w:val="20"/>
          <w:color w:val="auto"/>
        </w:rPr>
      </w:pPr>
    </w:p>
    <w:p>
      <w:pPr>
        <w:ind w:left="360" w:hanging="352"/>
        <w:spacing w:after="0"/>
        <w:tabs>
          <w:tab w:leader="none" w:pos="3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investments of the Company are in entities which are organized under the laws of the United States and have a principal place of business in the United States.</w:t>
      </w:r>
    </w:p>
    <w:p>
      <w:pPr>
        <w:spacing w:after="0" w:line="3" w:lineRule="exact"/>
        <w:rPr>
          <w:rFonts w:ascii="Times New Roman" w:cs="Times New Roman" w:eastAsia="Times New Roman" w:hAnsi="Times New Roman"/>
          <w:sz w:val="14"/>
          <w:szCs w:val="14"/>
          <w:color w:val="auto"/>
        </w:rPr>
      </w:pPr>
    </w:p>
    <w:p>
      <w:pPr>
        <w:ind w:left="360" w:hanging="352"/>
        <w:spacing w:after="0" w:line="221" w:lineRule="auto"/>
        <w:tabs>
          <w:tab w:leader="none" w:pos="3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Has been pledged as collateral under the revolving credit facility with KeyBank National Association (the “Key Facility”) and/or our Asset-Backed Notes.</w:t>
      </w:r>
    </w:p>
    <w:p>
      <w:pPr>
        <w:jc w:val="both"/>
        <w:ind w:left="360" w:hanging="352"/>
        <w:spacing w:after="0" w:line="221" w:lineRule="auto"/>
        <w:tabs>
          <w:tab w:leader="none" w:pos="3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non-affiliate investments are investments in which the Company owns less than 5% of the voting securities of the portfolio company. All non-controlled affiliate investments are investments in which the Company owns 5% or more of the voting securities of the portfolio company but not more than 25% of the voting securities of the portfolio company. All controlled affiliate investments are investments in which the Company owns more than 25% of the portfolio company’s outstanding voting securities or has the power to exercise control over management or policies of such portfolio company (including through a management agreement).</w:t>
      </w:r>
    </w:p>
    <w:p>
      <w:pPr>
        <w:spacing w:after="0" w:line="1" w:lineRule="exact"/>
        <w:rPr>
          <w:rFonts w:ascii="Times New Roman" w:cs="Times New Roman" w:eastAsia="Times New Roman" w:hAnsi="Times New Roman"/>
          <w:sz w:val="14"/>
          <w:szCs w:val="14"/>
          <w:color w:val="auto"/>
        </w:rPr>
      </w:pPr>
    </w:p>
    <w:p>
      <w:pPr>
        <w:jc w:val="both"/>
        <w:ind w:left="360" w:hanging="352"/>
        <w:spacing w:after="0" w:line="221" w:lineRule="auto"/>
        <w:tabs>
          <w:tab w:leader="none" w:pos="3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interest is payable in cash due monthly in arrears, unless otherwise indicated, and applies only to the Company’s debt investments. Interest rate is the annual interest rate on the debt investment and does not include end-of-term payments (“ETPs”), and any additional fees related to the investments, such as deferred interest, commitment fees or prepayment fees. Debt investments are at variable rates for the term of the debt investment, unless otherwise indicated. All debt investments based on the London InterBank Offered Rate (“LIBOR”) are based on one-month LIBOR. For each debt investment, the current interest rate in effect as of September 30, 2019 is provided.</w:t>
      </w:r>
    </w:p>
    <w:p>
      <w:pPr>
        <w:spacing w:after="0" w:line="1" w:lineRule="exact"/>
        <w:rPr>
          <w:rFonts w:ascii="Times New Roman" w:cs="Times New Roman" w:eastAsia="Times New Roman" w:hAnsi="Times New Roman"/>
          <w:sz w:val="14"/>
          <w:szCs w:val="14"/>
          <w:color w:val="auto"/>
        </w:rPr>
      </w:pPr>
    </w:p>
    <w:p>
      <w:pPr>
        <w:ind w:left="360" w:hanging="352"/>
        <w:spacing w:after="0" w:line="221" w:lineRule="auto"/>
        <w:tabs>
          <w:tab w:leader="none" w:pos="3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Portfolio company is a public company.</w:t>
      </w:r>
    </w:p>
    <w:p>
      <w:pPr>
        <w:ind w:left="360" w:hanging="352"/>
        <w:spacing w:after="0" w:line="221" w:lineRule="auto"/>
        <w:tabs>
          <w:tab w:leader="none" w:pos="3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debt investments, represents principal balance less unearned income.</w:t>
      </w:r>
    </w:p>
    <w:p>
      <w:pPr>
        <w:ind w:left="360" w:hanging="352"/>
        <w:spacing w:after="0" w:line="221" w:lineRule="auto"/>
        <w:tabs>
          <w:tab w:leader="none" w:pos="3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Warrants, Equity and Other Investments are non-income producing.</w:t>
      </w:r>
    </w:p>
    <w:p>
      <w:pPr>
        <w:ind w:left="360" w:hanging="352"/>
        <w:spacing w:after="0" w:line="221" w:lineRule="auto"/>
        <w:tabs>
          <w:tab w:leader="none" w:pos="3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Value as a percent of net assets.</w:t>
      </w:r>
    </w:p>
    <w:p>
      <w:pPr>
        <w:ind w:left="360" w:right="20" w:hanging="352"/>
        <w:spacing w:after="0" w:line="221" w:lineRule="auto"/>
        <w:tabs>
          <w:tab w:leader="none" w:pos="3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September 30, 2019, 4.4% of the Company’s total assets on a cost and fair value basis are in non-qualifying assets. Under the Investment Company Act of 1940, as amended (the “1940 Act”), the Company may not acquire any non-qualifying assets unless, at the time the acquisition is made, qualifying assets represent at least 70% of the Company’s total assets.</w:t>
      </w:r>
    </w:p>
    <w:p>
      <w:pPr>
        <w:jc w:val="both"/>
        <w:ind w:left="360" w:hanging="352"/>
        <w:spacing w:after="0" w:line="221" w:lineRule="auto"/>
        <w:tabs>
          <w:tab w:leader="none" w:pos="3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ETPs are contractual fixed-interest payments due in cash at the maturity date of the applicable debt investment, including upon any prepayment, and are a fixed percentage of the original principal balance of the debt investments unless otherwise noted. Interest will accrue during the life of the debt investment on each ETP and will be recognized as non-cash income until it is actually paid. Therefore, a portion of the incentive fee the Company may pay its Advisor will be based on income that the Company has not yet received in cash.</w:t>
      </w:r>
    </w:p>
    <w:p>
      <w:pPr>
        <w:ind w:left="360" w:hanging="352"/>
        <w:spacing w:after="0"/>
        <w:tabs>
          <w:tab w:leader="none" w:pos="3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Debt investment has a payment-in-kind (“PIK”) feature.</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11" w:name="page12"/>
    <w:bookmarkEnd w:id="11"/>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Horizon Technology Finance Corporation and Subsidiaries</w:t>
      </w:r>
    </w:p>
    <w:p>
      <w:pPr>
        <w:spacing w:after="0" w:line="22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Consolidated Schedule of Investments (Unaudited)</w:t>
      </w:r>
    </w:p>
    <w:p>
      <w:pPr>
        <w:spacing w:after="0" w:line="3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September 30, 2019</w:t>
      </w:r>
    </w:p>
    <w:p>
      <w:pPr>
        <w:spacing w:after="0" w:line="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29" w:lineRule="exact"/>
        <w:rPr>
          <w:sz w:val="20"/>
          <w:szCs w:val="20"/>
          <w:color w:val="auto"/>
        </w:rPr>
      </w:pPr>
    </w:p>
    <w:p>
      <w:pPr>
        <w:ind w:left="352" w:hanging="352"/>
        <w:spacing w:after="0"/>
        <w:tabs>
          <w:tab w:leader="none" w:pos="352"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fair value of the investment was valued using significant unobservable inputs.</w:t>
      </w:r>
    </w:p>
    <w:p>
      <w:pPr>
        <w:spacing w:after="0" w:line="3" w:lineRule="exact"/>
        <w:rPr>
          <w:rFonts w:ascii="Times New Roman" w:cs="Times New Roman" w:eastAsia="Times New Roman" w:hAnsi="Times New Roman"/>
          <w:sz w:val="14"/>
          <w:szCs w:val="14"/>
          <w:color w:val="auto"/>
        </w:rPr>
      </w:pPr>
    </w:p>
    <w:p>
      <w:pPr>
        <w:ind w:left="352" w:hanging="352"/>
        <w:spacing w:after="0" w:line="221" w:lineRule="auto"/>
        <w:tabs>
          <w:tab w:leader="none" w:pos="352"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New Signature US, Inc. is a subsidiary of BSI Platform Holdings, LLC.</w:t>
      </w:r>
    </w:p>
    <w:p>
      <w:pPr>
        <w:jc w:val="both"/>
        <w:ind w:left="352" w:hanging="352"/>
        <w:spacing w:after="0" w:line="221" w:lineRule="auto"/>
        <w:tabs>
          <w:tab w:leader="none" w:pos="352"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June 1, 2018, the Company entered into an agreement with Arena Sunset SPV, LLC (“Arena”) to co-invest through Horizon Secured Loan Fund I (“HSLFI”), a joint venture, which is expected to make investments, either directly or indirectly through subsidiaries, primarily in the form of secured loans to development-stage companies in the technology, life science, healthcare information and services and sustainability industries. All HSLFI investment decisions require unanimous approval of a quorum of HSLFI’s board of managers, which consists of two representatives of the Company and Arena. Although the Company owns more than 25% of the voting securities of HSLFI, the Company does not have sole control over significant actions of HSLFI for purposes of the 1940 Act or otherwise.</w:t>
      </w:r>
    </w:p>
    <w:p>
      <w:pPr>
        <w:spacing w:after="0" w:line="1" w:lineRule="exact"/>
        <w:rPr>
          <w:rFonts w:ascii="Times New Roman" w:cs="Times New Roman" w:eastAsia="Times New Roman" w:hAnsi="Times New Roman"/>
          <w:sz w:val="14"/>
          <w:szCs w:val="14"/>
          <w:color w:val="auto"/>
        </w:rPr>
      </w:pPr>
    </w:p>
    <w:p>
      <w:pPr>
        <w:ind w:left="352" w:hanging="352"/>
        <w:spacing w:after="0"/>
        <w:tabs>
          <w:tab w:leader="none" w:pos="352"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Debt investment is on non-accrual status as of September 30, 2019.</w:t>
      </w:r>
    </w:p>
    <w:p>
      <w:pPr>
        <w:spacing w:after="0" w:line="19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27" w:right="2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Schedule of Investments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5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7"/>
              </w:rPr>
              <w:t>Principal</w:t>
            </w:r>
          </w:p>
        </w:tc>
        <w:tc>
          <w:tcPr>
            <w:tcW w:w="160" w:type="dxa"/>
            <w:vAlign w:val="bottom"/>
          </w:tcPr>
          <w:p>
            <w:pPr>
              <w:spacing w:after="0"/>
              <w:rPr>
                <w:sz w:val="12"/>
                <w:szCs w:val="12"/>
                <w:color w:val="auto"/>
              </w:rPr>
            </w:pPr>
          </w:p>
        </w:tc>
        <w:tc>
          <w:tcPr>
            <w:tcW w:w="86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6"/>
              </w:rPr>
              <w:t>Cost of</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Fair</w:t>
            </w:r>
          </w:p>
        </w:tc>
      </w:tr>
      <w:tr>
        <w:trPr>
          <w:trHeight w:val="155"/>
        </w:trPr>
        <w:tc>
          <w:tcPr>
            <w:tcW w:w="35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Portfolio Company (1)(3)</w:t>
            </w:r>
          </w:p>
        </w:tc>
        <w:tc>
          <w:tcPr>
            <w:tcW w:w="1480" w:type="dxa"/>
            <w:vAlign w:val="bottom"/>
          </w:tcPr>
          <w:p>
            <w:pPr>
              <w:ind w:left="740"/>
              <w:spacing w:after="0"/>
              <w:rPr>
                <w:sz w:val="20"/>
                <w:szCs w:val="20"/>
                <w:color w:val="auto"/>
              </w:rPr>
            </w:pPr>
            <w:r>
              <w:rPr>
                <w:rFonts w:ascii="Times New Roman" w:cs="Times New Roman" w:eastAsia="Times New Roman" w:hAnsi="Times New Roman"/>
                <w:sz w:val="13"/>
                <w:szCs w:val="13"/>
                <w:b w:val="1"/>
                <w:bCs w:val="1"/>
                <w:color w:val="auto"/>
              </w:rPr>
              <w:t>Sector</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780" w:type="dxa"/>
            <w:vAlign w:val="bottom"/>
            <w:gridSpan w:val="3"/>
          </w:tcPr>
          <w:p>
            <w:pPr>
              <w:ind w:left="240"/>
              <w:spacing w:after="0"/>
              <w:rPr>
                <w:sz w:val="20"/>
                <w:szCs w:val="20"/>
                <w:color w:val="auto"/>
              </w:rPr>
            </w:pPr>
            <w:r>
              <w:rPr>
                <w:rFonts w:ascii="Times New Roman" w:cs="Times New Roman" w:eastAsia="Times New Roman" w:hAnsi="Times New Roman"/>
                <w:sz w:val="13"/>
                <w:szCs w:val="13"/>
                <w:b w:val="1"/>
                <w:bCs w:val="1"/>
                <w:color w:val="auto"/>
              </w:rPr>
              <w:t>Type of Investment (4)(7)(9)(10)</w:t>
            </w: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102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Investments (6)</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8"/>
              </w:rPr>
              <w:t>Value</w:t>
            </w:r>
          </w:p>
        </w:tc>
      </w:tr>
      <w:tr>
        <w:trPr>
          <w:trHeight w:val="129"/>
        </w:trPr>
        <w:tc>
          <w:tcPr>
            <w:tcW w:w="356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Non-Affiliate Investments — 169.6% (8)</w:t>
            </w:r>
          </w:p>
        </w:tc>
        <w:tc>
          <w:tcPr>
            <w:tcW w:w="14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25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r>
      <w:tr>
        <w:trPr>
          <w:trHeight w:val="135"/>
        </w:trPr>
        <w:tc>
          <w:tcPr>
            <w:tcW w:w="356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Non-Affiliate Debt Investments — 156.3% (8)</w:t>
            </w:r>
          </w:p>
        </w:tc>
        <w:tc>
          <w:tcPr>
            <w:tcW w:w="1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5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Non-Affiliate Debt Investments — Life Science — 49.9% (8)</w:t>
            </w:r>
          </w:p>
        </w:tc>
        <w:tc>
          <w:tcPr>
            <w:tcW w:w="1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17"/>
        </w:trPr>
        <w:tc>
          <w:tcPr>
            <w:tcW w:w="356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Celsion Corporation (2)(5)(12)</w:t>
            </w:r>
          </w:p>
        </w:tc>
        <w:tc>
          <w:tcPr>
            <w:tcW w:w="1480" w:type="dxa"/>
            <w:vAlign w:val="bottom"/>
          </w:tcPr>
          <w:p>
            <w:pPr>
              <w:ind w:left="340"/>
              <w:spacing w:after="0" w:line="117" w:lineRule="exact"/>
              <w:rPr>
                <w:sz w:val="20"/>
                <w:szCs w:val="20"/>
                <w:color w:val="auto"/>
              </w:rPr>
            </w:pPr>
            <w:r>
              <w:rPr>
                <w:rFonts w:ascii="Times New Roman" w:cs="Times New Roman" w:eastAsia="Times New Roman" w:hAnsi="Times New Roman"/>
                <w:sz w:val="13"/>
                <w:szCs w:val="13"/>
                <w:color w:val="auto"/>
              </w:rPr>
              <w:t>Biotechnology</w:t>
            </w:r>
          </w:p>
        </w:tc>
        <w:tc>
          <w:tcPr>
            <w:tcW w:w="3240" w:type="dxa"/>
            <w:vAlign w:val="bottom"/>
            <w:gridSpan w:val="5"/>
          </w:tcPr>
          <w:p>
            <w:pPr>
              <w:ind w:left="120"/>
              <w:spacing w:after="0" w:line="117" w:lineRule="exact"/>
              <w:rPr>
                <w:sz w:val="20"/>
                <w:szCs w:val="20"/>
                <w:color w:val="auto"/>
              </w:rPr>
            </w:pPr>
            <w:r>
              <w:rPr>
                <w:rFonts w:ascii="Times New Roman" w:cs="Times New Roman" w:eastAsia="Times New Roman" w:hAnsi="Times New Roman"/>
                <w:sz w:val="13"/>
                <w:szCs w:val="13"/>
                <w:color w:val="auto"/>
              </w:rPr>
              <w:t>Term Loan (9.98% cash (Libor + 7.63%; Floor 9.63%),   $</w:t>
            </w:r>
          </w:p>
        </w:tc>
        <w:tc>
          <w:tcPr>
            <w:tcW w:w="1000" w:type="dxa"/>
            <w:vAlign w:val="bottom"/>
            <w:gridSpan w:val="2"/>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2,500</w:t>
            </w:r>
          </w:p>
        </w:tc>
        <w:tc>
          <w:tcPr>
            <w:tcW w:w="160" w:type="dxa"/>
            <w:vAlign w:val="bottom"/>
          </w:tcPr>
          <w:p>
            <w:pPr>
              <w:jc w:val="right"/>
              <w:ind w:right="42"/>
              <w:spacing w:after="0" w:line="117" w:lineRule="exact"/>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tcPr>
          <w:p>
            <w:pPr>
              <w:jc w:val="right"/>
              <w:ind w:right="100"/>
              <w:spacing w:after="0" w:line="117" w:lineRule="exact"/>
              <w:rPr>
                <w:sz w:val="20"/>
                <w:szCs w:val="20"/>
                <w:color w:val="auto"/>
              </w:rPr>
            </w:pPr>
            <w:r>
              <w:rPr>
                <w:rFonts w:ascii="Times New Roman" w:cs="Times New Roman" w:eastAsia="Times New Roman" w:hAnsi="Times New Roman"/>
                <w:sz w:val="13"/>
                <w:szCs w:val="13"/>
                <w:color w:val="auto"/>
              </w:rPr>
              <w:t>2,450</w:t>
            </w:r>
          </w:p>
        </w:tc>
        <w:tc>
          <w:tcPr>
            <w:tcW w:w="280" w:type="dxa"/>
            <w:vAlign w:val="bottom"/>
            <w:gridSpan w:val="2"/>
          </w:tcPr>
          <w:p>
            <w:pPr>
              <w:jc w:val="right"/>
              <w:ind w:right="100"/>
              <w:spacing w:after="0" w:line="117"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00"/>
              <w:spacing w:after="0" w:line="117" w:lineRule="exact"/>
              <w:rPr>
                <w:sz w:val="20"/>
                <w:szCs w:val="20"/>
                <w:color w:val="auto"/>
              </w:rPr>
            </w:pPr>
            <w:r>
              <w:rPr>
                <w:rFonts w:ascii="Times New Roman" w:cs="Times New Roman" w:eastAsia="Times New Roman" w:hAnsi="Times New Roman"/>
                <w:sz w:val="13"/>
                <w:szCs w:val="13"/>
                <w:color w:val="auto"/>
              </w:rPr>
              <w:t>2,450</w:t>
            </w:r>
          </w:p>
        </w:tc>
      </w:tr>
      <w:tr>
        <w:trPr>
          <w:trHeight w:val="153"/>
        </w:trPr>
        <w:tc>
          <w:tcPr>
            <w:tcW w:w="35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46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w w:val="95"/>
              </w:rPr>
              <w:t>4.00%</w:t>
            </w:r>
          </w:p>
        </w:tc>
        <w:tc>
          <w:tcPr>
            <w:tcW w:w="278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ETP, Due 7/1/22)</w:t>
            </w: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17"/>
        </w:trPr>
        <w:tc>
          <w:tcPr>
            <w:tcW w:w="3560" w:type="dxa"/>
            <w:vAlign w:val="bottom"/>
            <w:shd w:val="clear" w:color="auto" w:fill="CCEEFF"/>
          </w:tcPr>
          <w:p>
            <w:pPr>
              <w:spacing w:after="0"/>
              <w:rPr>
                <w:sz w:val="10"/>
                <w:szCs w:val="10"/>
                <w:color w:val="auto"/>
              </w:rPr>
            </w:pPr>
          </w:p>
        </w:tc>
        <w:tc>
          <w:tcPr>
            <w:tcW w:w="1480" w:type="dxa"/>
            <w:vAlign w:val="bottom"/>
            <w:shd w:val="clear" w:color="auto" w:fill="CCEEFF"/>
          </w:tcPr>
          <w:p>
            <w:pPr>
              <w:spacing w:after="0"/>
              <w:rPr>
                <w:sz w:val="10"/>
                <w:szCs w:val="10"/>
                <w:color w:val="auto"/>
              </w:rPr>
            </w:pPr>
          </w:p>
        </w:tc>
        <w:tc>
          <w:tcPr>
            <w:tcW w:w="3240" w:type="dxa"/>
            <w:vAlign w:val="bottom"/>
            <w:gridSpan w:val="5"/>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Term Loan (9.98% cash (Libor + 7.63%; Floor 9.63%),</w:t>
            </w:r>
          </w:p>
        </w:tc>
        <w:tc>
          <w:tcPr>
            <w:tcW w:w="1000" w:type="dxa"/>
            <w:vAlign w:val="bottom"/>
            <w:gridSpan w:val="2"/>
            <w:shd w:val="clear" w:color="auto" w:fill="CCEEFF"/>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2,500</w:t>
            </w:r>
          </w:p>
        </w:tc>
        <w:tc>
          <w:tcPr>
            <w:tcW w:w="16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100"/>
              <w:spacing w:after="0" w:line="117" w:lineRule="exact"/>
              <w:rPr>
                <w:sz w:val="20"/>
                <w:szCs w:val="20"/>
                <w:color w:val="auto"/>
              </w:rPr>
            </w:pPr>
            <w:r>
              <w:rPr>
                <w:rFonts w:ascii="Times New Roman" w:cs="Times New Roman" w:eastAsia="Times New Roman" w:hAnsi="Times New Roman"/>
                <w:sz w:val="13"/>
                <w:szCs w:val="13"/>
                <w:color w:val="auto"/>
              </w:rPr>
              <w:t>2,450</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right"/>
              <w:ind w:right="100"/>
              <w:spacing w:after="0" w:line="117" w:lineRule="exact"/>
              <w:rPr>
                <w:sz w:val="20"/>
                <w:szCs w:val="20"/>
                <w:color w:val="auto"/>
              </w:rPr>
            </w:pPr>
            <w:r>
              <w:rPr>
                <w:rFonts w:ascii="Times New Roman" w:cs="Times New Roman" w:eastAsia="Times New Roman" w:hAnsi="Times New Roman"/>
                <w:sz w:val="13"/>
                <w:szCs w:val="13"/>
                <w:color w:val="auto"/>
              </w:rPr>
              <w:t>2,450</w:t>
            </w:r>
          </w:p>
        </w:tc>
      </w:tr>
      <w:tr>
        <w:trPr>
          <w:trHeight w:val="153"/>
        </w:trPr>
        <w:tc>
          <w:tcPr>
            <w:tcW w:w="356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w w:val="95"/>
              </w:rPr>
              <w:t>4.00%</w:t>
            </w:r>
          </w:p>
        </w:tc>
        <w:tc>
          <w:tcPr>
            <w:tcW w:w="27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ETP, Due 7/1/22)</w:t>
            </w:r>
          </w:p>
        </w:tc>
        <w:tc>
          <w:tcPr>
            <w:tcW w:w="8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17"/>
        </w:trPr>
        <w:tc>
          <w:tcPr>
            <w:tcW w:w="356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Espero BioPharma, Inc. (2)(12)</w:t>
            </w:r>
          </w:p>
        </w:tc>
        <w:tc>
          <w:tcPr>
            <w:tcW w:w="1480" w:type="dxa"/>
            <w:vAlign w:val="bottom"/>
          </w:tcPr>
          <w:p>
            <w:pPr>
              <w:ind w:left="340"/>
              <w:spacing w:after="0" w:line="117" w:lineRule="exact"/>
              <w:rPr>
                <w:sz w:val="20"/>
                <w:szCs w:val="20"/>
                <w:color w:val="auto"/>
              </w:rPr>
            </w:pPr>
            <w:r>
              <w:rPr>
                <w:rFonts w:ascii="Times New Roman" w:cs="Times New Roman" w:eastAsia="Times New Roman" w:hAnsi="Times New Roman"/>
                <w:sz w:val="13"/>
                <w:szCs w:val="13"/>
                <w:color w:val="auto"/>
              </w:rPr>
              <w:t>Biotechnology</w:t>
            </w:r>
          </w:p>
        </w:tc>
        <w:tc>
          <w:tcPr>
            <w:tcW w:w="3240" w:type="dxa"/>
            <w:vAlign w:val="bottom"/>
            <w:gridSpan w:val="5"/>
          </w:tcPr>
          <w:p>
            <w:pPr>
              <w:ind w:left="120"/>
              <w:spacing w:after="0" w:line="117" w:lineRule="exact"/>
              <w:rPr>
                <w:sz w:val="20"/>
                <w:szCs w:val="20"/>
                <w:color w:val="auto"/>
              </w:rPr>
            </w:pPr>
            <w:r>
              <w:rPr>
                <w:rFonts w:ascii="Times New Roman" w:cs="Times New Roman" w:eastAsia="Times New Roman" w:hAnsi="Times New Roman"/>
                <w:sz w:val="13"/>
                <w:szCs w:val="13"/>
                <w:color w:val="auto"/>
              </w:rPr>
              <w:t>Term Loan (12.25% cash (Libor + 9.9%; Floor 12.00%),</w:t>
            </w:r>
          </w:p>
        </w:tc>
        <w:tc>
          <w:tcPr>
            <w:tcW w:w="1000" w:type="dxa"/>
            <w:vAlign w:val="bottom"/>
            <w:gridSpan w:val="2"/>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5,000</w:t>
            </w:r>
          </w:p>
        </w:tc>
        <w:tc>
          <w:tcPr>
            <w:tcW w:w="160" w:type="dxa"/>
            <w:vAlign w:val="bottom"/>
          </w:tcPr>
          <w:p>
            <w:pPr>
              <w:spacing w:after="0"/>
              <w:rPr>
                <w:sz w:val="10"/>
                <w:szCs w:val="10"/>
                <w:color w:val="auto"/>
              </w:rPr>
            </w:pPr>
          </w:p>
        </w:tc>
        <w:tc>
          <w:tcPr>
            <w:tcW w:w="860" w:type="dxa"/>
            <w:vAlign w:val="bottom"/>
            <w:gridSpan w:val="2"/>
          </w:tcPr>
          <w:p>
            <w:pPr>
              <w:jc w:val="right"/>
              <w:ind w:right="100"/>
              <w:spacing w:after="0" w:line="117" w:lineRule="exact"/>
              <w:rPr>
                <w:sz w:val="20"/>
                <w:szCs w:val="20"/>
                <w:color w:val="auto"/>
              </w:rPr>
            </w:pPr>
            <w:r>
              <w:rPr>
                <w:rFonts w:ascii="Times New Roman" w:cs="Times New Roman" w:eastAsia="Times New Roman" w:hAnsi="Times New Roman"/>
                <w:sz w:val="13"/>
                <w:szCs w:val="13"/>
                <w:color w:val="auto"/>
              </w:rPr>
              <w:t>4,760</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gridSpan w:val="2"/>
          </w:tcPr>
          <w:p>
            <w:pPr>
              <w:jc w:val="right"/>
              <w:ind w:right="100"/>
              <w:spacing w:after="0" w:line="117" w:lineRule="exact"/>
              <w:rPr>
                <w:sz w:val="20"/>
                <w:szCs w:val="20"/>
                <w:color w:val="auto"/>
              </w:rPr>
            </w:pPr>
            <w:r>
              <w:rPr>
                <w:rFonts w:ascii="Times New Roman" w:cs="Times New Roman" w:eastAsia="Times New Roman" w:hAnsi="Times New Roman"/>
                <w:sz w:val="13"/>
                <w:szCs w:val="13"/>
                <w:color w:val="auto"/>
              </w:rPr>
              <w:t>4,760</w:t>
            </w:r>
          </w:p>
        </w:tc>
      </w:tr>
      <w:tr>
        <w:trPr>
          <w:trHeight w:val="153"/>
        </w:trPr>
        <w:tc>
          <w:tcPr>
            <w:tcW w:w="35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46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w w:val="95"/>
              </w:rPr>
              <w:t>4.00%</w:t>
            </w:r>
          </w:p>
        </w:tc>
        <w:tc>
          <w:tcPr>
            <w:tcW w:w="278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ETP, Due 6/30/19)</w:t>
            </w: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17"/>
        </w:trPr>
        <w:tc>
          <w:tcPr>
            <w:tcW w:w="356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Palatin Technologies, Inc. (2)(5)(12)</w:t>
            </w:r>
          </w:p>
        </w:tc>
        <w:tc>
          <w:tcPr>
            <w:tcW w:w="1480" w:type="dxa"/>
            <w:vAlign w:val="bottom"/>
            <w:shd w:val="clear" w:color="auto" w:fill="CCEEFF"/>
          </w:tcPr>
          <w:p>
            <w:pPr>
              <w:ind w:left="340"/>
              <w:spacing w:after="0" w:line="117" w:lineRule="exact"/>
              <w:rPr>
                <w:sz w:val="20"/>
                <w:szCs w:val="20"/>
                <w:color w:val="auto"/>
              </w:rPr>
            </w:pPr>
            <w:r>
              <w:rPr>
                <w:rFonts w:ascii="Times New Roman" w:cs="Times New Roman" w:eastAsia="Times New Roman" w:hAnsi="Times New Roman"/>
                <w:sz w:val="13"/>
                <w:szCs w:val="13"/>
                <w:color w:val="auto"/>
              </w:rPr>
              <w:t>Biotechnology</w:t>
            </w:r>
          </w:p>
        </w:tc>
        <w:tc>
          <w:tcPr>
            <w:tcW w:w="3240" w:type="dxa"/>
            <w:vAlign w:val="bottom"/>
            <w:gridSpan w:val="5"/>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Term Loan (10.85% cash (Libor + 8.50%; Floor 9.00%),</w:t>
            </w:r>
          </w:p>
        </w:tc>
        <w:tc>
          <w:tcPr>
            <w:tcW w:w="1000" w:type="dxa"/>
            <w:vAlign w:val="bottom"/>
            <w:gridSpan w:val="2"/>
            <w:shd w:val="clear" w:color="auto" w:fill="CCEEFF"/>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1,167</w:t>
            </w:r>
          </w:p>
        </w:tc>
        <w:tc>
          <w:tcPr>
            <w:tcW w:w="16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100"/>
              <w:spacing w:after="0" w:line="117" w:lineRule="exact"/>
              <w:rPr>
                <w:sz w:val="20"/>
                <w:szCs w:val="20"/>
                <w:color w:val="auto"/>
              </w:rPr>
            </w:pPr>
            <w:r>
              <w:rPr>
                <w:rFonts w:ascii="Times New Roman" w:cs="Times New Roman" w:eastAsia="Times New Roman" w:hAnsi="Times New Roman"/>
                <w:sz w:val="13"/>
                <w:szCs w:val="13"/>
                <w:color w:val="auto"/>
              </w:rPr>
              <w:t>1,156</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right"/>
              <w:ind w:right="100"/>
              <w:spacing w:after="0" w:line="117" w:lineRule="exact"/>
              <w:rPr>
                <w:sz w:val="20"/>
                <w:szCs w:val="20"/>
                <w:color w:val="auto"/>
              </w:rPr>
            </w:pPr>
            <w:r>
              <w:rPr>
                <w:rFonts w:ascii="Times New Roman" w:cs="Times New Roman" w:eastAsia="Times New Roman" w:hAnsi="Times New Roman"/>
                <w:sz w:val="13"/>
                <w:szCs w:val="13"/>
                <w:color w:val="auto"/>
              </w:rPr>
              <w:t>1,156</w:t>
            </w:r>
          </w:p>
        </w:tc>
      </w:tr>
      <w:tr>
        <w:trPr>
          <w:trHeight w:val="153"/>
        </w:trPr>
        <w:tc>
          <w:tcPr>
            <w:tcW w:w="356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w w:val="95"/>
              </w:rPr>
              <w:t>5.00%</w:t>
            </w:r>
          </w:p>
        </w:tc>
        <w:tc>
          <w:tcPr>
            <w:tcW w:w="27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ETP, Due 8/1/19)</w:t>
            </w:r>
          </w:p>
        </w:tc>
        <w:tc>
          <w:tcPr>
            <w:tcW w:w="8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17"/>
        </w:trPr>
        <w:tc>
          <w:tcPr>
            <w:tcW w:w="35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3240" w:type="dxa"/>
            <w:vAlign w:val="bottom"/>
            <w:gridSpan w:val="5"/>
          </w:tcPr>
          <w:p>
            <w:pPr>
              <w:ind w:left="120"/>
              <w:spacing w:after="0" w:line="117" w:lineRule="exact"/>
              <w:rPr>
                <w:sz w:val="20"/>
                <w:szCs w:val="20"/>
                <w:color w:val="auto"/>
              </w:rPr>
            </w:pPr>
            <w:r>
              <w:rPr>
                <w:rFonts w:ascii="Times New Roman" w:cs="Times New Roman" w:eastAsia="Times New Roman" w:hAnsi="Times New Roman"/>
                <w:sz w:val="13"/>
                <w:szCs w:val="13"/>
                <w:color w:val="auto"/>
              </w:rPr>
              <w:t>Term Loan (10.85% cash (Libor + 8.50%; Floor 9.00%),</w:t>
            </w:r>
          </w:p>
        </w:tc>
        <w:tc>
          <w:tcPr>
            <w:tcW w:w="1000" w:type="dxa"/>
            <w:vAlign w:val="bottom"/>
            <w:gridSpan w:val="2"/>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1,167</w:t>
            </w:r>
          </w:p>
        </w:tc>
        <w:tc>
          <w:tcPr>
            <w:tcW w:w="160" w:type="dxa"/>
            <w:vAlign w:val="bottom"/>
          </w:tcPr>
          <w:p>
            <w:pPr>
              <w:spacing w:after="0"/>
              <w:rPr>
                <w:sz w:val="10"/>
                <w:szCs w:val="10"/>
                <w:color w:val="auto"/>
              </w:rPr>
            </w:pPr>
          </w:p>
        </w:tc>
        <w:tc>
          <w:tcPr>
            <w:tcW w:w="860" w:type="dxa"/>
            <w:vAlign w:val="bottom"/>
            <w:gridSpan w:val="2"/>
          </w:tcPr>
          <w:p>
            <w:pPr>
              <w:jc w:val="right"/>
              <w:ind w:right="100"/>
              <w:spacing w:after="0" w:line="117" w:lineRule="exact"/>
              <w:rPr>
                <w:sz w:val="20"/>
                <w:szCs w:val="20"/>
                <w:color w:val="auto"/>
              </w:rPr>
            </w:pPr>
            <w:r>
              <w:rPr>
                <w:rFonts w:ascii="Times New Roman" w:cs="Times New Roman" w:eastAsia="Times New Roman" w:hAnsi="Times New Roman"/>
                <w:sz w:val="13"/>
                <w:szCs w:val="13"/>
                <w:color w:val="auto"/>
              </w:rPr>
              <w:t>1,167</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gridSpan w:val="2"/>
          </w:tcPr>
          <w:p>
            <w:pPr>
              <w:jc w:val="right"/>
              <w:ind w:right="100"/>
              <w:spacing w:after="0" w:line="117" w:lineRule="exact"/>
              <w:rPr>
                <w:sz w:val="20"/>
                <w:szCs w:val="20"/>
                <w:color w:val="auto"/>
              </w:rPr>
            </w:pPr>
            <w:r>
              <w:rPr>
                <w:rFonts w:ascii="Times New Roman" w:cs="Times New Roman" w:eastAsia="Times New Roman" w:hAnsi="Times New Roman"/>
                <w:sz w:val="13"/>
                <w:szCs w:val="13"/>
                <w:color w:val="auto"/>
              </w:rPr>
              <w:t>1,167</w:t>
            </w:r>
          </w:p>
        </w:tc>
      </w:tr>
      <w:tr>
        <w:trPr>
          <w:trHeight w:val="153"/>
        </w:trPr>
        <w:tc>
          <w:tcPr>
            <w:tcW w:w="35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46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w w:val="95"/>
              </w:rPr>
              <w:t>3.27%</w:t>
            </w:r>
          </w:p>
        </w:tc>
        <w:tc>
          <w:tcPr>
            <w:tcW w:w="278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ETP, Due 8/1/19)</w:t>
            </w: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17"/>
        </w:trPr>
        <w:tc>
          <w:tcPr>
            <w:tcW w:w="356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vTv Therapeutics Inc. (2)(5)(12)</w:t>
            </w:r>
          </w:p>
        </w:tc>
        <w:tc>
          <w:tcPr>
            <w:tcW w:w="1480" w:type="dxa"/>
            <w:vAlign w:val="bottom"/>
            <w:shd w:val="clear" w:color="auto" w:fill="CCEEFF"/>
          </w:tcPr>
          <w:p>
            <w:pPr>
              <w:ind w:left="340"/>
              <w:spacing w:after="0" w:line="117" w:lineRule="exact"/>
              <w:rPr>
                <w:sz w:val="20"/>
                <w:szCs w:val="20"/>
                <w:color w:val="auto"/>
              </w:rPr>
            </w:pPr>
            <w:r>
              <w:rPr>
                <w:rFonts w:ascii="Times New Roman" w:cs="Times New Roman" w:eastAsia="Times New Roman" w:hAnsi="Times New Roman"/>
                <w:sz w:val="13"/>
                <w:szCs w:val="13"/>
                <w:color w:val="auto"/>
              </w:rPr>
              <w:t>Biotechnology</w:t>
            </w:r>
          </w:p>
        </w:tc>
        <w:tc>
          <w:tcPr>
            <w:tcW w:w="3240" w:type="dxa"/>
            <w:vAlign w:val="bottom"/>
            <w:gridSpan w:val="5"/>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Term Loan (12.35% cash (Libor + 10.00%;</w:t>
            </w:r>
          </w:p>
        </w:tc>
        <w:tc>
          <w:tcPr>
            <w:tcW w:w="1000" w:type="dxa"/>
            <w:vAlign w:val="bottom"/>
            <w:gridSpan w:val="2"/>
            <w:shd w:val="clear" w:color="auto" w:fill="CCEEFF"/>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4,167</w:t>
            </w:r>
          </w:p>
        </w:tc>
        <w:tc>
          <w:tcPr>
            <w:tcW w:w="16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100"/>
              <w:spacing w:after="0" w:line="117" w:lineRule="exact"/>
              <w:rPr>
                <w:sz w:val="20"/>
                <w:szCs w:val="20"/>
                <w:color w:val="auto"/>
              </w:rPr>
            </w:pPr>
            <w:r>
              <w:rPr>
                <w:rFonts w:ascii="Times New Roman" w:cs="Times New Roman" w:eastAsia="Times New Roman" w:hAnsi="Times New Roman"/>
                <w:sz w:val="13"/>
                <w:szCs w:val="13"/>
                <w:color w:val="auto"/>
              </w:rPr>
              <w:t>4,136</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right"/>
              <w:ind w:right="100"/>
              <w:spacing w:after="0" w:line="117" w:lineRule="exact"/>
              <w:rPr>
                <w:sz w:val="20"/>
                <w:szCs w:val="20"/>
                <w:color w:val="auto"/>
              </w:rPr>
            </w:pPr>
            <w:r>
              <w:rPr>
                <w:rFonts w:ascii="Times New Roman" w:cs="Times New Roman" w:eastAsia="Times New Roman" w:hAnsi="Times New Roman"/>
                <w:sz w:val="13"/>
                <w:szCs w:val="13"/>
                <w:color w:val="auto"/>
              </w:rPr>
              <w:t>4,136</w:t>
            </w:r>
          </w:p>
        </w:tc>
      </w:tr>
      <w:tr>
        <w:trPr>
          <w:trHeight w:val="153"/>
        </w:trPr>
        <w:tc>
          <w:tcPr>
            <w:tcW w:w="356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3240" w:type="dxa"/>
            <w:vAlign w:val="bottom"/>
            <w:gridSpan w:val="5"/>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Floor10.50%), 6.00% ETP, Due 5/1/20)</w:t>
            </w:r>
          </w:p>
        </w:tc>
        <w:tc>
          <w:tcPr>
            <w:tcW w:w="8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17"/>
        </w:trPr>
        <w:tc>
          <w:tcPr>
            <w:tcW w:w="35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3240" w:type="dxa"/>
            <w:vAlign w:val="bottom"/>
            <w:gridSpan w:val="5"/>
          </w:tcPr>
          <w:p>
            <w:pPr>
              <w:ind w:left="120"/>
              <w:spacing w:after="0" w:line="117" w:lineRule="exact"/>
              <w:rPr>
                <w:sz w:val="20"/>
                <w:szCs w:val="20"/>
                <w:color w:val="auto"/>
              </w:rPr>
            </w:pPr>
            <w:r>
              <w:rPr>
                <w:rFonts w:ascii="Times New Roman" w:cs="Times New Roman" w:eastAsia="Times New Roman" w:hAnsi="Times New Roman"/>
                <w:sz w:val="13"/>
                <w:szCs w:val="13"/>
                <w:color w:val="auto"/>
              </w:rPr>
              <w:t>Term Loan (12.35% cash (Libor + 10.00%; Floor</w:t>
            </w:r>
          </w:p>
        </w:tc>
        <w:tc>
          <w:tcPr>
            <w:tcW w:w="1000" w:type="dxa"/>
            <w:vAlign w:val="bottom"/>
            <w:gridSpan w:val="2"/>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3,281</w:t>
            </w:r>
          </w:p>
        </w:tc>
        <w:tc>
          <w:tcPr>
            <w:tcW w:w="160" w:type="dxa"/>
            <w:vAlign w:val="bottom"/>
          </w:tcPr>
          <w:p>
            <w:pPr>
              <w:spacing w:after="0"/>
              <w:rPr>
                <w:sz w:val="10"/>
                <w:szCs w:val="10"/>
                <w:color w:val="auto"/>
              </w:rPr>
            </w:pPr>
          </w:p>
        </w:tc>
        <w:tc>
          <w:tcPr>
            <w:tcW w:w="860" w:type="dxa"/>
            <w:vAlign w:val="bottom"/>
            <w:gridSpan w:val="2"/>
          </w:tcPr>
          <w:p>
            <w:pPr>
              <w:jc w:val="right"/>
              <w:ind w:right="100"/>
              <w:spacing w:after="0" w:line="117" w:lineRule="exact"/>
              <w:rPr>
                <w:sz w:val="20"/>
                <w:szCs w:val="20"/>
                <w:color w:val="auto"/>
              </w:rPr>
            </w:pPr>
            <w:r>
              <w:rPr>
                <w:rFonts w:ascii="Times New Roman" w:cs="Times New Roman" w:eastAsia="Times New Roman" w:hAnsi="Times New Roman"/>
                <w:sz w:val="13"/>
                <w:szCs w:val="13"/>
                <w:color w:val="auto"/>
              </w:rPr>
              <w:t>3,250</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gridSpan w:val="2"/>
          </w:tcPr>
          <w:p>
            <w:pPr>
              <w:jc w:val="right"/>
              <w:ind w:right="100"/>
              <w:spacing w:after="0" w:line="117" w:lineRule="exact"/>
              <w:rPr>
                <w:sz w:val="20"/>
                <w:szCs w:val="20"/>
                <w:color w:val="auto"/>
              </w:rPr>
            </w:pPr>
            <w:r>
              <w:rPr>
                <w:rFonts w:ascii="Times New Roman" w:cs="Times New Roman" w:eastAsia="Times New Roman" w:hAnsi="Times New Roman"/>
                <w:sz w:val="13"/>
                <w:szCs w:val="13"/>
                <w:color w:val="auto"/>
              </w:rPr>
              <w:t>3,250</w:t>
            </w:r>
          </w:p>
        </w:tc>
      </w:tr>
      <w:tr>
        <w:trPr>
          <w:trHeight w:val="153"/>
        </w:trPr>
        <w:tc>
          <w:tcPr>
            <w:tcW w:w="35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3240" w:type="dxa"/>
            <w:vAlign w:val="bottom"/>
            <w:gridSpan w:val="5"/>
          </w:tcPr>
          <w:p>
            <w:pPr>
              <w:ind w:left="120"/>
              <w:spacing w:after="0"/>
              <w:rPr>
                <w:sz w:val="20"/>
                <w:szCs w:val="20"/>
                <w:color w:val="auto"/>
              </w:rPr>
            </w:pPr>
            <w:r>
              <w:rPr>
                <w:rFonts w:ascii="Times New Roman" w:cs="Times New Roman" w:eastAsia="Times New Roman" w:hAnsi="Times New Roman"/>
                <w:sz w:val="13"/>
                <w:szCs w:val="13"/>
                <w:color w:val="auto"/>
              </w:rPr>
              <w:t>10.50%), 6.00% ETP, Due 10/1/20)</w:t>
            </w: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17"/>
        </w:trPr>
        <w:tc>
          <w:tcPr>
            <w:tcW w:w="356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Titan Pharmaceuticals, Inc. (2)(5)(12)</w:t>
            </w:r>
          </w:p>
        </w:tc>
        <w:tc>
          <w:tcPr>
            <w:tcW w:w="1480" w:type="dxa"/>
            <w:vAlign w:val="bottom"/>
            <w:shd w:val="clear" w:color="auto" w:fill="CCEEFF"/>
          </w:tcPr>
          <w:p>
            <w:pPr>
              <w:ind w:left="340"/>
              <w:spacing w:after="0" w:line="117" w:lineRule="exact"/>
              <w:rPr>
                <w:sz w:val="20"/>
                <w:szCs w:val="20"/>
                <w:color w:val="auto"/>
              </w:rPr>
            </w:pPr>
            <w:r>
              <w:rPr>
                <w:rFonts w:ascii="Times New Roman" w:cs="Times New Roman" w:eastAsia="Times New Roman" w:hAnsi="Times New Roman"/>
                <w:sz w:val="13"/>
                <w:szCs w:val="13"/>
                <w:color w:val="auto"/>
              </w:rPr>
              <w:t>Drug Delivery</w:t>
            </w:r>
          </w:p>
        </w:tc>
        <w:tc>
          <w:tcPr>
            <w:tcW w:w="3240" w:type="dxa"/>
            <w:vAlign w:val="bottom"/>
            <w:gridSpan w:val="5"/>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Term Loan (10.75% cash (Libor + 8.40%; Floor 9.50%),</w:t>
            </w:r>
          </w:p>
        </w:tc>
        <w:tc>
          <w:tcPr>
            <w:tcW w:w="1000" w:type="dxa"/>
            <w:vAlign w:val="bottom"/>
            <w:gridSpan w:val="2"/>
            <w:shd w:val="clear" w:color="auto" w:fill="CCEEFF"/>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1,600</w:t>
            </w:r>
          </w:p>
        </w:tc>
        <w:tc>
          <w:tcPr>
            <w:tcW w:w="16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100"/>
              <w:spacing w:after="0" w:line="117" w:lineRule="exact"/>
              <w:rPr>
                <w:sz w:val="20"/>
                <w:szCs w:val="20"/>
                <w:color w:val="auto"/>
              </w:rPr>
            </w:pPr>
            <w:r>
              <w:rPr>
                <w:rFonts w:ascii="Times New Roman" w:cs="Times New Roman" w:eastAsia="Times New Roman" w:hAnsi="Times New Roman"/>
                <w:sz w:val="13"/>
                <w:szCs w:val="13"/>
                <w:color w:val="auto"/>
              </w:rPr>
              <w:t>1,495</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right"/>
              <w:ind w:right="100"/>
              <w:spacing w:after="0" w:line="117" w:lineRule="exact"/>
              <w:rPr>
                <w:sz w:val="20"/>
                <w:szCs w:val="20"/>
                <w:color w:val="auto"/>
              </w:rPr>
            </w:pPr>
            <w:r>
              <w:rPr>
                <w:rFonts w:ascii="Times New Roman" w:cs="Times New Roman" w:eastAsia="Times New Roman" w:hAnsi="Times New Roman"/>
                <w:sz w:val="13"/>
                <w:szCs w:val="13"/>
                <w:color w:val="auto"/>
              </w:rPr>
              <w:t>1,495</w:t>
            </w:r>
          </w:p>
        </w:tc>
      </w:tr>
      <w:tr>
        <w:trPr>
          <w:trHeight w:val="153"/>
        </w:trPr>
        <w:tc>
          <w:tcPr>
            <w:tcW w:w="356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w w:val="95"/>
              </w:rPr>
              <w:t>5.00%</w:t>
            </w:r>
          </w:p>
        </w:tc>
        <w:tc>
          <w:tcPr>
            <w:tcW w:w="27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ETP, Due 6/1/21)</w:t>
            </w:r>
          </w:p>
        </w:tc>
        <w:tc>
          <w:tcPr>
            <w:tcW w:w="8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17"/>
        </w:trPr>
        <w:tc>
          <w:tcPr>
            <w:tcW w:w="356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Aerin Medical, Inc. (2)(12)</w:t>
            </w:r>
          </w:p>
        </w:tc>
        <w:tc>
          <w:tcPr>
            <w:tcW w:w="1480" w:type="dxa"/>
            <w:vAlign w:val="bottom"/>
          </w:tcPr>
          <w:p>
            <w:pPr>
              <w:ind w:left="340"/>
              <w:spacing w:after="0" w:line="117" w:lineRule="exact"/>
              <w:rPr>
                <w:sz w:val="20"/>
                <w:szCs w:val="20"/>
                <w:color w:val="auto"/>
              </w:rPr>
            </w:pPr>
            <w:r>
              <w:rPr>
                <w:rFonts w:ascii="Times New Roman" w:cs="Times New Roman" w:eastAsia="Times New Roman" w:hAnsi="Times New Roman"/>
                <w:sz w:val="13"/>
                <w:szCs w:val="13"/>
                <w:color w:val="auto"/>
              </w:rPr>
              <w:t>Medical Device</w:t>
            </w:r>
          </w:p>
        </w:tc>
        <w:tc>
          <w:tcPr>
            <w:tcW w:w="3240" w:type="dxa"/>
            <w:vAlign w:val="bottom"/>
            <w:gridSpan w:val="5"/>
          </w:tcPr>
          <w:p>
            <w:pPr>
              <w:ind w:left="120"/>
              <w:spacing w:after="0" w:line="117" w:lineRule="exact"/>
              <w:rPr>
                <w:sz w:val="20"/>
                <w:szCs w:val="20"/>
                <w:color w:val="auto"/>
              </w:rPr>
            </w:pPr>
            <w:r>
              <w:rPr>
                <w:rFonts w:ascii="Times New Roman" w:cs="Times New Roman" w:eastAsia="Times New Roman" w:hAnsi="Times New Roman"/>
                <w:sz w:val="13"/>
                <w:szCs w:val="13"/>
                <w:color w:val="auto"/>
              </w:rPr>
              <w:t>Term Loan (9.80% cash (Libor + 7.45%; Floor 8.75%),</w:t>
            </w:r>
          </w:p>
        </w:tc>
        <w:tc>
          <w:tcPr>
            <w:tcW w:w="1000" w:type="dxa"/>
            <w:vAlign w:val="bottom"/>
            <w:gridSpan w:val="2"/>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4,000</w:t>
            </w:r>
          </w:p>
        </w:tc>
        <w:tc>
          <w:tcPr>
            <w:tcW w:w="160" w:type="dxa"/>
            <w:vAlign w:val="bottom"/>
          </w:tcPr>
          <w:p>
            <w:pPr>
              <w:spacing w:after="0"/>
              <w:rPr>
                <w:sz w:val="10"/>
                <w:szCs w:val="10"/>
                <w:color w:val="auto"/>
              </w:rPr>
            </w:pPr>
          </w:p>
        </w:tc>
        <w:tc>
          <w:tcPr>
            <w:tcW w:w="860" w:type="dxa"/>
            <w:vAlign w:val="bottom"/>
            <w:gridSpan w:val="2"/>
          </w:tcPr>
          <w:p>
            <w:pPr>
              <w:jc w:val="right"/>
              <w:ind w:right="100"/>
              <w:spacing w:after="0" w:line="117" w:lineRule="exact"/>
              <w:rPr>
                <w:sz w:val="20"/>
                <w:szCs w:val="20"/>
                <w:color w:val="auto"/>
              </w:rPr>
            </w:pPr>
            <w:r>
              <w:rPr>
                <w:rFonts w:ascii="Times New Roman" w:cs="Times New Roman" w:eastAsia="Times New Roman" w:hAnsi="Times New Roman"/>
                <w:sz w:val="13"/>
                <w:szCs w:val="13"/>
                <w:color w:val="auto"/>
              </w:rPr>
              <w:t>3,891</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gridSpan w:val="2"/>
          </w:tcPr>
          <w:p>
            <w:pPr>
              <w:jc w:val="right"/>
              <w:ind w:right="100"/>
              <w:spacing w:after="0" w:line="117" w:lineRule="exact"/>
              <w:rPr>
                <w:sz w:val="20"/>
                <w:szCs w:val="20"/>
                <w:color w:val="auto"/>
              </w:rPr>
            </w:pPr>
            <w:r>
              <w:rPr>
                <w:rFonts w:ascii="Times New Roman" w:cs="Times New Roman" w:eastAsia="Times New Roman" w:hAnsi="Times New Roman"/>
                <w:sz w:val="13"/>
                <w:szCs w:val="13"/>
                <w:color w:val="auto"/>
              </w:rPr>
              <w:t>3,891</w:t>
            </w:r>
          </w:p>
        </w:tc>
      </w:tr>
      <w:tr>
        <w:trPr>
          <w:trHeight w:val="153"/>
        </w:trPr>
        <w:tc>
          <w:tcPr>
            <w:tcW w:w="35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46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w w:val="95"/>
              </w:rPr>
              <w:t>4.00%</w:t>
            </w:r>
          </w:p>
        </w:tc>
        <w:tc>
          <w:tcPr>
            <w:tcW w:w="278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ETP, Due 1/1/22)</w:t>
            </w: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17"/>
        </w:trPr>
        <w:tc>
          <w:tcPr>
            <w:tcW w:w="3560" w:type="dxa"/>
            <w:vAlign w:val="bottom"/>
            <w:shd w:val="clear" w:color="auto" w:fill="CCEEFF"/>
          </w:tcPr>
          <w:p>
            <w:pPr>
              <w:spacing w:after="0"/>
              <w:rPr>
                <w:sz w:val="10"/>
                <w:szCs w:val="10"/>
                <w:color w:val="auto"/>
              </w:rPr>
            </w:pPr>
          </w:p>
        </w:tc>
        <w:tc>
          <w:tcPr>
            <w:tcW w:w="1480" w:type="dxa"/>
            <w:vAlign w:val="bottom"/>
            <w:shd w:val="clear" w:color="auto" w:fill="CCEEFF"/>
          </w:tcPr>
          <w:p>
            <w:pPr>
              <w:spacing w:after="0"/>
              <w:rPr>
                <w:sz w:val="10"/>
                <w:szCs w:val="10"/>
                <w:color w:val="auto"/>
              </w:rPr>
            </w:pPr>
          </w:p>
        </w:tc>
        <w:tc>
          <w:tcPr>
            <w:tcW w:w="3240" w:type="dxa"/>
            <w:vAlign w:val="bottom"/>
            <w:gridSpan w:val="5"/>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Term Loan (9.80% cash (Libor + 7.45%; Floor 8.75%),</w:t>
            </w:r>
          </w:p>
        </w:tc>
        <w:tc>
          <w:tcPr>
            <w:tcW w:w="1000" w:type="dxa"/>
            <w:vAlign w:val="bottom"/>
            <w:gridSpan w:val="2"/>
            <w:shd w:val="clear" w:color="auto" w:fill="CCEEFF"/>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3,000</w:t>
            </w:r>
          </w:p>
        </w:tc>
        <w:tc>
          <w:tcPr>
            <w:tcW w:w="16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100"/>
              <w:spacing w:after="0" w:line="117" w:lineRule="exact"/>
              <w:rPr>
                <w:sz w:val="20"/>
                <w:szCs w:val="20"/>
                <w:color w:val="auto"/>
              </w:rPr>
            </w:pPr>
            <w:r>
              <w:rPr>
                <w:rFonts w:ascii="Times New Roman" w:cs="Times New Roman" w:eastAsia="Times New Roman" w:hAnsi="Times New Roman"/>
                <w:sz w:val="13"/>
                <w:szCs w:val="13"/>
                <w:color w:val="auto"/>
              </w:rPr>
              <w:t>2,966</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right"/>
              <w:ind w:right="100"/>
              <w:spacing w:after="0" w:line="117" w:lineRule="exact"/>
              <w:rPr>
                <w:sz w:val="20"/>
                <w:szCs w:val="20"/>
                <w:color w:val="auto"/>
              </w:rPr>
            </w:pPr>
            <w:r>
              <w:rPr>
                <w:rFonts w:ascii="Times New Roman" w:cs="Times New Roman" w:eastAsia="Times New Roman" w:hAnsi="Times New Roman"/>
                <w:sz w:val="13"/>
                <w:szCs w:val="13"/>
                <w:color w:val="auto"/>
              </w:rPr>
              <w:t>2,966</w:t>
            </w:r>
          </w:p>
        </w:tc>
      </w:tr>
      <w:tr>
        <w:trPr>
          <w:trHeight w:val="153"/>
        </w:trPr>
        <w:tc>
          <w:tcPr>
            <w:tcW w:w="356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w w:val="95"/>
              </w:rPr>
              <w:t>4.00%</w:t>
            </w:r>
          </w:p>
        </w:tc>
        <w:tc>
          <w:tcPr>
            <w:tcW w:w="27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ETP, Due 1/1/22)</w:t>
            </w:r>
          </w:p>
        </w:tc>
        <w:tc>
          <w:tcPr>
            <w:tcW w:w="8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17"/>
        </w:trPr>
        <w:tc>
          <w:tcPr>
            <w:tcW w:w="35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3240" w:type="dxa"/>
            <w:vAlign w:val="bottom"/>
            <w:gridSpan w:val="5"/>
          </w:tcPr>
          <w:p>
            <w:pPr>
              <w:ind w:left="120"/>
              <w:spacing w:after="0" w:line="117" w:lineRule="exact"/>
              <w:rPr>
                <w:sz w:val="20"/>
                <w:szCs w:val="20"/>
                <w:color w:val="auto"/>
              </w:rPr>
            </w:pPr>
            <w:r>
              <w:rPr>
                <w:rFonts w:ascii="Times New Roman" w:cs="Times New Roman" w:eastAsia="Times New Roman" w:hAnsi="Times New Roman"/>
                <w:sz w:val="13"/>
                <w:szCs w:val="13"/>
                <w:color w:val="auto"/>
              </w:rPr>
              <w:t>Term Loan (9.80% cash (Libor + 7.45%; Floor 8.75%),</w:t>
            </w:r>
          </w:p>
        </w:tc>
        <w:tc>
          <w:tcPr>
            <w:tcW w:w="1000" w:type="dxa"/>
            <w:vAlign w:val="bottom"/>
            <w:gridSpan w:val="2"/>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3,000</w:t>
            </w:r>
          </w:p>
        </w:tc>
        <w:tc>
          <w:tcPr>
            <w:tcW w:w="160" w:type="dxa"/>
            <w:vAlign w:val="bottom"/>
          </w:tcPr>
          <w:p>
            <w:pPr>
              <w:spacing w:after="0"/>
              <w:rPr>
                <w:sz w:val="10"/>
                <w:szCs w:val="10"/>
                <w:color w:val="auto"/>
              </w:rPr>
            </w:pPr>
          </w:p>
        </w:tc>
        <w:tc>
          <w:tcPr>
            <w:tcW w:w="860" w:type="dxa"/>
            <w:vAlign w:val="bottom"/>
            <w:gridSpan w:val="2"/>
          </w:tcPr>
          <w:p>
            <w:pPr>
              <w:jc w:val="right"/>
              <w:ind w:right="100"/>
              <w:spacing w:after="0" w:line="117" w:lineRule="exact"/>
              <w:rPr>
                <w:sz w:val="20"/>
                <w:szCs w:val="20"/>
                <w:color w:val="auto"/>
              </w:rPr>
            </w:pPr>
            <w:r>
              <w:rPr>
                <w:rFonts w:ascii="Times New Roman" w:cs="Times New Roman" w:eastAsia="Times New Roman" w:hAnsi="Times New Roman"/>
                <w:sz w:val="13"/>
                <w:szCs w:val="13"/>
                <w:color w:val="auto"/>
              </w:rPr>
              <w:t>2,966</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gridSpan w:val="2"/>
          </w:tcPr>
          <w:p>
            <w:pPr>
              <w:jc w:val="right"/>
              <w:ind w:right="100"/>
              <w:spacing w:after="0" w:line="117" w:lineRule="exact"/>
              <w:rPr>
                <w:sz w:val="20"/>
                <w:szCs w:val="20"/>
                <w:color w:val="auto"/>
              </w:rPr>
            </w:pPr>
            <w:r>
              <w:rPr>
                <w:rFonts w:ascii="Times New Roman" w:cs="Times New Roman" w:eastAsia="Times New Roman" w:hAnsi="Times New Roman"/>
                <w:sz w:val="13"/>
                <w:szCs w:val="13"/>
                <w:color w:val="auto"/>
              </w:rPr>
              <w:t>2,966</w:t>
            </w:r>
          </w:p>
        </w:tc>
      </w:tr>
      <w:tr>
        <w:trPr>
          <w:trHeight w:val="153"/>
        </w:trPr>
        <w:tc>
          <w:tcPr>
            <w:tcW w:w="35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46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w w:val="95"/>
              </w:rPr>
              <w:t>4.00%</w:t>
            </w:r>
          </w:p>
        </w:tc>
        <w:tc>
          <w:tcPr>
            <w:tcW w:w="278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ETP, Due 1/1/22)</w:t>
            </w: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17"/>
        </w:trPr>
        <w:tc>
          <w:tcPr>
            <w:tcW w:w="356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Conventus Orthopaedics, Inc. (2)(12)</w:t>
            </w:r>
          </w:p>
        </w:tc>
        <w:tc>
          <w:tcPr>
            <w:tcW w:w="1480" w:type="dxa"/>
            <w:vAlign w:val="bottom"/>
            <w:shd w:val="clear" w:color="auto" w:fill="CCEEFF"/>
          </w:tcPr>
          <w:p>
            <w:pPr>
              <w:ind w:left="340"/>
              <w:spacing w:after="0" w:line="117" w:lineRule="exact"/>
              <w:rPr>
                <w:sz w:val="20"/>
                <w:szCs w:val="20"/>
                <w:color w:val="auto"/>
              </w:rPr>
            </w:pPr>
            <w:r>
              <w:rPr>
                <w:rFonts w:ascii="Times New Roman" w:cs="Times New Roman" w:eastAsia="Times New Roman" w:hAnsi="Times New Roman"/>
                <w:sz w:val="13"/>
                <w:szCs w:val="13"/>
                <w:color w:val="auto"/>
              </w:rPr>
              <w:t>Medical Device</w:t>
            </w:r>
          </w:p>
        </w:tc>
        <w:tc>
          <w:tcPr>
            <w:tcW w:w="3240" w:type="dxa"/>
            <w:vAlign w:val="bottom"/>
            <w:gridSpan w:val="5"/>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Term Loan (10.35% cash (Libor + 8.00%; Floor 9.25%),</w:t>
            </w:r>
          </w:p>
        </w:tc>
        <w:tc>
          <w:tcPr>
            <w:tcW w:w="1000" w:type="dxa"/>
            <w:vAlign w:val="bottom"/>
            <w:gridSpan w:val="2"/>
            <w:shd w:val="clear" w:color="auto" w:fill="CCEEFF"/>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4,000</w:t>
            </w:r>
          </w:p>
        </w:tc>
        <w:tc>
          <w:tcPr>
            <w:tcW w:w="16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100"/>
              <w:spacing w:after="0" w:line="117" w:lineRule="exact"/>
              <w:rPr>
                <w:sz w:val="20"/>
                <w:szCs w:val="20"/>
                <w:color w:val="auto"/>
              </w:rPr>
            </w:pPr>
            <w:r>
              <w:rPr>
                <w:rFonts w:ascii="Times New Roman" w:cs="Times New Roman" w:eastAsia="Times New Roman" w:hAnsi="Times New Roman"/>
                <w:sz w:val="13"/>
                <w:szCs w:val="13"/>
                <w:color w:val="auto"/>
              </w:rPr>
              <w:t>3,949</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right"/>
              <w:ind w:right="100"/>
              <w:spacing w:after="0" w:line="117" w:lineRule="exact"/>
              <w:rPr>
                <w:sz w:val="20"/>
                <w:szCs w:val="20"/>
                <w:color w:val="auto"/>
              </w:rPr>
            </w:pPr>
            <w:r>
              <w:rPr>
                <w:rFonts w:ascii="Times New Roman" w:cs="Times New Roman" w:eastAsia="Times New Roman" w:hAnsi="Times New Roman"/>
                <w:sz w:val="13"/>
                <w:szCs w:val="13"/>
                <w:color w:val="auto"/>
              </w:rPr>
              <w:t>3,949</w:t>
            </w:r>
          </w:p>
        </w:tc>
      </w:tr>
      <w:tr>
        <w:trPr>
          <w:trHeight w:val="153"/>
        </w:trPr>
        <w:tc>
          <w:tcPr>
            <w:tcW w:w="356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w w:val="95"/>
              </w:rPr>
              <w:t>6.00%</w:t>
            </w:r>
          </w:p>
        </w:tc>
        <w:tc>
          <w:tcPr>
            <w:tcW w:w="27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ETP, Due 6/1/21)</w:t>
            </w:r>
          </w:p>
        </w:tc>
        <w:tc>
          <w:tcPr>
            <w:tcW w:w="8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17"/>
        </w:trPr>
        <w:tc>
          <w:tcPr>
            <w:tcW w:w="35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3240" w:type="dxa"/>
            <w:vAlign w:val="bottom"/>
            <w:gridSpan w:val="5"/>
          </w:tcPr>
          <w:p>
            <w:pPr>
              <w:ind w:left="120"/>
              <w:spacing w:after="0" w:line="117" w:lineRule="exact"/>
              <w:rPr>
                <w:sz w:val="20"/>
                <w:szCs w:val="20"/>
                <w:color w:val="auto"/>
              </w:rPr>
            </w:pPr>
            <w:r>
              <w:rPr>
                <w:rFonts w:ascii="Times New Roman" w:cs="Times New Roman" w:eastAsia="Times New Roman" w:hAnsi="Times New Roman"/>
                <w:sz w:val="13"/>
                <w:szCs w:val="13"/>
                <w:color w:val="auto"/>
              </w:rPr>
              <w:t>Term Loan (10.35% cash (Libor + 8.00%; Floor 9.25%),</w:t>
            </w:r>
          </w:p>
        </w:tc>
        <w:tc>
          <w:tcPr>
            <w:tcW w:w="1000" w:type="dxa"/>
            <w:vAlign w:val="bottom"/>
            <w:gridSpan w:val="2"/>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4,000</w:t>
            </w:r>
          </w:p>
        </w:tc>
        <w:tc>
          <w:tcPr>
            <w:tcW w:w="160" w:type="dxa"/>
            <w:vAlign w:val="bottom"/>
          </w:tcPr>
          <w:p>
            <w:pPr>
              <w:spacing w:after="0"/>
              <w:rPr>
                <w:sz w:val="10"/>
                <w:szCs w:val="10"/>
                <w:color w:val="auto"/>
              </w:rPr>
            </w:pPr>
          </w:p>
        </w:tc>
        <w:tc>
          <w:tcPr>
            <w:tcW w:w="860" w:type="dxa"/>
            <w:vAlign w:val="bottom"/>
            <w:gridSpan w:val="2"/>
          </w:tcPr>
          <w:p>
            <w:pPr>
              <w:jc w:val="right"/>
              <w:ind w:right="100"/>
              <w:spacing w:after="0" w:line="117" w:lineRule="exact"/>
              <w:rPr>
                <w:sz w:val="20"/>
                <w:szCs w:val="20"/>
                <w:color w:val="auto"/>
              </w:rPr>
            </w:pPr>
            <w:r>
              <w:rPr>
                <w:rFonts w:ascii="Times New Roman" w:cs="Times New Roman" w:eastAsia="Times New Roman" w:hAnsi="Times New Roman"/>
                <w:sz w:val="13"/>
                <w:szCs w:val="13"/>
                <w:color w:val="auto"/>
              </w:rPr>
              <w:t>3,949</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gridSpan w:val="2"/>
          </w:tcPr>
          <w:p>
            <w:pPr>
              <w:jc w:val="right"/>
              <w:ind w:right="100"/>
              <w:spacing w:after="0" w:line="117" w:lineRule="exact"/>
              <w:rPr>
                <w:sz w:val="20"/>
                <w:szCs w:val="20"/>
                <w:color w:val="auto"/>
              </w:rPr>
            </w:pPr>
            <w:r>
              <w:rPr>
                <w:rFonts w:ascii="Times New Roman" w:cs="Times New Roman" w:eastAsia="Times New Roman" w:hAnsi="Times New Roman"/>
                <w:sz w:val="13"/>
                <w:szCs w:val="13"/>
                <w:color w:val="auto"/>
              </w:rPr>
              <w:t>3,949</w:t>
            </w:r>
          </w:p>
        </w:tc>
      </w:tr>
      <w:tr>
        <w:trPr>
          <w:trHeight w:val="153"/>
        </w:trPr>
        <w:tc>
          <w:tcPr>
            <w:tcW w:w="35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46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w w:val="95"/>
              </w:rPr>
              <w:t>6.00%</w:t>
            </w:r>
          </w:p>
        </w:tc>
        <w:tc>
          <w:tcPr>
            <w:tcW w:w="278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ETP, Due 6/1/21)</w:t>
            </w: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17"/>
        </w:trPr>
        <w:tc>
          <w:tcPr>
            <w:tcW w:w="3560" w:type="dxa"/>
            <w:vAlign w:val="bottom"/>
            <w:shd w:val="clear" w:color="auto" w:fill="CCEEFF"/>
          </w:tcPr>
          <w:p>
            <w:pPr>
              <w:spacing w:after="0"/>
              <w:rPr>
                <w:sz w:val="10"/>
                <w:szCs w:val="10"/>
                <w:color w:val="auto"/>
              </w:rPr>
            </w:pPr>
          </w:p>
        </w:tc>
        <w:tc>
          <w:tcPr>
            <w:tcW w:w="1480" w:type="dxa"/>
            <w:vAlign w:val="bottom"/>
            <w:shd w:val="clear" w:color="auto" w:fill="CCEEFF"/>
          </w:tcPr>
          <w:p>
            <w:pPr>
              <w:spacing w:after="0"/>
              <w:rPr>
                <w:sz w:val="10"/>
                <w:szCs w:val="10"/>
                <w:color w:val="auto"/>
              </w:rPr>
            </w:pPr>
          </w:p>
        </w:tc>
        <w:tc>
          <w:tcPr>
            <w:tcW w:w="3240" w:type="dxa"/>
            <w:vAlign w:val="bottom"/>
            <w:gridSpan w:val="5"/>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Term Loan (10.35% cash (Libor + 8.00%; Floor 9.25%),</w:t>
            </w:r>
          </w:p>
        </w:tc>
        <w:tc>
          <w:tcPr>
            <w:tcW w:w="1000" w:type="dxa"/>
            <w:vAlign w:val="bottom"/>
            <w:gridSpan w:val="2"/>
            <w:shd w:val="clear" w:color="auto" w:fill="CCEEFF"/>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4,000</w:t>
            </w:r>
          </w:p>
        </w:tc>
        <w:tc>
          <w:tcPr>
            <w:tcW w:w="16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100"/>
              <w:spacing w:after="0" w:line="117" w:lineRule="exact"/>
              <w:rPr>
                <w:sz w:val="20"/>
                <w:szCs w:val="20"/>
                <w:color w:val="auto"/>
              </w:rPr>
            </w:pPr>
            <w:r>
              <w:rPr>
                <w:rFonts w:ascii="Times New Roman" w:cs="Times New Roman" w:eastAsia="Times New Roman" w:hAnsi="Times New Roman"/>
                <w:sz w:val="13"/>
                <w:szCs w:val="13"/>
                <w:color w:val="auto"/>
              </w:rPr>
              <w:t>3,949</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right"/>
              <w:ind w:right="100"/>
              <w:spacing w:after="0" w:line="117" w:lineRule="exact"/>
              <w:rPr>
                <w:sz w:val="20"/>
                <w:szCs w:val="20"/>
                <w:color w:val="auto"/>
              </w:rPr>
            </w:pPr>
            <w:r>
              <w:rPr>
                <w:rFonts w:ascii="Times New Roman" w:cs="Times New Roman" w:eastAsia="Times New Roman" w:hAnsi="Times New Roman"/>
                <w:sz w:val="13"/>
                <w:szCs w:val="13"/>
                <w:color w:val="auto"/>
              </w:rPr>
              <w:t>3,949</w:t>
            </w:r>
          </w:p>
        </w:tc>
      </w:tr>
      <w:tr>
        <w:trPr>
          <w:trHeight w:val="153"/>
        </w:trPr>
        <w:tc>
          <w:tcPr>
            <w:tcW w:w="356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w w:val="95"/>
              </w:rPr>
              <w:t>6.00%</w:t>
            </w:r>
          </w:p>
        </w:tc>
        <w:tc>
          <w:tcPr>
            <w:tcW w:w="27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ETP, Due 6/1/21)</w:t>
            </w:r>
          </w:p>
        </w:tc>
        <w:tc>
          <w:tcPr>
            <w:tcW w:w="8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17"/>
        </w:trPr>
        <w:tc>
          <w:tcPr>
            <w:tcW w:w="356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CSA Medical, Inc. (2)(12)</w:t>
            </w:r>
          </w:p>
        </w:tc>
        <w:tc>
          <w:tcPr>
            <w:tcW w:w="1480" w:type="dxa"/>
            <w:vAlign w:val="bottom"/>
          </w:tcPr>
          <w:p>
            <w:pPr>
              <w:ind w:left="340"/>
              <w:spacing w:after="0" w:line="117" w:lineRule="exact"/>
              <w:rPr>
                <w:sz w:val="20"/>
                <w:szCs w:val="20"/>
                <w:color w:val="auto"/>
              </w:rPr>
            </w:pPr>
            <w:r>
              <w:rPr>
                <w:rFonts w:ascii="Times New Roman" w:cs="Times New Roman" w:eastAsia="Times New Roman" w:hAnsi="Times New Roman"/>
                <w:sz w:val="13"/>
                <w:szCs w:val="13"/>
                <w:color w:val="auto"/>
              </w:rPr>
              <w:t>Medical Device</w:t>
            </w:r>
          </w:p>
        </w:tc>
        <w:tc>
          <w:tcPr>
            <w:tcW w:w="3240" w:type="dxa"/>
            <w:vAlign w:val="bottom"/>
            <w:gridSpan w:val="5"/>
          </w:tcPr>
          <w:p>
            <w:pPr>
              <w:ind w:left="120"/>
              <w:spacing w:after="0" w:line="117" w:lineRule="exact"/>
              <w:rPr>
                <w:sz w:val="20"/>
                <w:szCs w:val="20"/>
                <w:color w:val="auto"/>
              </w:rPr>
            </w:pPr>
            <w:r>
              <w:rPr>
                <w:rFonts w:ascii="Times New Roman" w:cs="Times New Roman" w:eastAsia="Times New Roman" w:hAnsi="Times New Roman"/>
                <w:sz w:val="13"/>
                <w:szCs w:val="13"/>
                <w:color w:val="auto"/>
              </w:rPr>
              <w:t>Term Loan (10.28% cash (Libor + 7.93%; Floor</w:t>
            </w:r>
          </w:p>
        </w:tc>
        <w:tc>
          <w:tcPr>
            <w:tcW w:w="1000" w:type="dxa"/>
            <w:vAlign w:val="bottom"/>
            <w:gridSpan w:val="2"/>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6,000</w:t>
            </w:r>
          </w:p>
        </w:tc>
        <w:tc>
          <w:tcPr>
            <w:tcW w:w="160" w:type="dxa"/>
            <w:vAlign w:val="bottom"/>
          </w:tcPr>
          <w:p>
            <w:pPr>
              <w:spacing w:after="0"/>
              <w:rPr>
                <w:sz w:val="10"/>
                <w:szCs w:val="10"/>
                <w:color w:val="auto"/>
              </w:rPr>
            </w:pPr>
          </w:p>
        </w:tc>
        <w:tc>
          <w:tcPr>
            <w:tcW w:w="860" w:type="dxa"/>
            <w:vAlign w:val="bottom"/>
            <w:gridSpan w:val="2"/>
          </w:tcPr>
          <w:p>
            <w:pPr>
              <w:jc w:val="right"/>
              <w:ind w:right="100"/>
              <w:spacing w:after="0" w:line="117" w:lineRule="exact"/>
              <w:rPr>
                <w:sz w:val="20"/>
                <w:szCs w:val="20"/>
                <w:color w:val="auto"/>
              </w:rPr>
            </w:pPr>
            <w:r>
              <w:rPr>
                <w:rFonts w:ascii="Times New Roman" w:cs="Times New Roman" w:eastAsia="Times New Roman" w:hAnsi="Times New Roman"/>
                <w:sz w:val="13"/>
                <w:szCs w:val="13"/>
                <w:color w:val="auto"/>
              </w:rPr>
              <w:t>5,768</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gridSpan w:val="2"/>
          </w:tcPr>
          <w:p>
            <w:pPr>
              <w:jc w:val="right"/>
              <w:ind w:right="100"/>
              <w:spacing w:after="0" w:line="117" w:lineRule="exact"/>
              <w:rPr>
                <w:sz w:val="20"/>
                <w:szCs w:val="20"/>
                <w:color w:val="auto"/>
              </w:rPr>
            </w:pPr>
            <w:r>
              <w:rPr>
                <w:rFonts w:ascii="Times New Roman" w:cs="Times New Roman" w:eastAsia="Times New Roman" w:hAnsi="Times New Roman"/>
                <w:sz w:val="13"/>
                <w:szCs w:val="13"/>
                <w:color w:val="auto"/>
              </w:rPr>
              <w:t>5,768</w:t>
            </w:r>
          </w:p>
        </w:tc>
      </w:tr>
      <w:tr>
        <w:trPr>
          <w:trHeight w:val="153"/>
        </w:trPr>
        <w:tc>
          <w:tcPr>
            <w:tcW w:w="35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3240" w:type="dxa"/>
            <w:vAlign w:val="bottom"/>
            <w:gridSpan w:val="5"/>
          </w:tcPr>
          <w:p>
            <w:pPr>
              <w:ind w:left="120"/>
              <w:spacing w:after="0"/>
              <w:rPr>
                <w:sz w:val="20"/>
                <w:szCs w:val="20"/>
                <w:color w:val="auto"/>
              </w:rPr>
            </w:pPr>
            <w:r>
              <w:rPr>
                <w:rFonts w:ascii="Times New Roman" w:cs="Times New Roman" w:eastAsia="Times New Roman" w:hAnsi="Times New Roman"/>
                <w:sz w:val="13"/>
                <w:szCs w:val="13"/>
                <w:color w:val="auto"/>
              </w:rPr>
              <w:t>10.00%), 5.00% ETP, Due 10/1/22)</w:t>
            </w: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17"/>
        </w:trPr>
        <w:tc>
          <w:tcPr>
            <w:tcW w:w="356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Lantos Technologies, Inc. (2)(12)</w:t>
            </w:r>
          </w:p>
        </w:tc>
        <w:tc>
          <w:tcPr>
            <w:tcW w:w="1480" w:type="dxa"/>
            <w:vAlign w:val="bottom"/>
            <w:shd w:val="clear" w:color="auto" w:fill="CCEEFF"/>
          </w:tcPr>
          <w:p>
            <w:pPr>
              <w:ind w:left="340"/>
              <w:spacing w:after="0" w:line="117" w:lineRule="exact"/>
              <w:rPr>
                <w:sz w:val="20"/>
                <w:szCs w:val="20"/>
                <w:color w:val="auto"/>
              </w:rPr>
            </w:pPr>
            <w:r>
              <w:rPr>
                <w:rFonts w:ascii="Times New Roman" w:cs="Times New Roman" w:eastAsia="Times New Roman" w:hAnsi="Times New Roman"/>
                <w:sz w:val="13"/>
                <w:szCs w:val="13"/>
                <w:color w:val="auto"/>
              </w:rPr>
              <w:t>Medical Device</w:t>
            </w:r>
          </w:p>
        </w:tc>
        <w:tc>
          <w:tcPr>
            <w:tcW w:w="3240" w:type="dxa"/>
            <w:vAlign w:val="bottom"/>
            <w:gridSpan w:val="5"/>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Term Loan (10.78% cash (Libor + 8.43%; Floor</w:t>
            </w:r>
          </w:p>
        </w:tc>
        <w:tc>
          <w:tcPr>
            <w:tcW w:w="1000" w:type="dxa"/>
            <w:vAlign w:val="bottom"/>
            <w:gridSpan w:val="2"/>
            <w:shd w:val="clear" w:color="auto" w:fill="CCEEFF"/>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4,000</w:t>
            </w:r>
          </w:p>
        </w:tc>
        <w:tc>
          <w:tcPr>
            <w:tcW w:w="16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100"/>
              <w:spacing w:after="0" w:line="117" w:lineRule="exact"/>
              <w:rPr>
                <w:sz w:val="20"/>
                <w:szCs w:val="20"/>
                <w:color w:val="auto"/>
              </w:rPr>
            </w:pPr>
            <w:r>
              <w:rPr>
                <w:rFonts w:ascii="Times New Roman" w:cs="Times New Roman" w:eastAsia="Times New Roman" w:hAnsi="Times New Roman"/>
                <w:sz w:val="13"/>
                <w:szCs w:val="13"/>
                <w:color w:val="auto"/>
              </w:rPr>
              <w:t>3,563</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right"/>
              <w:ind w:right="100"/>
              <w:spacing w:after="0" w:line="117" w:lineRule="exact"/>
              <w:rPr>
                <w:sz w:val="20"/>
                <w:szCs w:val="20"/>
                <w:color w:val="auto"/>
              </w:rPr>
            </w:pPr>
            <w:r>
              <w:rPr>
                <w:rFonts w:ascii="Times New Roman" w:cs="Times New Roman" w:eastAsia="Times New Roman" w:hAnsi="Times New Roman"/>
                <w:sz w:val="13"/>
                <w:szCs w:val="13"/>
                <w:color w:val="auto"/>
              </w:rPr>
              <w:t>3,563</w:t>
            </w:r>
          </w:p>
        </w:tc>
      </w:tr>
      <w:tr>
        <w:trPr>
          <w:trHeight w:val="153"/>
        </w:trPr>
        <w:tc>
          <w:tcPr>
            <w:tcW w:w="356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3240" w:type="dxa"/>
            <w:vAlign w:val="bottom"/>
            <w:gridSpan w:val="5"/>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10.00%), 6.00% ETP, Due 9/1/21)</w:t>
            </w:r>
          </w:p>
        </w:tc>
        <w:tc>
          <w:tcPr>
            <w:tcW w:w="8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17"/>
        </w:trPr>
        <w:tc>
          <w:tcPr>
            <w:tcW w:w="356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MacuLogix, Inc. (2)(12)</w:t>
            </w:r>
          </w:p>
        </w:tc>
        <w:tc>
          <w:tcPr>
            <w:tcW w:w="1480" w:type="dxa"/>
            <w:vAlign w:val="bottom"/>
          </w:tcPr>
          <w:p>
            <w:pPr>
              <w:ind w:left="340"/>
              <w:spacing w:after="0" w:line="117" w:lineRule="exact"/>
              <w:rPr>
                <w:sz w:val="20"/>
                <w:szCs w:val="20"/>
                <w:color w:val="auto"/>
              </w:rPr>
            </w:pPr>
            <w:r>
              <w:rPr>
                <w:rFonts w:ascii="Times New Roman" w:cs="Times New Roman" w:eastAsia="Times New Roman" w:hAnsi="Times New Roman"/>
                <w:sz w:val="13"/>
                <w:szCs w:val="13"/>
                <w:color w:val="auto"/>
              </w:rPr>
              <w:t>Medical Device</w:t>
            </w:r>
          </w:p>
        </w:tc>
        <w:tc>
          <w:tcPr>
            <w:tcW w:w="3240" w:type="dxa"/>
            <w:vAlign w:val="bottom"/>
            <w:gridSpan w:val="5"/>
          </w:tcPr>
          <w:p>
            <w:pPr>
              <w:ind w:left="120"/>
              <w:spacing w:after="0" w:line="117" w:lineRule="exact"/>
              <w:rPr>
                <w:sz w:val="20"/>
                <w:szCs w:val="20"/>
                <w:color w:val="auto"/>
              </w:rPr>
            </w:pPr>
            <w:r>
              <w:rPr>
                <w:rFonts w:ascii="Times New Roman" w:cs="Times New Roman" w:eastAsia="Times New Roman" w:hAnsi="Times New Roman"/>
                <w:sz w:val="13"/>
                <w:szCs w:val="13"/>
                <w:color w:val="auto"/>
              </w:rPr>
              <w:t>Term Loan (10.02% cash (Libor + 7.68%; Floor 9.50%),</w:t>
            </w:r>
          </w:p>
        </w:tc>
        <w:tc>
          <w:tcPr>
            <w:tcW w:w="1000" w:type="dxa"/>
            <w:vAlign w:val="bottom"/>
            <w:gridSpan w:val="2"/>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3,750</w:t>
            </w:r>
          </w:p>
        </w:tc>
        <w:tc>
          <w:tcPr>
            <w:tcW w:w="160" w:type="dxa"/>
            <w:vAlign w:val="bottom"/>
          </w:tcPr>
          <w:p>
            <w:pPr>
              <w:spacing w:after="0"/>
              <w:rPr>
                <w:sz w:val="10"/>
                <w:szCs w:val="10"/>
                <w:color w:val="auto"/>
              </w:rPr>
            </w:pPr>
          </w:p>
        </w:tc>
        <w:tc>
          <w:tcPr>
            <w:tcW w:w="860" w:type="dxa"/>
            <w:vAlign w:val="bottom"/>
            <w:gridSpan w:val="2"/>
          </w:tcPr>
          <w:p>
            <w:pPr>
              <w:jc w:val="right"/>
              <w:ind w:right="100"/>
              <w:spacing w:after="0" w:line="117" w:lineRule="exact"/>
              <w:rPr>
                <w:sz w:val="20"/>
                <w:szCs w:val="20"/>
                <w:color w:val="auto"/>
              </w:rPr>
            </w:pPr>
            <w:r>
              <w:rPr>
                <w:rFonts w:ascii="Times New Roman" w:cs="Times New Roman" w:eastAsia="Times New Roman" w:hAnsi="Times New Roman"/>
                <w:sz w:val="13"/>
                <w:szCs w:val="13"/>
                <w:color w:val="auto"/>
              </w:rPr>
              <w:t>3,623</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gridSpan w:val="2"/>
          </w:tcPr>
          <w:p>
            <w:pPr>
              <w:jc w:val="right"/>
              <w:ind w:right="100"/>
              <w:spacing w:after="0" w:line="117" w:lineRule="exact"/>
              <w:rPr>
                <w:sz w:val="20"/>
                <w:szCs w:val="20"/>
                <w:color w:val="auto"/>
              </w:rPr>
            </w:pPr>
            <w:r>
              <w:rPr>
                <w:rFonts w:ascii="Times New Roman" w:cs="Times New Roman" w:eastAsia="Times New Roman" w:hAnsi="Times New Roman"/>
                <w:sz w:val="13"/>
                <w:szCs w:val="13"/>
                <w:color w:val="auto"/>
              </w:rPr>
              <w:t>3,623</w:t>
            </w:r>
          </w:p>
        </w:tc>
      </w:tr>
      <w:tr>
        <w:trPr>
          <w:trHeight w:val="153"/>
        </w:trPr>
        <w:tc>
          <w:tcPr>
            <w:tcW w:w="35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46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w w:val="95"/>
              </w:rPr>
              <w:t>4.00%</w:t>
            </w:r>
          </w:p>
        </w:tc>
        <w:tc>
          <w:tcPr>
            <w:tcW w:w="278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ETP, Due 8/1/22)</w:t>
            </w: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17"/>
        </w:trPr>
        <w:tc>
          <w:tcPr>
            <w:tcW w:w="3560" w:type="dxa"/>
            <w:vAlign w:val="bottom"/>
            <w:shd w:val="clear" w:color="auto" w:fill="CCEEFF"/>
          </w:tcPr>
          <w:p>
            <w:pPr>
              <w:spacing w:after="0"/>
              <w:rPr>
                <w:sz w:val="10"/>
                <w:szCs w:val="10"/>
                <w:color w:val="auto"/>
              </w:rPr>
            </w:pPr>
          </w:p>
        </w:tc>
        <w:tc>
          <w:tcPr>
            <w:tcW w:w="1480" w:type="dxa"/>
            <w:vAlign w:val="bottom"/>
            <w:shd w:val="clear" w:color="auto" w:fill="CCEEFF"/>
          </w:tcPr>
          <w:p>
            <w:pPr>
              <w:spacing w:after="0"/>
              <w:rPr>
                <w:sz w:val="10"/>
                <w:szCs w:val="10"/>
                <w:color w:val="auto"/>
              </w:rPr>
            </w:pPr>
          </w:p>
        </w:tc>
        <w:tc>
          <w:tcPr>
            <w:tcW w:w="3240" w:type="dxa"/>
            <w:vAlign w:val="bottom"/>
            <w:gridSpan w:val="5"/>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Term Loan (10.14% cash (Libor + 7.68%; Floor 9.50%),</w:t>
            </w:r>
          </w:p>
        </w:tc>
        <w:tc>
          <w:tcPr>
            <w:tcW w:w="1000" w:type="dxa"/>
            <w:vAlign w:val="bottom"/>
            <w:gridSpan w:val="2"/>
            <w:shd w:val="clear" w:color="auto" w:fill="CCEEFF"/>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3,750</w:t>
            </w:r>
          </w:p>
        </w:tc>
        <w:tc>
          <w:tcPr>
            <w:tcW w:w="16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100"/>
              <w:spacing w:after="0" w:line="117" w:lineRule="exact"/>
              <w:rPr>
                <w:sz w:val="20"/>
                <w:szCs w:val="20"/>
                <w:color w:val="auto"/>
              </w:rPr>
            </w:pPr>
            <w:r>
              <w:rPr>
                <w:rFonts w:ascii="Times New Roman" w:cs="Times New Roman" w:eastAsia="Times New Roman" w:hAnsi="Times New Roman"/>
                <w:sz w:val="13"/>
                <w:szCs w:val="13"/>
                <w:color w:val="auto"/>
              </w:rPr>
              <w:t>3,638</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right"/>
              <w:ind w:right="100"/>
              <w:spacing w:after="0" w:line="117" w:lineRule="exact"/>
              <w:rPr>
                <w:sz w:val="20"/>
                <w:szCs w:val="20"/>
                <w:color w:val="auto"/>
              </w:rPr>
            </w:pPr>
            <w:r>
              <w:rPr>
                <w:rFonts w:ascii="Times New Roman" w:cs="Times New Roman" w:eastAsia="Times New Roman" w:hAnsi="Times New Roman"/>
                <w:sz w:val="13"/>
                <w:szCs w:val="13"/>
                <w:color w:val="auto"/>
              </w:rPr>
              <w:t>3,638</w:t>
            </w:r>
          </w:p>
        </w:tc>
      </w:tr>
      <w:tr>
        <w:trPr>
          <w:trHeight w:val="153"/>
        </w:trPr>
        <w:tc>
          <w:tcPr>
            <w:tcW w:w="356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w w:val="95"/>
              </w:rPr>
              <w:t>4.00%</w:t>
            </w:r>
          </w:p>
        </w:tc>
        <w:tc>
          <w:tcPr>
            <w:tcW w:w="27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ETP, Due 8/1/22)</w:t>
            </w:r>
          </w:p>
        </w:tc>
        <w:tc>
          <w:tcPr>
            <w:tcW w:w="8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17"/>
        </w:trPr>
        <w:tc>
          <w:tcPr>
            <w:tcW w:w="356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VERO Biotech LLC (2)(12)</w:t>
            </w:r>
          </w:p>
        </w:tc>
        <w:tc>
          <w:tcPr>
            <w:tcW w:w="1480" w:type="dxa"/>
            <w:vAlign w:val="bottom"/>
          </w:tcPr>
          <w:p>
            <w:pPr>
              <w:ind w:left="340"/>
              <w:spacing w:after="0" w:line="117" w:lineRule="exact"/>
              <w:rPr>
                <w:sz w:val="20"/>
                <w:szCs w:val="20"/>
                <w:color w:val="auto"/>
              </w:rPr>
            </w:pPr>
            <w:r>
              <w:rPr>
                <w:rFonts w:ascii="Times New Roman" w:cs="Times New Roman" w:eastAsia="Times New Roman" w:hAnsi="Times New Roman"/>
                <w:sz w:val="13"/>
                <w:szCs w:val="13"/>
                <w:color w:val="auto"/>
              </w:rPr>
              <w:t>Medical Device</w:t>
            </w:r>
          </w:p>
        </w:tc>
        <w:tc>
          <w:tcPr>
            <w:tcW w:w="3240" w:type="dxa"/>
            <w:vAlign w:val="bottom"/>
            <w:gridSpan w:val="5"/>
          </w:tcPr>
          <w:p>
            <w:pPr>
              <w:ind w:left="120"/>
              <w:spacing w:after="0" w:line="117" w:lineRule="exact"/>
              <w:rPr>
                <w:sz w:val="20"/>
                <w:szCs w:val="20"/>
                <w:color w:val="auto"/>
              </w:rPr>
            </w:pPr>
            <w:r>
              <w:rPr>
                <w:rFonts w:ascii="Times New Roman" w:cs="Times New Roman" w:eastAsia="Times New Roman" w:hAnsi="Times New Roman"/>
                <w:sz w:val="13"/>
                <w:szCs w:val="13"/>
                <w:color w:val="auto"/>
              </w:rPr>
              <w:t>Term Loan (10.35% cash (Libor + 8.00%; Floor 9.25%),</w:t>
            </w:r>
          </w:p>
        </w:tc>
        <w:tc>
          <w:tcPr>
            <w:tcW w:w="1000" w:type="dxa"/>
            <w:vAlign w:val="bottom"/>
            <w:gridSpan w:val="2"/>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4,000</w:t>
            </w:r>
          </w:p>
        </w:tc>
        <w:tc>
          <w:tcPr>
            <w:tcW w:w="160" w:type="dxa"/>
            <w:vAlign w:val="bottom"/>
          </w:tcPr>
          <w:p>
            <w:pPr>
              <w:spacing w:after="0"/>
              <w:rPr>
                <w:sz w:val="10"/>
                <w:szCs w:val="10"/>
                <w:color w:val="auto"/>
              </w:rPr>
            </w:pPr>
          </w:p>
        </w:tc>
        <w:tc>
          <w:tcPr>
            <w:tcW w:w="860" w:type="dxa"/>
            <w:vAlign w:val="bottom"/>
            <w:gridSpan w:val="2"/>
          </w:tcPr>
          <w:p>
            <w:pPr>
              <w:jc w:val="right"/>
              <w:ind w:right="100"/>
              <w:spacing w:after="0" w:line="117" w:lineRule="exact"/>
              <w:rPr>
                <w:sz w:val="20"/>
                <w:szCs w:val="20"/>
                <w:color w:val="auto"/>
              </w:rPr>
            </w:pPr>
            <w:r>
              <w:rPr>
                <w:rFonts w:ascii="Times New Roman" w:cs="Times New Roman" w:eastAsia="Times New Roman" w:hAnsi="Times New Roman"/>
                <w:sz w:val="13"/>
                <w:szCs w:val="13"/>
                <w:color w:val="auto"/>
              </w:rPr>
              <w:t>3,950</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gridSpan w:val="2"/>
          </w:tcPr>
          <w:p>
            <w:pPr>
              <w:jc w:val="right"/>
              <w:ind w:right="100"/>
              <w:spacing w:after="0" w:line="117" w:lineRule="exact"/>
              <w:rPr>
                <w:sz w:val="20"/>
                <w:szCs w:val="20"/>
                <w:color w:val="auto"/>
              </w:rPr>
            </w:pPr>
            <w:r>
              <w:rPr>
                <w:rFonts w:ascii="Times New Roman" w:cs="Times New Roman" w:eastAsia="Times New Roman" w:hAnsi="Times New Roman"/>
                <w:sz w:val="13"/>
                <w:szCs w:val="13"/>
                <w:color w:val="auto"/>
              </w:rPr>
              <w:t>3,950</w:t>
            </w:r>
          </w:p>
        </w:tc>
      </w:tr>
      <w:tr>
        <w:trPr>
          <w:trHeight w:val="153"/>
        </w:trPr>
        <w:tc>
          <w:tcPr>
            <w:tcW w:w="35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46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w w:val="95"/>
              </w:rPr>
              <w:t>5.00%</w:t>
            </w:r>
          </w:p>
        </w:tc>
        <w:tc>
          <w:tcPr>
            <w:tcW w:w="278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ETP, Due 1/1/22)</w:t>
            </w: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17"/>
        </w:trPr>
        <w:tc>
          <w:tcPr>
            <w:tcW w:w="3560" w:type="dxa"/>
            <w:vAlign w:val="bottom"/>
            <w:shd w:val="clear" w:color="auto" w:fill="CCEEFF"/>
          </w:tcPr>
          <w:p>
            <w:pPr>
              <w:spacing w:after="0"/>
              <w:rPr>
                <w:sz w:val="10"/>
                <w:szCs w:val="10"/>
                <w:color w:val="auto"/>
              </w:rPr>
            </w:pPr>
          </w:p>
        </w:tc>
        <w:tc>
          <w:tcPr>
            <w:tcW w:w="1480" w:type="dxa"/>
            <w:vAlign w:val="bottom"/>
            <w:shd w:val="clear" w:color="auto" w:fill="CCEEFF"/>
          </w:tcPr>
          <w:p>
            <w:pPr>
              <w:spacing w:after="0"/>
              <w:rPr>
                <w:sz w:val="10"/>
                <w:szCs w:val="10"/>
                <w:color w:val="auto"/>
              </w:rPr>
            </w:pPr>
          </w:p>
        </w:tc>
        <w:tc>
          <w:tcPr>
            <w:tcW w:w="3240" w:type="dxa"/>
            <w:vAlign w:val="bottom"/>
            <w:gridSpan w:val="5"/>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Term Loan (10.35% cash (Libor + 8.00%; Floor 9.25%),</w:t>
            </w:r>
          </w:p>
        </w:tc>
        <w:tc>
          <w:tcPr>
            <w:tcW w:w="1000" w:type="dxa"/>
            <w:vAlign w:val="bottom"/>
            <w:gridSpan w:val="2"/>
            <w:shd w:val="clear" w:color="auto" w:fill="CCEEFF"/>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4,000</w:t>
            </w:r>
          </w:p>
        </w:tc>
        <w:tc>
          <w:tcPr>
            <w:tcW w:w="16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100"/>
              <w:spacing w:after="0" w:line="117" w:lineRule="exact"/>
              <w:rPr>
                <w:sz w:val="20"/>
                <w:szCs w:val="20"/>
                <w:color w:val="auto"/>
              </w:rPr>
            </w:pPr>
            <w:r>
              <w:rPr>
                <w:rFonts w:ascii="Times New Roman" w:cs="Times New Roman" w:eastAsia="Times New Roman" w:hAnsi="Times New Roman"/>
                <w:sz w:val="13"/>
                <w:szCs w:val="13"/>
                <w:color w:val="auto"/>
              </w:rPr>
              <w:t>3,950</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right"/>
              <w:ind w:right="100"/>
              <w:spacing w:after="0" w:line="117" w:lineRule="exact"/>
              <w:rPr>
                <w:sz w:val="20"/>
                <w:szCs w:val="20"/>
                <w:color w:val="auto"/>
              </w:rPr>
            </w:pPr>
            <w:r>
              <w:rPr>
                <w:rFonts w:ascii="Times New Roman" w:cs="Times New Roman" w:eastAsia="Times New Roman" w:hAnsi="Times New Roman"/>
                <w:sz w:val="13"/>
                <w:szCs w:val="13"/>
                <w:color w:val="auto"/>
              </w:rPr>
              <w:t>3,950</w:t>
            </w:r>
          </w:p>
        </w:tc>
      </w:tr>
      <w:tr>
        <w:trPr>
          <w:trHeight w:val="167"/>
        </w:trPr>
        <w:tc>
          <w:tcPr>
            <w:tcW w:w="356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w w:val="95"/>
              </w:rPr>
              <w:t>5.00%</w:t>
            </w:r>
          </w:p>
        </w:tc>
        <w:tc>
          <w:tcPr>
            <w:tcW w:w="27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ETP, Due 1/1/22)</w:t>
            </w: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29"/>
        </w:trPr>
        <w:tc>
          <w:tcPr>
            <w:tcW w:w="3560" w:type="dxa"/>
            <w:vAlign w:val="bottom"/>
            <w:tcBorders>
              <w:bottom w:val="single" w:sz="8" w:color="CCEEFF"/>
            </w:tcBorders>
          </w:tcPr>
          <w:p>
            <w:pPr>
              <w:spacing w:after="0" w:line="129" w:lineRule="exact"/>
              <w:rPr>
                <w:sz w:val="20"/>
                <w:szCs w:val="20"/>
                <w:color w:val="auto"/>
              </w:rPr>
            </w:pPr>
            <w:r>
              <w:rPr>
                <w:rFonts w:ascii="Times New Roman" w:cs="Times New Roman" w:eastAsia="Times New Roman" w:hAnsi="Times New Roman"/>
                <w:sz w:val="13"/>
                <w:szCs w:val="13"/>
                <w:color w:val="auto"/>
              </w:rPr>
              <w:t>Total Non-Affiliate Debt Investments — Life Science</w:t>
            </w:r>
          </w:p>
        </w:tc>
        <w:tc>
          <w:tcPr>
            <w:tcW w:w="148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340" w:type="dxa"/>
            <w:vAlign w:val="bottom"/>
            <w:tcBorders>
              <w:bottom w:val="single" w:sz="8" w:color="CCEEFF"/>
            </w:tcBorders>
          </w:tcPr>
          <w:p>
            <w:pPr>
              <w:spacing w:after="0"/>
              <w:rPr>
                <w:sz w:val="11"/>
                <w:szCs w:val="11"/>
                <w:color w:val="auto"/>
              </w:rPr>
            </w:pPr>
          </w:p>
        </w:tc>
        <w:tc>
          <w:tcPr>
            <w:tcW w:w="254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800" w:type="dxa"/>
            <w:vAlign w:val="bottom"/>
            <w:tcBorders>
              <w:bottom w:val="single" w:sz="8" w:color="CCEEFF"/>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67,026</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67,026</w:t>
            </w:r>
          </w:p>
        </w:tc>
        <w:tc>
          <w:tcPr>
            <w:tcW w:w="100" w:type="dxa"/>
            <w:vAlign w:val="bottom"/>
            <w:tcBorders>
              <w:bottom w:val="single" w:sz="8" w:color="CCEEFF"/>
            </w:tcBorders>
          </w:tcPr>
          <w:p>
            <w:pPr>
              <w:spacing w:after="0"/>
              <w:rPr>
                <w:sz w:val="11"/>
                <w:szCs w:val="11"/>
                <w:color w:val="auto"/>
              </w:rPr>
            </w:pPr>
          </w:p>
        </w:tc>
      </w:tr>
      <w:tr>
        <w:trPr>
          <w:trHeight w:val="129"/>
        </w:trPr>
        <w:tc>
          <w:tcPr>
            <w:tcW w:w="356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Non-Affiliate Debt Investments — Technology — 88.9% (8)</w:t>
            </w:r>
          </w:p>
        </w:tc>
        <w:tc>
          <w:tcPr>
            <w:tcW w:w="1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17"/>
        </w:trPr>
        <w:tc>
          <w:tcPr>
            <w:tcW w:w="356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Audacy Corporation (2)(12)</w:t>
            </w:r>
          </w:p>
        </w:tc>
        <w:tc>
          <w:tcPr>
            <w:tcW w:w="1480" w:type="dxa"/>
            <w:vAlign w:val="bottom"/>
          </w:tcPr>
          <w:p>
            <w:pPr>
              <w:ind w:left="340"/>
              <w:spacing w:after="0" w:line="117" w:lineRule="exact"/>
              <w:rPr>
                <w:sz w:val="20"/>
                <w:szCs w:val="20"/>
                <w:color w:val="auto"/>
              </w:rPr>
            </w:pPr>
            <w:r>
              <w:rPr>
                <w:rFonts w:ascii="Times New Roman" w:cs="Times New Roman" w:eastAsia="Times New Roman" w:hAnsi="Times New Roman"/>
                <w:sz w:val="13"/>
                <w:szCs w:val="13"/>
                <w:color w:val="auto"/>
              </w:rPr>
              <w:t>Communications</w:t>
            </w:r>
          </w:p>
        </w:tc>
        <w:tc>
          <w:tcPr>
            <w:tcW w:w="3240" w:type="dxa"/>
            <w:vAlign w:val="bottom"/>
            <w:gridSpan w:val="5"/>
          </w:tcPr>
          <w:p>
            <w:pPr>
              <w:ind w:left="120"/>
              <w:spacing w:after="0" w:line="117" w:lineRule="exact"/>
              <w:rPr>
                <w:sz w:val="20"/>
                <w:szCs w:val="20"/>
                <w:color w:val="auto"/>
              </w:rPr>
            </w:pPr>
            <w:r>
              <w:rPr>
                <w:rFonts w:ascii="Times New Roman" w:cs="Times New Roman" w:eastAsia="Times New Roman" w:hAnsi="Times New Roman"/>
                <w:sz w:val="13"/>
                <w:szCs w:val="13"/>
                <w:color w:val="auto"/>
              </w:rPr>
              <w:t>Term Loan (10.25% cash (Libor + 7.90%; Floor 9.50%),</w:t>
            </w:r>
          </w:p>
        </w:tc>
        <w:tc>
          <w:tcPr>
            <w:tcW w:w="1000" w:type="dxa"/>
            <w:vAlign w:val="bottom"/>
            <w:gridSpan w:val="2"/>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4,000</w:t>
            </w:r>
          </w:p>
        </w:tc>
        <w:tc>
          <w:tcPr>
            <w:tcW w:w="160" w:type="dxa"/>
            <w:vAlign w:val="bottom"/>
          </w:tcPr>
          <w:p>
            <w:pPr>
              <w:spacing w:after="0"/>
              <w:rPr>
                <w:sz w:val="10"/>
                <w:szCs w:val="10"/>
                <w:color w:val="auto"/>
              </w:rPr>
            </w:pPr>
          </w:p>
        </w:tc>
        <w:tc>
          <w:tcPr>
            <w:tcW w:w="860" w:type="dxa"/>
            <w:vAlign w:val="bottom"/>
            <w:gridSpan w:val="2"/>
          </w:tcPr>
          <w:p>
            <w:pPr>
              <w:jc w:val="right"/>
              <w:ind w:right="100"/>
              <w:spacing w:after="0" w:line="117" w:lineRule="exact"/>
              <w:rPr>
                <w:sz w:val="20"/>
                <w:szCs w:val="20"/>
                <w:color w:val="auto"/>
              </w:rPr>
            </w:pPr>
            <w:r>
              <w:rPr>
                <w:rFonts w:ascii="Times New Roman" w:cs="Times New Roman" w:eastAsia="Times New Roman" w:hAnsi="Times New Roman"/>
                <w:sz w:val="13"/>
                <w:szCs w:val="13"/>
                <w:color w:val="auto"/>
              </w:rPr>
              <w:t>3,936</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gridSpan w:val="2"/>
          </w:tcPr>
          <w:p>
            <w:pPr>
              <w:jc w:val="right"/>
              <w:ind w:right="100"/>
              <w:spacing w:after="0" w:line="117" w:lineRule="exact"/>
              <w:rPr>
                <w:sz w:val="20"/>
                <w:szCs w:val="20"/>
                <w:color w:val="auto"/>
              </w:rPr>
            </w:pPr>
            <w:r>
              <w:rPr>
                <w:rFonts w:ascii="Times New Roman" w:cs="Times New Roman" w:eastAsia="Times New Roman" w:hAnsi="Times New Roman"/>
                <w:sz w:val="13"/>
                <w:szCs w:val="13"/>
                <w:color w:val="auto"/>
              </w:rPr>
              <w:t>3,636</w:t>
            </w:r>
          </w:p>
        </w:tc>
      </w:tr>
      <w:tr>
        <w:trPr>
          <w:trHeight w:val="153"/>
        </w:trPr>
        <w:tc>
          <w:tcPr>
            <w:tcW w:w="35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46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w w:val="95"/>
              </w:rPr>
              <w:t>5.00%</w:t>
            </w:r>
          </w:p>
        </w:tc>
        <w:tc>
          <w:tcPr>
            <w:tcW w:w="278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ETP, Due 7/1/22)</w:t>
            </w: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17"/>
        </w:trPr>
        <w:tc>
          <w:tcPr>
            <w:tcW w:w="356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Intelepeer Holdings, Inc. (2)(12)</w:t>
            </w:r>
          </w:p>
        </w:tc>
        <w:tc>
          <w:tcPr>
            <w:tcW w:w="1480" w:type="dxa"/>
            <w:vAlign w:val="bottom"/>
            <w:shd w:val="clear" w:color="auto" w:fill="CCEEFF"/>
          </w:tcPr>
          <w:p>
            <w:pPr>
              <w:ind w:left="340"/>
              <w:spacing w:after="0" w:line="117" w:lineRule="exact"/>
              <w:rPr>
                <w:sz w:val="20"/>
                <w:szCs w:val="20"/>
                <w:color w:val="auto"/>
              </w:rPr>
            </w:pPr>
            <w:r>
              <w:rPr>
                <w:rFonts w:ascii="Times New Roman" w:cs="Times New Roman" w:eastAsia="Times New Roman" w:hAnsi="Times New Roman"/>
                <w:sz w:val="13"/>
                <w:szCs w:val="13"/>
                <w:color w:val="auto"/>
              </w:rPr>
              <w:t>Communications</w:t>
            </w:r>
          </w:p>
        </w:tc>
        <w:tc>
          <w:tcPr>
            <w:tcW w:w="3240" w:type="dxa"/>
            <w:vAlign w:val="bottom"/>
            <w:gridSpan w:val="5"/>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Term Loan (12.30% cash (Libor + 9.95%; Floor</w:t>
            </w:r>
          </w:p>
        </w:tc>
        <w:tc>
          <w:tcPr>
            <w:tcW w:w="1000" w:type="dxa"/>
            <w:vAlign w:val="bottom"/>
            <w:gridSpan w:val="2"/>
            <w:shd w:val="clear" w:color="auto" w:fill="CCEEFF"/>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4,000</w:t>
            </w:r>
          </w:p>
        </w:tc>
        <w:tc>
          <w:tcPr>
            <w:tcW w:w="16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100"/>
              <w:spacing w:after="0" w:line="117" w:lineRule="exact"/>
              <w:rPr>
                <w:sz w:val="20"/>
                <w:szCs w:val="20"/>
                <w:color w:val="auto"/>
              </w:rPr>
            </w:pPr>
            <w:r>
              <w:rPr>
                <w:rFonts w:ascii="Times New Roman" w:cs="Times New Roman" w:eastAsia="Times New Roman" w:hAnsi="Times New Roman"/>
                <w:sz w:val="13"/>
                <w:szCs w:val="13"/>
                <w:color w:val="auto"/>
              </w:rPr>
              <w:t>3,948</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right"/>
              <w:ind w:right="100"/>
              <w:spacing w:after="0" w:line="117" w:lineRule="exact"/>
              <w:rPr>
                <w:sz w:val="20"/>
                <w:szCs w:val="20"/>
                <w:color w:val="auto"/>
              </w:rPr>
            </w:pPr>
            <w:r>
              <w:rPr>
                <w:rFonts w:ascii="Times New Roman" w:cs="Times New Roman" w:eastAsia="Times New Roman" w:hAnsi="Times New Roman"/>
                <w:sz w:val="13"/>
                <w:szCs w:val="13"/>
                <w:color w:val="auto"/>
              </w:rPr>
              <w:t>3,948</w:t>
            </w:r>
          </w:p>
        </w:tc>
      </w:tr>
      <w:tr>
        <w:trPr>
          <w:trHeight w:val="153"/>
        </w:trPr>
        <w:tc>
          <w:tcPr>
            <w:tcW w:w="356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3240" w:type="dxa"/>
            <w:vAlign w:val="bottom"/>
            <w:gridSpan w:val="5"/>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11.25%), 2.50% ETP, Due 7/1/21)</w:t>
            </w:r>
          </w:p>
        </w:tc>
        <w:tc>
          <w:tcPr>
            <w:tcW w:w="8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17"/>
        </w:trPr>
        <w:tc>
          <w:tcPr>
            <w:tcW w:w="35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3240" w:type="dxa"/>
            <w:vAlign w:val="bottom"/>
            <w:gridSpan w:val="5"/>
          </w:tcPr>
          <w:p>
            <w:pPr>
              <w:ind w:left="120"/>
              <w:spacing w:after="0" w:line="117" w:lineRule="exact"/>
              <w:rPr>
                <w:sz w:val="20"/>
                <w:szCs w:val="20"/>
                <w:color w:val="auto"/>
              </w:rPr>
            </w:pPr>
            <w:r>
              <w:rPr>
                <w:rFonts w:ascii="Times New Roman" w:cs="Times New Roman" w:eastAsia="Times New Roman" w:hAnsi="Times New Roman"/>
                <w:sz w:val="13"/>
                <w:szCs w:val="13"/>
                <w:color w:val="auto"/>
              </w:rPr>
              <w:t>Term Loan (12.30% cash (Libor + 9.95%; Floor</w:t>
            </w:r>
          </w:p>
        </w:tc>
        <w:tc>
          <w:tcPr>
            <w:tcW w:w="1000" w:type="dxa"/>
            <w:vAlign w:val="bottom"/>
            <w:gridSpan w:val="2"/>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3,000</w:t>
            </w:r>
          </w:p>
        </w:tc>
        <w:tc>
          <w:tcPr>
            <w:tcW w:w="160" w:type="dxa"/>
            <w:vAlign w:val="bottom"/>
          </w:tcPr>
          <w:p>
            <w:pPr>
              <w:spacing w:after="0"/>
              <w:rPr>
                <w:sz w:val="10"/>
                <w:szCs w:val="10"/>
                <w:color w:val="auto"/>
              </w:rPr>
            </w:pPr>
          </w:p>
        </w:tc>
        <w:tc>
          <w:tcPr>
            <w:tcW w:w="860" w:type="dxa"/>
            <w:vAlign w:val="bottom"/>
            <w:gridSpan w:val="2"/>
          </w:tcPr>
          <w:p>
            <w:pPr>
              <w:jc w:val="right"/>
              <w:ind w:right="100"/>
              <w:spacing w:after="0" w:line="117" w:lineRule="exact"/>
              <w:rPr>
                <w:sz w:val="20"/>
                <w:szCs w:val="20"/>
                <w:color w:val="auto"/>
              </w:rPr>
            </w:pPr>
            <w:r>
              <w:rPr>
                <w:rFonts w:ascii="Times New Roman" w:cs="Times New Roman" w:eastAsia="Times New Roman" w:hAnsi="Times New Roman"/>
                <w:sz w:val="13"/>
                <w:szCs w:val="13"/>
                <w:color w:val="auto"/>
              </w:rPr>
              <w:t>2,955</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gridSpan w:val="2"/>
          </w:tcPr>
          <w:p>
            <w:pPr>
              <w:jc w:val="right"/>
              <w:ind w:right="100"/>
              <w:spacing w:after="0" w:line="117" w:lineRule="exact"/>
              <w:rPr>
                <w:sz w:val="20"/>
                <w:szCs w:val="20"/>
                <w:color w:val="auto"/>
              </w:rPr>
            </w:pPr>
            <w:r>
              <w:rPr>
                <w:rFonts w:ascii="Times New Roman" w:cs="Times New Roman" w:eastAsia="Times New Roman" w:hAnsi="Times New Roman"/>
                <w:sz w:val="13"/>
                <w:szCs w:val="13"/>
                <w:color w:val="auto"/>
              </w:rPr>
              <w:t>2,955</w:t>
            </w:r>
          </w:p>
        </w:tc>
      </w:tr>
      <w:tr>
        <w:trPr>
          <w:trHeight w:val="153"/>
        </w:trPr>
        <w:tc>
          <w:tcPr>
            <w:tcW w:w="35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3240" w:type="dxa"/>
            <w:vAlign w:val="bottom"/>
            <w:gridSpan w:val="5"/>
          </w:tcPr>
          <w:p>
            <w:pPr>
              <w:ind w:left="120"/>
              <w:spacing w:after="0"/>
              <w:rPr>
                <w:sz w:val="20"/>
                <w:szCs w:val="20"/>
                <w:color w:val="auto"/>
              </w:rPr>
            </w:pPr>
            <w:r>
              <w:rPr>
                <w:rFonts w:ascii="Times New Roman" w:cs="Times New Roman" w:eastAsia="Times New Roman" w:hAnsi="Times New Roman"/>
                <w:sz w:val="13"/>
                <w:szCs w:val="13"/>
                <w:color w:val="auto"/>
              </w:rPr>
              <w:t>11.25%), 2.50% ETP, Due 2/1/21)</w:t>
            </w: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17"/>
        </w:trPr>
        <w:tc>
          <w:tcPr>
            <w:tcW w:w="356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Food52, Inc. (2)(12)</w:t>
            </w:r>
          </w:p>
        </w:tc>
        <w:tc>
          <w:tcPr>
            <w:tcW w:w="1480" w:type="dxa"/>
            <w:vAlign w:val="bottom"/>
            <w:shd w:val="clear" w:color="auto" w:fill="CCEEFF"/>
          </w:tcPr>
          <w:p>
            <w:pPr>
              <w:ind w:left="340"/>
              <w:spacing w:after="0" w:line="117" w:lineRule="exact"/>
              <w:rPr>
                <w:sz w:val="20"/>
                <w:szCs w:val="20"/>
                <w:color w:val="auto"/>
              </w:rPr>
            </w:pPr>
            <w:r>
              <w:rPr>
                <w:rFonts w:ascii="Times New Roman" w:cs="Times New Roman" w:eastAsia="Times New Roman" w:hAnsi="Times New Roman"/>
                <w:sz w:val="13"/>
                <w:szCs w:val="13"/>
                <w:color w:val="auto"/>
              </w:rPr>
              <w:t>Consumer-related</w:t>
            </w:r>
          </w:p>
        </w:tc>
        <w:tc>
          <w:tcPr>
            <w:tcW w:w="3240" w:type="dxa"/>
            <w:vAlign w:val="bottom"/>
            <w:gridSpan w:val="5"/>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Term Loan (10.90% cash (Libor + 8.40%; Floor</w:t>
            </w:r>
          </w:p>
        </w:tc>
        <w:tc>
          <w:tcPr>
            <w:tcW w:w="1000" w:type="dxa"/>
            <w:vAlign w:val="bottom"/>
            <w:gridSpan w:val="2"/>
            <w:shd w:val="clear" w:color="auto" w:fill="CCEEFF"/>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3,000</w:t>
            </w:r>
          </w:p>
        </w:tc>
        <w:tc>
          <w:tcPr>
            <w:tcW w:w="16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100"/>
              <w:spacing w:after="0" w:line="117" w:lineRule="exact"/>
              <w:rPr>
                <w:sz w:val="20"/>
                <w:szCs w:val="20"/>
                <w:color w:val="auto"/>
              </w:rPr>
            </w:pPr>
            <w:r>
              <w:rPr>
                <w:rFonts w:ascii="Times New Roman" w:cs="Times New Roman" w:eastAsia="Times New Roman" w:hAnsi="Times New Roman"/>
                <w:sz w:val="13"/>
                <w:szCs w:val="13"/>
                <w:color w:val="auto"/>
              </w:rPr>
              <w:t>2,918</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right"/>
              <w:ind w:right="100"/>
              <w:spacing w:after="0" w:line="117" w:lineRule="exact"/>
              <w:rPr>
                <w:sz w:val="20"/>
                <w:szCs w:val="20"/>
                <w:color w:val="auto"/>
              </w:rPr>
            </w:pPr>
            <w:r>
              <w:rPr>
                <w:rFonts w:ascii="Times New Roman" w:cs="Times New Roman" w:eastAsia="Times New Roman" w:hAnsi="Times New Roman"/>
                <w:sz w:val="13"/>
                <w:szCs w:val="13"/>
                <w:color w:val="auto"/>
              </w:rPr>
              <w:t>2,918</w:t>
            </w:r>
          </w:p>
        </w:tc>
      </w:tr>
      <w:tr>
        <w:trPr>
          <w:trHeight w:val="153"/>
        </w:trPr>
        <w:tc>
          <w:tcPr>
            <w:tcW w:w="3560" w:type="dxa"/>
            <w:vAlign w:val="bottom"/>
            <w:shd w:val="clear" w:color="auto" w:fill="CCEEFF"/>
          </w:tcPr>
          <w:p>
            <w:pPr>
              <w:spacing w:after="0"/>
              <w:rPr>
                <w:sz w:val="13"/>
                <w:szCs w:val="13"/>
                <w:color w:val="auto"/>
              </w:rPr>
            </w:pPr>
          </w:p>
        </w:tc>
        <w:tc>
          <w:tcPr>
            <w:tcW w:w="1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Technologies</w:t>
            </w:r>
          </w:p>
        </w:tc>
        <w:tc>
          <w:tcPr>
            <w:tcW w:w="3240" w:type="dxa"/>
            <w:vAlign w:val="bottom"/>
            <w:gridSpan w:val="5"/>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10.90%), 3.00% ETP, Due 1/1/23)</w:t>
            </w:r>
          </w:p>
        </w:tc>
        <w:tc>
          <w:tcPr>
            <w:tcW w:w="8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17"/>
        </w:trPr>
        <w:tc>
          <w:tcPr>
            <w:tcW w:w="35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3240" w:type="dxa"/>
            <w:vAlign w:val="bottom"/>
            <w:gridSpan w:val="5"/>
          </w:tcPr>
          <w:p>
            <w:pPr>
              <w:ind w:left="120"/>
              <w:spacing w:after="0" w:line="117" w:lineRule="exact"/>
              <w:rPr>
                <w:sz w:val="20"/>
                <w:szCs w:val="20"/>
                <w:color w:val="auto"/>
              </w:rPr>
            </w:pPr>
            <w:r>
              <w:rPr>
                <w:rFonts w:ascii="Times New Roman" w:cs="Times New Roman" w:eastAsia="Times New Roman" w:hAnsi="Times New Roman"/>
                <w:sz w:val="13"/>
                <w:szCs w:val="13"/>
                <w:color w:val="auto"/>
              </w:rPr>
              <w:t>Term Loan (10.90% cash (Libor + 8.40%; Floor</w:t>
            </w:r>
          </w:p>
        </w:tc>
        <w:tc>
          <w:tcPr>
            <w:tcW w:w="1000" w:type="dxa"/>
            <w:vAlign w:val="bottom"/>
            <w:gridSpan w:val="2"/>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3,000</w:t>
            </w:r>
          </w:p>
        </w:tc>
        <w:tc>
          <w:tcPr>
            <w:tcW w:w="160" w:type="dxa"/>
            <w:vAlign w:val="bottom"/>
          </w:tcPr>
          <w:p>
            <w:pPr>
              <w:spacing w:after="0"/>
              <w:rPr>
                <w:sz w:val="10"/>
                <w:szCs w:val="10"/>
                <w:color w:val="auto"/>
              </w:rPr>
            </w:pPr>
          </w:p>
        </w:tc>
        <w:tc>
          <w:tcPr>
            <w:tcW w:w="860" w:type="dxa"/>
            <w:vAlign w:val="bottom"/>
            <w:gridSpan w:val="2"/>
          </w:tcPr>
          <w:p>
            <w:pPr>
              <w:jc w:val="right"/>
              <w:ind w:right="100"/>
              <w:spacing w:after="0" w:line="117" w:lineRule="exact"/>
              <w:rPr>
                <w:sz w:val="20"/>
                <w:szCs w:val="20"/>
                <w:color w:val="auto"/>
              </w:rPr>
            </w:pPr>
            <w:r>
              <w:rPr>
                <w:rFonts w:ascii="Times New Roman" w:cs="Times New Roman" w:eastAsia="Times New Roman" w:hAnsi="Times New Roman"/>
                <w:sz w:val="13"/>
                <w:szCs w:val="13"/>
                <w:color w:val="auto"/>
              </w:rPr>
              <w:t>2,918</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gridSpan w:val="2"/>
          </w:tcPr>
          <w:p>
            <w:pPr>
              <w:jc w:val="right"/>
              <w:ind w:right="100"/>
              <w:spacing w:after="0" w:line="117" w:lineRule="exact"/>
              <w:rPr>
                <w:sz w:val="20"/>
                <w:szCs w:val="20"/>
                <w:color w:val="auto"/>
              </w:rPr>
            </w:pPr>
            <w:r>
              <w:rPr>
                <w:rFonts w:ascii="Times New Roman" w:cs="Times New Roman" w:eastAsia="Times New Roman" w:hAnsi="Times New Roman"/>
                <w:sz w:val="13"/>
                <w:szCs w:val="13"/>
                <w:color w:val="auto"/>
              </w:rPr>
              <w:t>2,918</w:t>
            </w:r>
          </w:p>
        </w:tc>
      </w:tr>
      <w:tr>
        <w:trPr>
          <w:trHeight w:val="153"/>
        </w:trPr>
        <w:tc>
          <w:tcPr>
            <w:tcW w:w="35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3240" w:type="dxa"/>
            <w:vAlign w:val="bottom"/>
            <w:gridSpan w:val="5"/>
          </w:tcPr>
          <w:p>
            <w:pPr>
              <w:ind w:left="120"/>
              <w:spacing w:after="0"/>
              <w:rPr>
                <w:sz w:val="20"/>
                <w:szCs w:val="20"/>
                <w:color w:val="auto"/>
              </w:rPr>
            </w:pPr>
            <w:r>
              <w:rPr>
                <w:rFonts w:ascii="Times New Roman" w:cs="Times New Roman" w:eastAsia="Times New Roman" w:hAnsi="Times New Roman"/>
                <w:sz w:val="13"/>
                <w:szCs w:val="13"/>
                <w:color w:val="auto"/>
              </w:rPr>
              <w:t>10.90%), 3.00% ETP, Due 1/1/23)</w:t>
            </w: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17"/>
        </w:trPr>
        <w:tc>
          <w:tcPr>
            <w:tcW w:w="356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Mohawk Group Holdings, Inc. (2)(12)</w:t>
            </w:r>
          </w:p>
        </w:tc>
        <w:tc>
          <w:tcPr>
            <w:tcW w:w="1480" w:type="dxa"/>
            <w:vAlign w:val="bottom"/>
            <w:shd w:val="clear" w:color="auto" w:fill="CCEEFF"/>
          </w:tcPr>
          <w:p>
            <w:pPr>
              <w:ind w:left="340"/>
              <w:spacing w:after="0" w:line="117" w:lineRule="exact"/>
              <w:rPr>
                <w:sz w:val="20"/>
                <w:szCs w:val="20"/>
                <w:color w:val="auto"/>
              </w:rPr>
            </w:pPr>
            <w:r>
              <w:rPr>
                <w:rFonts w:ascii="Times New Roman" w:cs="Times New Roman" w:eastAsia="Times New Roman" w:hAnsi="Times New Roman"/>
                <w:sz w:val="13"/>
                <w:szCs w:val="13"/>
                <w:color w:val="auto"/>
              </w:rPr>
              <w:t>Consumer-related</w:t>
            </w:r>
          </w:p>
        </w:tc>
        <w:tc>
          <w:tcPr>
            <w:tcW w:w="3240" w:type="dxa"/>
            <w:vAlign w:val="bottom"/>
            <w:gridSpan w:val="5"/>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Term Loan (9.90% cash (Libor + 7.40%; Floor 9.90%),</w:t>
            </w:r>
          </w:p>
        </w:tc>
        <w:tc>
          <w:tcPr>
            <w:tcW w:w="1000" w:type="dxa"/>
            <w:vAlign w:val="bottom"/>
            <w:gridSpan w:val="2"/>
            <w:shd w:val="clear" w:color="auto" w:fill="CCEEFF"/>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5,000</w:t>
            </w:r>
          </w:p>
        </w:tc>
        <w:tc>
          <w:tcPr>
            <w:tcW w:w="16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100"/>
              <w:spacing w:after="0" w:line="117" w:lineRule="exact"/>
              <w:rPr>
                <w:sz w:val="20"/>
                <w:szCs w:val="20"/>
                <w:color w:val="auto"/>
              </w:rPr>
            </w:pPr>
            <w:r>
              <w:rPr>
                <w:rFonts w:ascii="Times New Roman" w:cs="Times New Roman" w:eastAsia="Times New Roman" w:hAnsi="Times New Roman"/>
                <w:sz w:val="13"/>
                <w:szCs w:val="13"/>
                <w:color w:val="auto"/>
              </w:rPr>
              <w:t>4,885</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right"/>
              <w:ind w:right="100"/>
              <w:spacing w:after="0" w:line="117" w:lineRule="exact"/>
              <w:rPr>
                <w:sz w:val="20"/>
                <w:szCs w:val="20"/>
                <w:color w:val="auto"/>
              </w:rPr>
            </w:pPr>
            <w:r>
              <w:rPr>
                <w:rFonts w:ascii="Times New Roman" w:cs="Times New Roman" w:eastAsia="Times New Roman" w:hAnsi="Times New Roman"/>
                <w:sz w:val="13"/>
                <w:szCs w:val="13"/>
                <w:color w:val="auto"/>
              </w:rPr>
              <w:t>4,885</w:t>
            </w:r>
          </w:p>
        </w:tc>
      </w:tr>
      <w:tr>
        <w:trPr>
          <w:trHeight w:val="153"/>
        </w:trPr>
        <w:tc>
          <w:tcPr>
            <w:tcW w:w="3560" w:type="dxa"/>
            <w:vAlign w:val="bottom"/>
            <w:shd w:val="clear" w:color="auto" w:fill="CCEEFF"/>
          </w:tcPr>
          <w:p>
            <w:pPr>
              <w:spacing w:after="0"/>
              <w:rPr>
                <w:sz w:val="13"/>
                <w:szCs w:val="13"/>
                <w:color w:val="auto"/>
              </w:rPr>
            </w:pPr>
          </w:p>
        </w:tc>
        <w:tc>
          <w:tcPr>
            <w:tcW w:w="1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Technologies</w:t>
            </w:r>
          </w:p>
        </w:tc>
        <w:tc>
          <w:tcPr>
            <w:tcW w:w="3240" w:type="dxa"/>
            <w:vAlign w:val="bottom"/>
            <w:gridSpan w:val="5"/>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4.00% ETP, Due 1/1/23)</w:t>
            </w:r>
          </w:p>
        </w:tc>
        <w:tc>
          <w:tcPr>
            <w:tcW w:w="8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17"/>
        </w:trPr>
        <w:tc>
          <w:tcPr>
            <w:tcW w:w="35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3240" w:type="dxa"/>
            <w:vAlign w:val="bottom"/>
            <w:gridSpan w:val="5"/>
          </w:tcPr>
          <w:p>
            <w:pPr>
              <w:ind w:left="120"/>
              <w:spacing w:after="0" w:line="117" w:lineRule="exact"/>
              <w:rPr>
                <w:sz w:val="20"/>
                <w:szCs w:val="20"/>
                <w:color w:val="auto"/>
              </w:rPr>
            </w:pPr>
            <w:r>
              <w:rPr>
                <w:rFonts w:ascii="Times New Roman" w:cs="Times New Roman" w:eastAsia="Times New Roman" w:hAnsi="Times New Roman"/>
                <w:sz w:val="13"/>
                <w:szCs w:val="13"/>
                <w:color w:val="auto"/>
              </w:rPr>
              <w:t>Term Loan (9.90% cash (Libor + 7.40%; Floor 9.90%),</w:t>
            </w:r>
          </w:p>
        </w:tc>
        <w:tc>
          <w:tcPr>
            <w:tcW w:w="1000" w:type="dxa"/>
            <w:vAlign w:val="bottom"/>
            <w:gridSpan w:val="2"/>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5,000</w:t>
            </w:r>
          </w:p>
        </w:tc>
        <w:tc>
          <w:tcPr>
            <w:tcW w:w="160" w:type="dxa"/>
            <w:vAlign w:val="bottom"/>
          </w:tcPr>
          <w:p>
            <w:pPr>
              <w:spacing w:after="0"/>
              <w:rPr>
                <w:sz w:val="10"/>
                <w:szCs w:val="10"/>
                <w:color w:val="auto"/>
              </w:rPr>
            </w:pPr>
          </w:p>
        </w:tc>
        <w:tc>
          <w:tcPr>
            <w:tcW w:w="860" w:type="dxa"/>
            <w:vAlign w:val="bottom"/>
            <w:gridSpan w:val="2"/>
          </w:tcPr>
          <w:p>
            <w:pPr>
              <w:jc w:val="right"/>
              <w:ind w:right="100"/>
              <w:spacing w:after="0" w:line="117" w:lineRule="exact"/>
              <w:rPr>
                <w:sz w:val="20"/>
                <w:szCs w:val="20"/>
                <w:color w:val="auto"/>
              </w:rPr>
            </w:pPr>
            <w:r>
              <w:rPr>
                <w:rFonts w:ascii="Times New Roman" w:cs="Times New Roman" w:eastAsia="Times New Roman" w:hAnsi="Times New Roman"/>
                <w:sz w:val="13"/>
                <w:szCs w:val="13"/>
                <w:color w:val="auto"/>
              </w:rPr>
              <w:t>4,885</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gridSpan w:val="2"/>
          </w:tcPr>
          <w:p>
            <w:pPr>
              <w:jc w:val="right"/>
              <w:ind w:right="100"/>
              <w:spacing w:after="0" w:line="117" w:lineRule="exact"/>
              <w:rPr>
                <w:sz w:val="20"/>
                <w:szCs w:val="20"/>
                <w:color w:val="auto"/>
              </w:rPr>
            </w:pPr>
            <w:r>
              <w:rPr>
                <w:rFonts w:ascii="Times New Roman" w:cs="Times New Roman" w:eastAsia="Times New Roman" w:hAnsi="Times New Roman"/>
                <w:sz w:val="13"/>
                <w:szCs w:val="13"/>
                <w:color w:val="auto"/>
              </w:rPr>
              <w:t>4,885</w:t>
            </w:r>
          </w:p>
        </w:tc>
      </w:tr>
      <w:tr>
        <w:trPr>
          <w:trHeight w:val="153"/>
        </w:trPr>
        <w:tc>
          <w:tcPr>
            <w:tcW w:w="35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46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w w:val="95"/>
              </w:rPr>
              <w:t>4.00%</w:t>
            </w:r>
          </w:p>
        </w:tc>
        <w:tc>
          <w:tcPr>
            <w:tcW w:w="278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ETP, Due 1/1/23)</w:t>
            </w: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17"/>
        </w:trPr>
        <w:tc>
          <w:tcPr>
            <w:tcW w:w="3560" w:type="dxa"/>
            <w:vAlign w:val="bottom"/>
            <w:shd w:val="clear" w:color="auto" w:fill="CCEEFF"/>
          </w:tcPr>
          <w:p>
            <w:pPr>
              <w:spacing w:after="0"/>
              <w:rPr>
                <w:sz w:val="10"/>
                <w:szCs w:val="10"/>
                <w:color w:val="auto"/>
              </w:rPr>
            </w:pPr>
          </w:p>
        </w:tc>
        <w:tc>
          <w:tcPr>
            <w:tcW w:w="1480" w:type="dxa"/>
            <w:vAlign w:val="bottom"/>
            <w:shd w:val="clear" w:color="auto" w:fill="CCEEFF"/>
          </w:tcPr>
          <w:p>
            <w:pPr>
              <w:spacing w:after="0"/>
              <w:rPr>
                <w:sz w:val="10"/>
                <w:szCs w:val="10"/>
                <w:color w:val="auto"/>
              </w:rPr>
            </w:pPr>
          </w:p>
        </w:tc>
        <w:tc>
          <w:tcPr>
            <w:tcW w:w="3240" w:type="dxa"/>
            <w:vAlign w:val="bottom"/>
            <w:gridSpan w:val="5"/>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Term Loan (9.90% cash (Libor + 7.40%; Floor 9.90%),</w:t>
            </w:r>
          </w:p>
        </w:tc>
        <w:tc>
          <w:tcPr>
            <w:tcW w:w="1000" w:type="dxa"/>
            <w:vAlign w:val="bottom"/>
            <w:gridSpan w:val="2"/>
            <w:shd w:val="clear" w:color="auto" w:fill="CCEEFF"/>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5,000</w:t>
            </w:r>
          </w:p>
        </w:tc>
        <w:tc>
          <w:tcPr>
            <w:tcW w:w="16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100"/>
              <w:spacing w:after="0" w:line="117" w:lineRule="exact"/>
              <w:rPr>
                <w:sz w:val="20"/>
                <w:szCs w:val="20"/>
                <w:color w:val="auto"/>
              </w:rPr>
            </w:pPr>
            <w:r>
              <w:rPr>
                <w:rFonts w:ascii="Times New Roman" w:cs="Times New Roman" w:eastAsia="Times New Roman" w:hAnsi="Times New Roman"/>
                <w:sz w:val="13"/>
                <w:szCs w:val="13"/>
                <w:color w:val="auto"/>
              </w:rPr>
              <w:t>4,885</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right"/>
              <w:ind w:right="100"/>
              <w:spacing w:after="0" w:line="117" w:lineRule="exact"/>
              <w:rPr>
                <w:sz w:val="20"/>
                <w:szCs w:val="20"/>
                <w:color w:val="auto"/>
              </w:rPr>
            </w:pPr>
            <w:r>
              <w:rPr>
                <w:rFonts w:ascii="Times New Roman" w:cs="Times New Roman" w:eastAsia="Times New Roman" w:hAnsi="Times New Roman"/>
                <w:sz w:val="13"/>
                <w:szCs w:val="13"/>
                <w:color w:val="auto"/>
              </w:rPr>
              <w:t>4,885</w:t>
            </w:r>
          </w:p>
        </w:tc>
      </w:tr>
      <w:tr>
        <w:trPr>
          <w:trHeight w:val="153"/>
        </w:trPr>
        <w:tc>
          <w:tcPr>
            <w:tcW w:w="356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w w:val="95"/>
              </w:rPr>
              <w:t>4.00%</w:t>
            </w:r>
          </w:p>
        </w:tc>
        <w:tc>
          <w:tcPr>
            <w:tcW w:w="27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ETP, Due 1/1/23)</w:t>
            </w:r>
          </w:p>
        </w:tc>
        <w:tc>
          <w:tcPr>
            <w:tcW w:w="8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17"/>
        </w:trPr>
        <w:tc>
          <w:tcPr>
            <w:tcW w:w="356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Kaminario, Inc. (2)(12)</w:t>
            </w:r>
          </w:p>
        </w:tc>
        <w:tc>
          <w:tcPr>
            <w:tcW w:w="1480" w:type="dxa"/>
            <w:vAlign w:val="bottom"/>
          </w:tcPr>
          <w:p>
            <w:pPr>
              <w:ind w:left="340"/>
              <w:spacing w:after="0" w:line="117" w:lineRule="exact"/>
              <w:rPr>
                <w:sz w:val="20"/>
                <w:szCs w:val="20"/>
                <w:color w:val="auto"/>
              </w:rPr>
            </w:pPr>
            <w:r>
              <w:rPr>
                <w:rFonts w:ascii="Times New Roman" w:cs="Times New Roman" w:eastAsia="Times New Roman" w:hAnsi="Times New Roman"/>
                <w:sz w:val="13"/>
                <w:szCs w:val="13"/>
                <w:color w:val="auto"/>
              </w:rPr>
              <w:t>Data Storage</w:t>
            </w:r>
          </w:p>
        </w:tc>
        <w:tc>
          <w:tcPr>
            <w:tcW w:w="3240" w:type="dxa"/>
            <w:vAlign w:val="bottom"/>
            <w:gridSpan w:val="5"/>
          </w:tcPr>
          <w:p>
            <w:pPr>
              <w:ind w:left="120"/>
              <w:spacing w:after="0" w:line="117" w:lineRule="exact"/>
              <w:rPr>
                <w:sz w:val="20"/>
                <w:szCs w:val="20"/>
                <w:color w:val="auto"/>
              </w:rPr>
            </w:pPr>
            <w:r>
              <w:rPr>
                <w:rFonts w:ascii="Times New Roman" w:cs="Times New Roman" w:eastAsia="Times New Roman" w:hAnsi="Times New Roman"/>
                <w:sz w:val="13"/>
                <w:szCs w:val="13"/>
                <w:color w:val="auto"/>
              </w:rPr>
              <w:t>Term Loan (10.87% cash (Libor + 8.40%; Floor</w:t>
            </w:r>
          </w:p>
        </w:tc>
        <w:tc>
          <w:tcPr>
            <w:tcW w:w="1000" w:type="dxa"/>
            <w:vAlign w:val="bottom"/>
            <w:gridSpan w:val="2"/>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5,000</w:t>
            </w:r>
          </w:p>
        </w:tc>
        <w:tc>
          <w:tcPr>
            <w:tcW w:w="160" w:type="dxa"/>
            <w:vAlign w:val="bottom"/>
          </w:tcPr>
          <w:p>
            <w:pPr>
              <w:spacing w:after="0"/>
              <w:rPr>
                <w:sz w:val="10"/>
                <w:szCs w:val="10"/>
                <w:color w:val="auto"/>
              </w:rPr>
            </w:pPr>
          </w:p>
        </w:tc>
        <w:tc>
          <w:tcPr>
            <w:tcW w:w="860" w:type="dxa"/>
            <w:vAlign w:val="bottom"/>
            <w:gridSpan w:val="2"/>
          </w:tcPr>
          <w:p>
            <w:pPr>
              <w:jc w:val="right"/>
              <w:ind w:right="100"/>
              <w:spacing w:after="0" w:line="117" w:lineRule="exact"/>
              <w:rPr>
                <w:sz w:val="20"/>
                <w:szCs w:val="20"/>
                <w:color w:val="auto"/>
              </w:rPr>
            </w:pPr>
            <w:r>
              <w:rPr>
                <w:rFonts w:ascii="Times New Roman" w:cs="Times New Roman" w:eastAsia="Times New Roman" w:hAnsi="Times New Roman"/>
                <w:sz w:val="13"/>
                <w:szCs w:val="13"/>
                <w:color w:val="auto"/>
              </w:rPr>
              <w:t>4,918</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gridSpan w:val="2"/>
          </w:tcPr>
          <w:p>
            <w:pPr>
              <w:jc w:val="right"/>
              <w:ind w:right="100"/>
              <w:spacing w:after="0" w:line="117" w:lineRule="exact"/>
              <w:rPr>
                <w:sz w:val="20"/>
                <w:szCs w:val="20"/>
                <w:color w:val="auto"/>
              </w:rPr>
            </w:pPr>
            <w:r>
              <w:rPr>
                <w:rFonts w:ascii="Times New Roman" w:cs="Times New Roman" w:eastAsia="Times New Roman" w:hAnsi="Times New Roman"/>
                <w:sz w:val="13"/>
                <w:szCs w:val="13"/>
                <w:color w:val="auto"/>
              </w:rPr>
              <w:t>4,918</w:t>
            </w:r>
          </w:p>
        </w:tc>
      </w:tr>
      <w:tr>
        <w:trPr>
          <w:trHeight w:val="164"/>
        </w:trPr>
        <w:tc>
          <w:tcPr>
            <w:tcW w:w="35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240" w:type="dxa"/>
            <w:vAlign w:val="bottom"/>
            <w:gridSpan w:val="5"/>
          </w:tcPr>
          <w:p>
            <w:pPr>
              <w:ind w:left="120"/>
              <w:spacing w:after="0"/>
              <w:rPr>
                <w:sz w:val="20"/>
                <w:szCs w:val="20"/>
                <w:color w:val="auto"/>
              </w:rPr>
            </w:pPr>
            <w:r>
              <w:rPr>
                <w:rFonts w:ascii="Times New Roman" w:cs="Times New Roman" w:eastAsia="Times New Roman" w:hAnsi="Times New Roman"/>
                <w:sz w:val="13"/>
                <w:szCs w:val="13"/>
                <w:color w:val="auto"/>
              </w:rPr>
              <w:t>10.65%), 3.00% ETP, Due 1/1/23)</w:t>
            </w: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r>
    </w:tbl>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Schedule of Investments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Principal</w:t>
            </w: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Cost of</w:t>
            </w:r>
          </w:p>
        </w:tc>
        <w:tc>
          <w:tcPr>
            <w:tcW w:w="120" w:type="dxa"/>
            <w:vAlign w:val="bottom"/>
          </w:tcPr>
          <w:p>
            <w:pPr>
              <w:spacing w:after="0"/>
              <w:rPr>
                <w:sz w:val="12"/>
                <w:szCs w:val="12"/>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Fair</w:t>
            </w:r>
          </w:p>
        </w:tc>
      </w:tr>
      <w:tr>
        <w:trPr>
          <w:trHeight w:val="155"/>
        </w:trPr>
        <w:tc>
          <w:tcPr>
            <w:tcW w:w="3900" w:type="dxa"/>
            <w:vAlign w:val="bottom"/>
            <w:gridSpan w:val="2"/>
          </w:tcPr>
          <w:p>
            <w:pPr>
              <w:ind w:left="1220"/>
              <w:spacing w:after="0"/>
              <w:rPr>
                <w:sz w:val="20"/>
                <w:szCs w:val="20"/>
                <w:color w:val="auto"/>
              </w:rPr>
            </w:pPr>
            <w:r>
              <w:rPr>
                <w:rFonts w:ascii="Times New Roman" w:cs="Times New Roman" w:eastAsia="Times New Roman" w:hAnsi="Times New Roman"/>
                <w:sz w:val="13"/>
                <w:szCs w:val="13"/>
                <w:b w:val="1"/>
                <w:bCs w:val="1"/>
                <w:color w:val="auto"/>
              </w:rPr>
              <w:t>Portfolio Company (1)(3)</w:t>
            </w:r>
          </w:p>
        </w:tc>
        <w:tc>
          <w:tcPr>
            <w:tcW w:w="1140" w:type="dxa"/>
            <w:vAlign w:val="bottom"/>
          </w:tcPr>
          <w:p>
            <w:pPr>
              <w:ind w:left="400"/>
              <w:spacing w:after="0"/>
              <w:rPr>
                <w:sz w:val="20"/>
                <w:szCs w:val="20"/>
                <w:color w:val="auto"/>
              </w:rPr>
            </w:pPr>
            <w:r>
              <w:rPr>
                <w:rFonts w:ascii="Times New Roman" w:cs="Times New Roman" w:eastAsia="Times New Roman" w:hAnsi="Times New Roman"/>
                <w:sz w:val="13"/>
                <w:szCs w:val="13"/>
                <w:b w:val="1"/>
                <w:bCs w:val="1"/>
                <w:color w:val="auto"/>
              </w:rPr>
              <w:t>Sector</w:t>
            </w:r>
          </w:p>
        </w:tc>
        <w:tc>
          <w:tcPr>
            <w:tcW w:w="120" w:type="dxa"/>
            <w:vAlign w:val="bottom"/>
          </w:tcPr>
          <w:p>
            <w:pPr>
              <w:spacing w:after="0"/>
              <w:rPr>
                <w:sz w:val="13"/>
                <w:szCs w:val="13"/>
                <w:color w:val="auto"/>
              </w:rPr>
            </w:pPr>
          </w:p>
        </w:tc>
        <w:tc>
          <w:tcPr>
            <w:tcW w:w="3000" w:type="dxa"/>
            <w:vAlign w:val="bottom"/>
            <w:gridSpan w:val="2"/>
          </w:tcPr>
          <w:p>
            <w:pPr>
              <w:ind w:left="580"/>
              <w:spacing w:after="0"/>
              <w:rPr>
                <w:sz w:val="20"/>
                <w:szCs w:val="20"/>
                <w:color w:val="auto"/>
              </w:rPr>
            </w:pPr>
            <w:r>
              <w:rPr>
                <w:rFonts w:ascii="Times New Roman" w:cs="Times New Roman" w:eastAsia="Times New Roman" w:hAnsi="Times New Roman"/>
                <w:sz w:val="13"/>
                <w:szCs w:val="13"/>
                <w:b w:val="1"/>
                <w:bCs w:val="1"/>
                <w:color w:val="auto"/>
              </w:rPr>
              <w:t>Type of Investment (4)(7)(9)(10)</w:t>
            </w: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8"/>
              </w:rPr>
              <w:t>Investments (6)</w:t>
            </w:r>
          </w:p>
        </w:tc>
        <w:tc>
          <w:tcPr>
            <w:tcW w:w="120" w:type="dxa"/>
            <w:vAlign w:val="bottom"/>
          </w:tcPr>
          <w:p>
            <w:pPr>
              <w:spacing w:after="0"/>
              <w:rPr>
                <w:sz w:val="13"/>
                <w:szCs w:val="13"/>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8"/>
              </w:rPr>
              <w:t>Value</w:t>
            </w:r>
          </w:p>
        </w:tc>
      </w:tr>
      <w:tr>
        <w:trPr>
          <w:trHeight w:val="110"/>
        </w:trPr>
        <w:tc>
          <w:tcPr>
            <w:tcW w:w="378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14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2880" w:type="dxa"/>
            <w:vAlign w:val="bottom"/>
            <w:tcBorders>
              <w:top w:val="single" w:sz="8" w:color="auto"/>
            </w:tcBorders>
            <w:shd w:val="clear" w:color="auto" w:fill="CCEEFF"/>
          </w:tcPr>
          <w:p>
            <w:pPr>
              <w:spacing w:after="0" w:line="110" w:lineRule="exact"/>
              <w:rPr>
                <w:sz w:val="20"/>
                <w:szCs w:val="20"/>
                <w:color w:val="auto"/>
              </w:rPr>
            </w:pPr>
            <w:r>
              <w:rPr>
                <w:rFonts w:ascii="Times New Roman" w:cs="Times New Roman" w:eastAsia="Times New Roman" w:hAnsi="Times New Roman"/>
                <w:sz w:val="12"/>
                <w:szCs w:val="12"/>
                <w:color w:val="auto"/>
              </w:rPr>
              <w:t>Term Loan (10.87% cash (Libor + 8.40%; Floor</w:t>
            </w:r>
          </w:p>
        </w:tc>
        <w:tc>
          <w:tcPr>
            <w:tcW w:w="120" w:type="dxa"/>
            <w:vAlign w:val="bottom"/>
            <w:tcBorders>
              <w:top w:val="single" w:sz="8" w:color="CCEEFF"/>
            </w:tcBorders>
            <w:shd w:val="clear" w:color="auto" w:fill="CCEEFF"/>
          </w:tcPr>
          <w:p>
            <w:pPr>
              <w:spacing w:after="0"/>
              <w:rPr>
                <w:sz w:val="9"/>
                <w:szCs w:val="9"/>
                <w:color w:val="auto"/>
              </w:rPr>
            </w:pPr>
          </w:p>
        </w:tc>
        <w:tc>
          <w:tcPr>
            <w:tcW w:w="920" w:type="dxa"/>
            <w:vAlign w:val="bottom"/>
            <w:tcBorders>
              <w:top w:val="single" w:sz="8" w:color="auto"/>
            </w:tcBorders>
            <w:shd w:val="clear" w:color="auto" w:fill="CCEEFF"/>
          </w:tcPr>
          <w:p>
            <w:pPr>
              <w:jc w:val="right"/>
              <w:spacing w:after="0" w:line="110" w:lineRule="exact"/>
              <w:rPr>
                <w:sz w:val="20"/>
                <w:szCs w:val="20"/>
                <w:color w:val="auto"/>
              </w:rPr>
            </w:pPr>
            <w:r>
              <w:rPr>
                <w:rFonts w:ascii="Times New Roman" w:cs="Times New Roman" w:eastAsia="Times New Roman" w:hAnsi="Times New Roman"/>
                <w:sz w:val="12"/>
                <w:szCs w:val="12"/>
                <w:color w:val="auto"/>
              </w:rPr>
              <w:t>5,000</w:t>
            </w:r>
          </w:p>
        </w:tc>
        <w:tc>
          <w:tcPr>
            <w:tcW w:w="200" w:type="dxa"/>
            <w:vAlign w:val="bottom"/>
            <w:tcBorders>
              <w:top w:val="single" w:sz="8" w:color="CCEEFF"/>
            </w:tcBorders>
            <w:shd w:val="clear" w:color="auto" w:fill="CCEEFF"/>
          </w:tcPr>
          <w:p>
            <w:pPr>
              <w:spacing w:after="0"/>
              <w:rPr>
                <w:sz w:val="9"/>
                <w:szCs w:val="9"/>
                <w:color w:val="auto"/>
              </w:rPr>
            </w:pPr>
          </w:p>
        </w:tc>
        <w:tc>
          <w:tcPr>
            <w:tcW w:w="920" w:type="dxa"/>
            <w:vAlign w:val="bottom"/>
            <w:tcBorders>
              <w:top w:val="single" w:sz="8" w:color="auto"/>
            </w:tcBorders>
            <w:shd w:val="clear" w:color="auto" w:fill="CCEEFF"/>
          </w:tcPr>
          <w:p>
            <w:pPr>
              <w:jc w:val="right"/>
              <w:spacing w:after="0" w:line="110" w:lineRule="exact"/>
              <w:rPr>
                <w:sz w:val="20"/>
                <w:szCs w:val="20"/>
                <w:color w:val="auto"/>
              </w:rPr>
            </w:pPr>
            <w:r>
              <w:rPr>
                <w:rFonts w:ascii="Times New Roman" w:cs="Times New Roman" w:eastAsia="Times New Roman" w:hAnsi="Times New Roman"/>
                <w:sz w:val="12"/>
                <w:szCs w:val="12"/>
                <w:color w:val="auto"/>
              </w:rPr>
              <w:t>4,917</w:t>
            </w:r>
          </w:p>
        </w:tc>
        <w:tc>
          <w:tcPr>
            <w:tcW w:w="200" w:type="dxa"/>
            <w:vAlign w:val="bottom"/>
            <w:tcBorders>
              <w:top w:val="single" w:sz="8" w:color="CCEEFF"/>
            </w:tcBorders>
            <w:shd w:val="clear" w:color="auto" w:fill="CCEEFF"/>
          </w:tcPr>
          <w:p>
            <w:pPr>
              <w:spacing w:after="0"/>
              <w:rPr>
                <w:sz w:val="9"/>
                <w:szCs w:val="9"/>
                <w:color w:val="auto"/>
              </w:rPr>
            </w:pPr>
          </w:p>
        </w:tc>
        <w:tc>
          <w:tcPr>
            <w:tcW w:w="920" w:type="dxa"/>
            <w:vAlign w:val="bottom"/>
            <w:tcBorders>
              <w:top w:val="single" w:sz="8" w:color="auto"/>
            </w:tcBorders>
            <w:gridSpan w:val="2"/>
            <w:shd w:val="clear" w:color="auto" w:fill="CCEEFF"/>
          </w:tcPr>
          <w:p>
            <w:pPr>
              <w:jc w:val="right"/>
              <w:spacing w:after="0" w:line="110" w:lineRule="exact"/>
              <w:rPr>
                <w:sz w:val="20"/>
                <w:szCs w:val="20"/>
                <w:color w:val="auto"/>
              </w:rPr>
            </w:pPr>
            <w:r>
              <w:rPr>
                <w:rFonts w:ascii="Times New Roman" w:cs="Times New Roman" w:eastAsia="Times New Roman" w:hAnsi="Times New Roman"/>
                <w:sz w:val="12"/>
                <w:szCs w:val="12"/>
                <w:color w:val="auto"/>
              </w:rPr>
              <w:t>4,917</w:t>
            </w:r>
          </w:p>
        </w:tc>
        <w:tc>
          <w:tcPr>
            <w:tcW w:w="100" w:type="dxa"/>
            <w:vAlign w:val="bottom"/>
            <w:tcBorders>
              <w:top w:val="single" w:sz="8" w:color="CCEEFF"/>
            </w:tcBorders>
            <w:shd w:val="clear" w:color="auto" w:fill="CCEEFF"/>
          </w:tcPr>
          <w:p>
            <w:pPr>
              <w:spacing w:after="0"/>
              <w:rPr>
                <w:sz w:val="9"/>
                <w:szCs w:val="9"/>
                <w:color w:val="auto"/>
              </w:rPr>
            </w:pPr>
          </w:p>
        </w:tc>
      </w:tr>
      <w:tr>
        <w:trPr>
          <w:trHeight w:val="153"/>
        </w:trPr>
        <w:tc>
          <w:tcPr>
            <w:tcW w:w="3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31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10.65%), 3.00% ETP, Due 1/1/23)</w:t>
            </w:r>
          </w:p>
        </w:tc>
        <w:tc>
          <w:tcPr>
            <w:tcW w:w="9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17"/>
        </w:trPr>
        <w:tc>
          <w:tcPr>
            <w:tcW w:w="3900" w:type="dxa"/>
            <w:vAlign w:val="bottom"/>
            <w:gridSpan w:val="2"/>
          </w:tcPr>
          <w:p>
            <w:pPr>
              <w:spacing w:after="0" w:line="117" w:lineRule="exact"/>
              <w:rPr>
                <w:sz w:val="20"/>
                <w:szCs w:val="20"/>
                <w:color w:val="auto"/>
              </w:rPr>
            </w:pPr>
            <w:r>
              <w:rPr>
                <w:rFonts w:ascii="Times New Roman" w:cs="Times New Roman" w:eastAsia="Times New Roman" w:hAnsi="Times New Roman"/>
                <w:sz w:val="13"/>
                <w:szCs w:val="13"/>
                <w:color w:val="auto"/>
              </w:rPr>
              <w:t>IgnitionOne, Inc. (2)(12)</w:t>
            </w:r>
          </w:p>
        </w:tc>
        <w:tc>
          <w:tcPr>
            <w:tcW w:w="114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Internet and Media</w:t>
            </w:r>
          </w:p>
        </w:tc>
        <w:tc>
          <w:tcPr>
            <w:tcW w:w="3120" w:type="dxa"/>
            <w:vAlign w:val="bottom"/>
            <w:gridSpan w:val="3"/>
          </w:tcPr>
          <w:p>
            <w:pPr>
              <w:ind w:left="120"/>
              <w:spacing w:after="0" w:line="117" w:lineRule="exact"/>
              <w:rPr>
                <w:sz w:val="20"/>
                <w:szCs w:val="20"/>
                <w:color w:val="auto"/>
              </w:rPr>
            </w:pPr>
            <w:r>
              <w:rPr>
                <w:rFonts w:ascii="Times New Roman" w:cs="Times New Roman" w:eastAsia="Times New Roman" w:hAnsi="Times New Roman"/>
                <w:sz w:val="13"/>
                <w:szCs w:val="13"/>
                <w:color w:val="auto"/>
              </w:rPr>
              <w:t>Term Loan (12.58% cash (Libor + 10.23%;</w:t>
            </w:r>
          </w:p>
        </w:tc>
        <w:tc>
          <w:tcPr>
            <w:tcW w:w="1120" w:type="dxa"/>
            <w:vAlign w:val="bottom"/>
            <w:gridSpan w:val="2"/>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3,000</w:t>
            </w:r>
          </w:p>
        </w:tc>
        <w:tc>
          <w:tcPr>
            <w:tcW w:w="1120" w:type="dxa"/>
            <w:vAlign w:val="bottom"/>
            <w:gridSpan w:val="2"/>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2,871</w:t>
            </w:r>
          </w:p>
        </w:tc>
        <w:tc>
          <w:tcPr>
            <w:tcW w:w="1020" w:type="dxa"/>
            <w:vAlign w:val="bottom"/>
            <w:gridSpan w:val="3"/>
          </w:tcPr>
          <w:p>
            <w:pPr>
              <w:jc w:val="right"/>
              <w:ind w:right="100"/>
              <w:spacing w:after="0" w:line="117" w:lineRule="exact"/>
              <w:rPr>
                <w:sz w:val="20"/>
                <w:szCs w:val="20"/>
                <w:color w:val="auto"/>
              </w:rPr>
            </w:pPr>
            <w:r>
              <w:rPr>
                <w:rFonts w:ascii="Times New Roman" w:cs="Times New Roman" w:eastAsia="Times New Roman" w:hAnsi="Times New Roman"/>
                <w:sz w:val="13"/>
                <w:szCs w:val="13"/>
                <w:color w:val="auto"/>
              </w:rPr>
              <w:t>2,871</w:t>
            </w:r>
          </w:p>
        </w:tc>
      </w:tr>
      <w:tr>
        <w:trPr>
          <w:trHeight w:val="153"/>
        </w:trPr>
        <w:tc>
          <w:tcPr>
            <w:tcW w:w="3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12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Floor 10.23%), 2.00% ETP, Due 4/1/22)</w:t>
            </w: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17"/>
        </w:trPr>
        <w:tc>
          <w:tcPr>
            <w:tcW w:w="3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3120" w:type="dxa"/>
            <w:vAlign w:val="bottom"/>
            <w:gridSpan w:val="3"/>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Term Loan (12.58% cash (Libor + 10.23%; Floor</w:t>
            </w:r>
          </w:p>
        </w:tc>
        <w:tc>
          <w:tcPr>
            <w:tcW w:w="1120" w:type="dxa"/>
            <w:vAlign w:val="bottom"/>
            <w:gridSpan w:val="2"/>
            <w:shd w:val="clear" w:color="auto" w:fill="CCEEFF"/>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3,000</w:t>
            </w:r>
          </w:p>
        </w:tc>
        <w:tc>
          <w:tcPr>
            <w:tcW w:w="1120" w:type="dxa"/>
            <w:vAlign w:val="bottom"/>
            <w:gridSpan w:val="2"/>
            <w:shd w:val="clear" w:color="auto" w:fill="CCEEFF"/>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2,871</w:t>
            </w:r>
          </w:p>
        </w:tc>
        <w:tc>
          <w:tcPr>
            <w:tcW w:w="1020" w:type="dxa"/>
            <w:vAlign w:val="bottom"/>
            <w:gridSpan w:val="3"/>
            <w:shd w:val="clear" w:color="auto" w:fill="CCEEFF"/>
          </w:tcPr>
          <w:p>
            <w:pPr>
              <w:jc w:val="right"/>
              <w:ind w:right="100"/>
              <w:spacing w:after="0" w:line="117" w:lineRule="exact"/>
              <w:rPr>
                <w:sz w:val="20"/>
                <w:szCs w:val="20"/>
                <w:color w:val="auto"/>
              </w:rPr>
            </w:pPr>
            <w:r>
              <w:rPr>
                <w:rFonts w:ascii="Times New Roman" w:cs="Times New Roman" w:eastAsia="Times New Roman" w:hAnsi="Times New Roman"/>
                <w:sz w:val="13"/>
                <w:szCs w:val="13"/>
                <w:color w:val="auto"/>
              </w:rPr>
              <w:t>2,871</w:t>
            </w:r>
          </w:p>
        </w:tc>
      </w:tr>
      <w:tr>
        <w:trPr>
          <w:trHeight w:val="153"/>
        </w:trPr>
        <w:tc>
          <w:tcPr>
            <w:tcW w:w="3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31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10.23%), 2.00% ETP, Due 4/1/22)</w:t>
            </w:r>
          </w:p>
        </w:tc>
        <w:tc>
          <w:tcPr>
            <w:tcW w:w="9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17"/>
        </w:trPr>
        <w:tc>
          <w:tcPr>
            <w:tcW w:w="3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3120" w:type="dxa"/>
            <w:vAlign w:val="bottom"/>
            <w:gridSpan w:val="3"/>
          </w:tcPr>
          <w:p>
            <w:pPr>
              <w:ind w:left="120"/>
              <w:spacing w:after="0" w:line="117" w:lineRule="exact"/>
              <w:rPr>
                <w:sz w:val="20"/>
                <w:szCs w:val="20"/>
                <w:color w:val="auto"/>
              </w:rPr>
            </w:pPr>
            <w:r>
              <w:rPr>
                <w:rFonts w:ascii="Times New Roman" w:cs="Times New Roman" w:eastAsia="Times New Roman" w:hAnsi="Times New Roman"/>
                <w:sz w:val="13"/>
                <w:szCs w:val="13"/>
                <w:color w:val="auto"/>
              </w:rPr>
              <w:t>Term Loan (12.58% cash (Libor + 10.23%; Floor</w:t>
            </w:r>
          </w:p>
        </w:tc>
        <w:tc>
          <w:tcPr>
            <w:tcW w:w="1120" w:type="dxa"/>
            <w:vAlign w:val="bottom"/>
            <w:gridSpan w:val="2"/>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3,000</w:t>
            </w:r>
          </w:p>
        </w:tc>
        <w:tc>
          <w:tcPr>
            <w:tcW w:w="1120" w:type="dxa"/>
            <w:vAlign w:val="bottom"/>
            <w:gridSpan w:val="2"/>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2,871</w:t>
            </w:r>
          </w:p>
        </w:tc>
        <w:tc>
          <w:tcPr>
            <w:tcW w:w="1020" w:type="dxa"/>
            <w:vAlign w:val="bottom"/>
            <w:gridSpan w:val="3"/>
          </w:tcPr>
          <w:p>
            <w:pPr>
              <w:jc w:val="right"/>
              <w:ind w:right="100"/>
              <w:spacing w:after="0" w:line="117" w:lineRule="exact"/>
              <w:rPr>
                <w:sz w:val="20"/>
                <w:szCs w:val="20"/>
                <w:color w:val="auto"/>
              </w:rPr>
            </w:pPr>
            <w:r>
              <w:rPr>
                <w:rFonts w:ascii="Times New Roman" w:cs="Times New Roman" w:eastAsia="Times New Roman" w:hAnsi="Times New Roman"/>
                <w:sz w:val="13"/>
                <w:szCs w:val="13"/>
                <w:color w:val="auto"/>
              </w:rPr>
              <w:t>2,871</w:t>
            </w:r>
          </w:p>
        </w:tc>
      </w:tr>
      <w:tr>
        <w:trPr>
          <w:trHeight w:val="153"/>
        </w:trPr>
        <w:tc>
          <w:tcPr>
            <w:tcW w:w="3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12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10.23%), 2.00% ETP, Due 4/1/22)</w:t>
            </w: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17"/>
        </w:trPr>
        <w:tc>
          <w:tcPr>
            <w:tcW w:w="3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3120" w:type="dxa"/>
            <w:vAlign w:val="bottom"/>
            <w:gridSpan w:val="3"/>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Term Loan (12.58% cash (Libor + 10.23%; Floor</w:t>
            </w:r>
          </w:p>
        </w:tc>
        <w:tc>
          <w:tcPr>
            <w:tcW w:w="1120" w:type="dxa"/>
            <w:vAlign w:val="bottom"/>
            <w:gridSpan w:val="2"/>
            <w:shd w:val="clear" w:color="auto" w:fill="CCEEFF"/>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3,000</w:t>
            </w:r>
          </w:p>
        </w:tc>
        <w:tc>
          <w:tcPr>
            <w:tcW w:w="1120" w:type="dxa"/>
            <w:vAlign w:val="bottom"/>
            <w:gridSpan w:val="2"/>
            <w:shd w:val="clear" w:color="auto" w:fill="CCEEFF"/>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2,871</w:t>
            </w:r>
          </w:p>
        </w:tc>
        <w:tc>
          <w:tcPr>
            <w:tcW w:w="1020" w:type="dxa"/>
            <w:vAlign w:val="bottom"/>
            <w:gridSpan w:val="3"/>
            <w:shd w:val="clear" w:color="auto" w:fill="CCEEFF"/>
          </w:tcPr>
          <w:p>
            <w:pPr>
              <w:jc w:val="right"/>
              <w:ind w:right="100"/>
              <w:spacing w:after="0" w:line="117" w:lineRule="exact"/>
              <w:rPr>
                <w:sz w:val="20"/>
                <w:szCs w:val="20"/>
                <w:color w:val="auto"/>
              </w:rPr>
            </w:pPr>
            <w:r>
              <w:rPr>
                <w:rFonts w:ascii="Times New Roman" w:cs="Times New Roman" w:eastAsia="Times New Roman" w:hAnsi="Times New Roman"/>
                <w:sz w:val="13"/>
                <w:szCs w:val="13"/>
                <w:color w:val="auto"/>
              </w:rPr>
              <w:t>2,871</w:t>
            </w:r>
          </w:p>
        </w:tc>
      </w:tr>
      <w:tr>
        <w:trPr>
          <w:trHeight w:val="153"/>
        </w:trPr>
        <w:tc>
          <w:tcPr>
            <w:tcW w:w="3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31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10.23%), 2.00% ETP, Due 4/1/22)</w:t>
            </w:r>
          </w:p>
        </w:tc>
        <w:tc>
          <w:tcPr>
            <w:tcW w:w="9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17"/>
        </w:trPr>
        <w:tc>
          <w:tcPr>
            <w:tcW w:w="3900" w:type="dxa"/>
            <w:vAlign w:val="bottom"/>
            <w:gridSpan w:val="2"/>
          </w:tcPr>
          <w:p>
            <w:pPr>
              <w:spacing w:after="0" w:line="117" w:lineRule="exact"/>
              <w:rPr>
                <w:sz w:val="20"/>
                <w:szCs w:val="20"/>
                <w:color w:val="auto"/>
              </w:rPr>
            </w:pPr>
            <w:r>
              <w:rPr>
                <w:rFonts w:ascii="Times New Roman" w:cs="Times New Roman" w:eastAsia="Times New Roman" w:hAnsi="Times New Roman"/>
                <w:sz w:val="13"/>
                <w:szCs w:val="13"/>
                <w:color w:val="auto"/>
              </w:rPr>
              <w:t>Jump Ramp Games, Inc. (2)(12)</w:t>
            </w:r>
          </w:p>
        </w:tc>
        <w:tc>
          <w:tcPr>
            <w:tcW w:w="114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Internet and Media</w:t>
            </w:r>
          </w:p>
        </w:tc>
        <w:tc>
          <w:tcPr>
            <w:tcW w:w="3120" w:type="dxa"/>
            <w:vAlign w:val="bottom"/>
            <w:gridSpan w:val="3"/>
          </w:tcPr>
          <w:p>
            <w:pPr>
              <w:ind w:left="120"/>
              <w:spacing w:after="0" w:line="117" w:lineRule="exact"/>
              <w:rPr>
                <w:sz w:val="20"/>
                <w:szCs w:val="20"/>
                <w:color w:val="auto"/>
              </w:rPr>
            </w:pPr>
            <w:r>
              <w:rPr>
                <w:rFonts w:ascii="Times New Roman" w:cs="Times New Roman" w:eastAsia="Times New Roman" w:hAnsi="Times New Roman"/>
                <w:sz w:val="13"/>
                <w:szCs w:val="13"/>
                <w:color w:val="auto"/>
              </w:rPr>
              <w:t>Term Loan (12.08% cash (Libor + 9.73%), 3.00% ETP,</w:t>
            </w:r>
          </w:p>
        </w:tc>
        <w:tc>
          <w:tcPr>
            <w:tcW w:w="1120" w:type="dxa"/>
            <w:vAlign w:val="bottom"/>
            <w:gridSpan w:val="2"/>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4,000</w:t>
            </w:r>
          </w:p>
        </w:tc>
        <w:tc>
          <w:tcPr>
            <w:tcW w:w="1120" w:type="dxa"/>
            <w:vAlign w:val="bottom"/>
            <w:gridSpan w:val="2"/>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3,960</w:t>
            </w:r>
          </w:p>
        </w:tc>
        <w:tc>
          <w:tcPr>
            <w:tcW w:w="1020" w:type="dxa"/>
            <w:vAlign w:val="bottom"/>
            <w:gridSpan w:val="3"/>
          </w:tcPr>
          <w:p>
            <w:pPr>
              <w:jc w:val="right"/>
              <w:ind w:right="100"/>
              <w:spacing w:after="0" w:line="117" w:lineRule="exact"/>
              <w:rPr>
                <w:sz w:val="20"/>
                <w:szCs w:val="20"/>
                <w:color w:val="auto"/>
              </w:rPr>
            </w:pPr>
            <w:r>
              <w:rPr>
                <w:rFonts w:ascii="Times New Roman" w:cs="Times New Roman" w:eastAsia="Times New Roman" w:hAnsi="Times New Roman"/>
                <w:sz w:val="13"/>
                <w:szCs w:val="13"/>
                <w:color w:val="auto"/>
              </w:rPr>
              <w:t>3,960</w:t>
            </w:r>
          </w:p>
        </w:tc>
      </w:tr>
      <w:tr>
        <w:trPr>
          <w:trHeight w:val="153"/>
        </w:trPr>
        <w:tc>
          <w:tcPr>
            <w:tcW w:w="3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12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Due 4/1/21)</w:t>
            </w: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17"/>
        </w:trPr>
        <w:tc>
          <w:tcPr>
            <w:tcW w:w="3900" w:type="dxa"/>
            <w:vAlign w:val="bottom"/>
            <w:gridSpan w:val="2"/>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Kixeye, Inc. (2)(12)</w:t>
            </w:r>
          </w:p>
        </w:tc>
        <w:tc>
          <w:tcPr>
            <w:tcW w:w="114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Internet and Media</w:t>
            </w:r>
          </w:p>
        </w:tc>
        <w:tc>
          <w:tcPr>
            <w:tcW w:w="3120" w:type="dxa"/>
            <w:vAlign w:val="bottom"/>
            <w:gridSpan w:val="3"/>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Term Loan (11.95% cash (Libor + 9.60%; Floor</w:t>
            </w:r>
          </w:p>
        </w:tc>
        <w:tc>
          <w:tcPr>
            <w:tcW w:w="1120" w:type="dxa"/>
            <w:vAlign w:val="bottom"/>
            <w:gridSpan w:val="2"/>
            <w:shd w:val="clear" w:color="auto" w:fill="CCEEFF"/>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2,700</w:t>
            </w:r>
          </w:p>
        </w:tc>
        <w:tc>
          <w:tcPr>
            <w:tcW w:w="1120" w:type="dxa"/>
            <w:vAlign w:val="bottom"/>
            <w:gridSpan w:val="2"/>
            <w:shd w:val="clear" w:color="auto" w:fill="CCEEFF"/>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2,617</w:t>
            </w:r>
          </w:p>
        </w:tc>
        <w:tc>
          <w:tcPr>
            <w:tcW w:w="1020" w:type="dxa"/>
            <w:vAlign w:val="bottom"/>
            <w:gridSpan w:val="3"/>
            <w:shd w:val="clear" w:color="auto" w:fill="CCEEFF"/>
          </w:tcPr>
          <w:p>
            <w:pPr>
              <w:jc w:val="right"/>
              <w:ind w:right="100"/>
              <w:spacing w:after="0" w:line="117" w:lineRule="exact"/>
              <w:rPr>
                <w:sz w:val="20"/>
                <w:szCs w:val="20"/>
                <w:color w:val="auto"/>
              </w:rPr>
            </w:pPr>
            <w:r>
              <w:rPr>
                <w:rFonts w:ascii="Times New Roman" w:cs="Times New Roman" w:eastAsia="Times New Roman" w:hAnsi="Times New Roman"/>
                <w:sz w:val="13"/>
                <w:szCs w:val="13"/>
                <w:color w:val="auto"/>
              </w:rPr>
              <w:t>2,617</w:t>
            </w:r>
          </w:p>
        </w:tc>
      </w:tr>
      <w:tr>
        <w:trPr>
          <w:trHeight w:val="153"/>
        </w:trPr>
        <w:tc>
          <w:tcPr>
            <w:tcW w:w="3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31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10.75%), 2.00% ETP, Due 5/1/21)</w:t>
            </w:r>
          </w:p>
        </w:tc>
        <w:tc>
          <w:tcPr>
            <w:tcW w:w="9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17"/>
        </w:trPr>
        <w:tc>
          <w:tcPr>
            <w:tcW w:w="3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3120" w:type="dxa"/>
            <w:vAlign w:val="bottom"/>
            <w:gridSpan w:val="3"/>
          </w:tcPr>
          <w:p>
            <w:pPr>
              <w:ind w:left="120"/>
              <w:spacing w:after="0" w:line="117" w:lineRule="exact"/>
              <w:rPr>
                <w:sz w:val="20"/>
                <w:szCs w:val="20"/>
                <w:color w:val="auto"/>
              </w:rPr>
            </w:pPr>
            <w:r>
              <w:rPr>
                <w:rFonts w:ascii="Times New Roman" w:cs="Times New Roman" w:eastAsia="Times New Roman" w:hAnsi="Times New Roman"/>
                <w:sz w:val="13"/>
                <w:szCs w:val="13"/>
                <w:color w:val="auto"/>
              </w:rPr>
              <w:t>Term Loan (11.95% cash (Libor + 9.60%; Floor</w:t>
            </w:r>
          </w:p>
        </w:tc>
        <w:tc>
          <w:tcPr>
            <w:tcW w:w="1120" w:type="dxa"/>
            <w:vAlign w:val="bottom"/>
            <w:gridSpan w:val="2"/>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2,700</w:t>
            </w:r>
          </w:p>
        </w:tc>
        <w:tc>
          <w:tcPr>
            <w:tcW w:w="1120" w:type="dxa"/>
            <w:vAlign w:val="bottom"/>
            <w:gridSpan w:val="2"/>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2,661</w:t>
            </w:r>
          </w:p>
        </w:tc>
        <w:tc>
          <w:tcPr>
            <w:tcW w:w="1020" w:type="dxa"/>
            <w:vAlign w:val="bottom"/>
            <w:gridSpan w:val="3"/>
          </w:tcPr>
          <w:p>
            <w:pPr>
              <w:jc w:val="right"/>
              <w:ind w:right="100"/>
              <w:spacing w:after="0" w:line="117" w:lineRule="exact"/>
              <w:rPr>
                <w:sz w:val="20"/>
                <w:szCs w:val="20"/>
                <w:color w:val="auto"/>
              </w:rPr>
            </w:pPr>
            <w:r>
              <w:rPr>
                <w:rFonts w:ascii="Times New Roman" w:cs="Times New Roman" w:eastAsia="Times New Roman" w:hAnsi="Times New Roman"/>
                <w:sz w:val="13"/>
                <w:szCs w:val="13"/>
                <w:color w:val="auto"/>
              </w:rPr>
              <w:t>2,661</w:t>
            </w:r>
          </w:p>
        </w:tc>
      </w:tr>
      <w:tr>
        <w:trPr>
          <w:trHeight w:val="153"/>
        </w:trPr>
        <w:tc>
          <w:tcPr>
            <w:tcW w:w="3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12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10.75%), 2.00% ETP, Due 5/1/21)</w:t>
            </w: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17"/>
        </w:trPr>
        <w:tc>
          <w:tcPr>
            <w:tcW w:w="3900" w:type="dxa"/>
            <w:vAlign w:val="bottom"/>
            <w:gridSpan w:val="2"/>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Rocket Lawyer Incorporated (2)(12)</w:t>
            </w:r>
          </w:p>
        </w:tc>
        <w:tc>
          <w:tcPr>
            <w:tcW w:w="114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Internet and Media</w:t>
            </w:r>
          </w:p>
        </w:tc>
        <w:tc>
          <w:tcPr>
            <w:tcW w:w="3120" w:type="dxa"/>
            <w:vAlign w:val="bottom"/>
            <w:gridSpan w:val="3"/>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Term Loan (11.75% cash (Libor + 9.40%; Floor</w:t>
            </w:r>
          </w:p>
        </w:tc>
        <w:tc>
          <w:tcPr>
            <w:tcW w:w="1120" w:type="dxa"/>
            <w:vAlign w:val="bottom"/>
            <w:gridSpan w:val="2"/>
            <w:shd w:val="clear" w:color="auto" w:fill="CCEEFF"/>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4,000</w:t>
            </w:r>
          </w:p>
        </w:tc>
        <w:tc>
          <w:tcPr>
            <w:tcW w:w="1120" w:type="dxa"/>
            <w:vAlign w:val="bottom"/>
            <w:gridSpan w:val="2"/>
            <w:shd w:val="clear" w:color="auto" w:fill="CCEEFF"/>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3,952</w:t>
            </w:r>
          </w:p>
        </w:tc>
        <w:tc>
          <w:tcPr>
            <w:tcW w:w="1020" w:type="dxa"/>
            <w:vAlign w:val="bottom"/>
            <w:gridSpan w:val="3"/>
            <w:shd w:val="clear" w:color="auto" w:fill="CCEEFF"/>
          </w:tcPr>
          <w:p>
            <w:pPr>
              <w:jc w:val="right"/>
              <w:ind w:right="100"/>
              <w:spacing w:after="0" w:line="117" w:lineRule="exact"/>
              <w:rPr>
                <w:sz w:val="20"/>
                <w:szCs w:val="20"/>
                <w:color w:val="auto"/>
              </w:rPr>
            </w:pPr>
            <w:r>
              <w:rPr>
                <w:rFonts w:ascii="Times New Roman" w:cs="Times New Roman" w:eastAsia="Times New Roman" w:hAnsi="Times New Roman"/>
                <w:sz w:val="13"/>
                <w:szCs w:val="13"/>
                <w:color w:val="auto"/>
              </w:rPr>
              <w:t>3,952</w:t>
            </w:r>
          </w:p>
        </w:tc>
      </w:tr>
      <w:tr>
        <w:trPr>
          <w:trHeight w:val="153"/>
        </w:trPr>
        <w:tc>
          <w:tcPr>
            <w:tcW w:w="3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31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10.50%), 3.00% ETP, Due 7/1/21)</w:t>
            </w:r>
          </w:p>
        </w:tc>
        <w:tc>
          <w:tcPr>
            <w:tcW w:w="9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17"/>
        </w:trPr>
        <w:tc>
          <w:tcPr>
            <w:tcW w:w="3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3120" w:type="dxa"/>
            <w:vAlign w:val="bottom"/>
            <w:gridSpan w:val="3"/>
          </w:tcPr>
          <w:p>
            <w:pPr>
              <w:ind w:left="120"/>
              <w:spacing w:after="0" w:line="117" w:lineRule="exact"/>
              <w:rPr>
                <w:sz w:val="20"/>
                <w:szCs w:val="20"/>
                <w:color w:val="auto"/>
              </w:rPr>
            </w:pPr>
            <w:r>
              <w:rPr>
                <w:rFonts w:ascii="Times New Roman" w:cs="Times New Roman" w:eastAsia="Times New Roman" w:hAnsi="Times New Roman"/>
                <w:sz w:val="13"/>
                <w:szCs w:val="13"/>
                <w:color w:val="auto"/>
              </w:rPr>
              <w:t>Term Loan (11.75% cash (Libor + 9.40%; Floor</w:t>
            </w:r>
          </w:p>
        </w:tc>
        <w:tc>
          <w:tcPr>
            <w:tcW w:w="1120" w:type="dxa"/>
            <w:vAlign w:val="bottom"/>
            <w:gridSpan w:val="2"/>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4,000</w:t>
            </w:r>
          </w:p>
        </w:tc>
        <w:tc>
          <w:tcPr>
            <w:tcW w:w="1120" w:type="dxa"/>
            <w:vAlign w:val="bottom"/>
            <w:gridSpan w:val="2"/>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3,952</w:t>
            </w:r>
          </w:p>
        </w:tc>
        <w:tc>
          <w:tcPr>
            <w:tcW w:w="1020" w:type="dxa"/>
            <w:vAlign w:val="bottom"/>
            <w:gridSpan w:val="3"/>
          </w:tcPr>
          <w:p>
            <w:pPr>
              <w:jc w:val="right"/>
              <w:ind w:right="100"/>
              <w:spacing w:after="0" w:line="117" w:lineRule="exact"/>
              <w:rPr>
                <w:sz w:val="20"/>
                <w:szCs w:val="20"/>
                <w:color w:val="auto"/>
              </w:rPr>
            </w:pPr>
            <w:r>
              <w:rPr>
                <w:rFonts w:ascii="Times New Roman" w:cs="Times New Roman" w:eastAsia="Times New Roman" w:hAnsi="Times New Roman"/>
                <w:sz w:val="13"/>
                <w:szCs w:val="13"/>
                <w:color w:val="auto"/>
              </w:rPr>
              <w:t>3,952</w:t>
            </w:r>
          </w:p>
        </w:tc>
      </w:tr>
      <w:tr>
        <w:trPr>
          <w:trHeight w:val="153"/>
        </w:trPr>
        <w:tc>
          <w:tcPr>
            <w:tcW w:w="3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12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10.50%), 3.00% ETP, Due 7/1/21)</w:t>
            </w: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17"/>
        </w:trPr>
        <w:tc>
          <w:tcPr>
            <w:tcW w:w="3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3120" w:type="dxa"/>
            <w:vAlign w:val="bottom"/>
            <w:gridSpan w:val="3"/>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Term Loan (11.75% cash (Libor + 9.40%; Floor</w:t>
            </w:r>
          </w:p>
        </w:tc>
        <w:tc>
          <w:tcPr>
            <w:tcW w:w="1120" w:type="dxa"/>
            <w:vAlign w:val="bottom"/>
            <w:gridSpan w:val="2"/>
            <w:shd w:val="clear" w:color="auto" w:fill="CCEEFF"/>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2,000</w:t>
            </w:r>
          </w:p>
        </w:tc>
        <w:tc>
          <w:tcPr>
            <w:tcW w:w="1120" w:type="dxa"/>
            <w:vAlign w:val="bottom"/>
            <w:gridSpan w:val="2"/>
            <w:shd w:val="clear" w:color="auto" w:fill="CCEEFF"/>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1,973</w:t>
            </w:r>
          </w:p>
        </w:tc>
        <w:tc>
          <w:tcPr>
            <w:tcW w:w="1020" w:type="dxa"/>
            <w:vAlign w:val="bottom"/>
            <w:gridSpan w:val="3"/>
            <w:shd w:val="clear" w:color="auto" w:fill="CCEEFF"/>
          </w:tcPr>
          <w:p>
            <w:pPr>
              <w:jc w:val="right"/>
              <w:ind w:right="100"/>
              <w:spacing w:after="0" w:line="117" w:lineRule="exact"/>
              <w:rPr>
                <w:sz w:val="20"/>
                <w:szCs w:val="20"/>
                <w:color w:val="auto"/>
              </w:rPr>
            </w:pPr>
            <w:r>
              <w:rPr>
                <w:rFonts w:ascii="Times New Roman" w:cs="Times New Roman" w:eastAsia="Times New Roman" w:hAnsi="Times New Roman"/>
                <w:sz w:val="13"/>
                <w:szCs w:val="13"/>
                <w:color w:val="auto"/>
              </w:rPr>
              <w:t>1,973</w:t>
            </w:r>
          </w:p>
        </w:tc>
      </w:tr>
      <w:tr>
        <w:trPr>
          <w:trHeight w:val="153"/>
        </w:trPr>
        <w:tc>
          <w:tcPr>
            <w:tcW w:w="3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31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10.50%), 3.00% ETP, Due 11/1/21)</w:t>
            </w:r>
          </w:p>
        </w:tc>
        <w:tc>
          <w:tcPr>
            <w:tcW w:w="9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17"/>
        </w:trPr>
        <w:tc>
          <w:tcPr>
            <w:tcW w:w="3900" w:type="dxa"/>
            <w:vAlign w:val="bottom"/>
            <w:gridSpan w:val="2"/>
          </w:tcPr>
          <w:p>
            <w:pPr>
              <w:spacing w:after="0" w:line="117" w:lineRule="exact"/>
              <w:rPr>
                <w:sz w:val="20"/>
                <w:szCs w:val="20"/>
                <w:color w:val="auto"/>
              </w:rPr>
            </w:pPr>
            <w:r>
              <w:rPr>
                <w:rFonts w:ascii="Times New Roman" w:cs="Times New Roman" w:eastAsia="Times New Roman" w:hAnsi="Times New Roman"/>
                <w:sz w:val="13"/>
                <w:szCs w:val="13"/>
                <w:color w:val="auto"/>
              </w:rPr>
              <w:t>Verve Wireless, Inc. (2)(12)</w:t>
            </w:r>
          </w:p>
        </w:tc>
        <w:tc>
          <w:tcPr>
            <w:tcW w:w="114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Internet and Media</w:t>
            </w:r>
          </w:p>
        </w:tc>
        <w:tc>
          <w:tcPr>
            <w:tcW w:w="3120" w:type="dxa"/>
            <w:vAlign w:val="bottom"/>
            <w:gridSpan w:val="3"/>
          </w:tcPr>
          <w:p>
            <w:pPr>
              <w:ind w:left="120"/>
              <w:spacing w:after="0" w:line="117" w:lineRule="exact"/>
              <w:rPr>
                <w:sz w:val="20"/>
                <w:szCs w:val="20"/>
                <w:color w:val="auto"/>
              </w:rPr>
            </w:pPr>
            <w:r>
              <w:rPr>
                <w:rFonts w:ascii="Times New Roman" w:cs="Times New Roman" w:eastAsia="Times New Roman" w:hAnsi="Times New Roman"/>
                <w:sz w:val="13"/>
                <w:szCs w:val="13"/>
                <w:color w:val="auto"/>
              </w:rPr>
              <w:t>Term Loan (11.15% cash (Libor + 8.80%; Floor</w:t>
            </w:r>
          </w:p>
        </w:tc>
        <w:tc>
          <w:tcPr>
            <w:tcW w:w="1120" w:type="dxa"/>
            <w:vAlign w:val="bottom"/>
            <w:gridSpan w:val="2"/>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3,300</w:t>
            </w:r>
          </w:p>
        </w:tc>
        <w:tc>
          <w:tcPr>
            <w:tcW w:w="1120" w:type="dxa"/>
            <w:vAlign w:val="bottom"/>
            <w:gridSpan w:val="2"/>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3,172</w:t>
            </w:r>
          </w:p>
        </w:tc>
        <w:tc>
          <w:tcPr>
            <w:tcW w:w="1020" w:type="dxa"/>
            <w:vAlign w:val="bottom"/>
            <w:gridSpan w:val="3"/>
          </w:tcPr>
          <w:p>
            <w:pPr>
              <w:jc w:val="right"/>
              <w:ind w:right="100"/>
              <w:spacing w:after="0" w:line="117" w:lineRule="exact"/>
              <w:rPr>
                <w:sz w:val="20"/>
                <w:szCs w:val="20"/>
                <w:color w:val="auto"/>
              </w:rPr>
            </w:pPr>
            <w:r>
              <w:rPr>
                <w:rFonts w:ascii="Times New Roman" w:cs="Times New Roman" w:eastAsia="Times New Roman" w:hAnsi="Times New Roman"/>
                <w:sz w:val="13"/>
                <w:szCs w:val="13"/>
                <w:color w:val="auto"/>
              </w:rPr>
              <w:t>3,172</w:t>
            </w:r>
          </w:p>
        </w:tc>
      </w:tr>
      <w:tr>
        <w:trPr>
          <w:trHeight w:val="153"/>
        </w:trPr>
        <w:tc>
          <w:tcPr>
            <w:tcW w:w="3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12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10.80%), 3.33% ETP, Due 9/1/21)</w:t>
            </w: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17"/>
        </w:trPr>
        <w:tc>
          <w:tcPr>
            <w:tcW w:w="3900" w:type="dxa"/>
            <w:vAlign w:val="bottom"/>
            <w:gridSpan w:val="2"/>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Zinio Holdings, LLC (2)(12)</w:t>
            </w:r>
          </w:p>
        </w:tc>
        <w:tc>
          <w:tcPr>
            <w:tcW w:w="114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Internet and Media</w:t>
            </w:r>
          </w:p>
        </w:tc>
        <w:tc>
          <w:tcPr>
            <w:tcW w:w="3120" w:type="dxa"/>
            <w:vAlign w:val="bottom"/>
            <w:gridSpan w:val="3"/>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Term Loan (13.60% cash (Libor + 11.25%; Floor</w:t>
            </w:r>
          </w:p>
        </w:tc>
        <w:tc>
          <w:tcPr>
            <w:tcW w:w="1120" w:type="dxa"/>
            <w:vAlign w:val="bottom"/>
            <w:gridSpan w:val="2"/>
            <w:shd w:val="clear" w:color="auto" w:fill="CCEEFF"/>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3,225</w:t>
            </w:r>
          </w:p>
        </w:tc>
        <w:tc>
          <w:tcPr>
            <w:tcW w:w="1120" w:type="dxa"/>
            <w:vAlign w:val="bottom"/>
            <w:gridSpan w:val="2"/>
            <w:shd w:val="clear" w:color="auto" w:fill="CCEEFF"/>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3,213</w:t>
            </w:r>
          </w:p>
        </w:tc>
        <w:tc>
          <w:tcPr>
            <w:tcW w:w="1020" w:type="dxa"/>
            <w:vAlign w:val="bottom"/>
            <w:gridSpan w:val="3"/>
            <w:shd w:val="clear" w:color="auto" w:fill="CCEEFF"/>
          </w:tcPr>
          <w:p>
            <w:pPr>
              <w:jc w:val="right"/>
              <w:ind w:right="100"/>
              <w:spacing w:after="0" w:line="117" w:lineRule="exact"/>
              <w:rPr>
                <w:sz w:val="20"/>
                <w:szCs w:val="20"/>
                <w:color w:val="auto"/>
              </w:rPr>
            </w:pPr>
            <w:r>
              <w:rPr>
                <w:rFonts w:ascii="Times New Roman" w:cs="Times New Roman" w:eastAsia="Times New Roman" w:hAnsi="Times New Roman"/>
                <w:sz w:val="13"/>
                <w:szCs w:val="13"/>
                <w:color w:val="auto"/>
              </w:rPr>
              <w:t>3,213</w:t>
            </w:r>
          </w:p>
        </w:tc>
      </w:tr>
      <w:tr>
        <w:trPr>
          <w:trHeight w:val="153"/>
        </w:trPr>
        <w:tc>
          <w:tcPr>
            <w:tcW w:w="3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31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11.75%), 6.00% ETP, Due 2/1/20)</w:t>
            </w:r>
          </w:p>
        </w:tc>
        <w:tc>
          <w:tcPr>
            <w:tcW w:w="9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17"/>
        </w:trPr>
        <w:tc>
          <w:tcPr>
            <w:tcW w:w="3900" w:type="dxa"/>
            <w:vAlign w:val="bottom"/>
            <w:gridSpan w:val="2"/>
          </w:tcPr>
          <w:p>
            <w:pPr>
              <w:spacing w:after="0" w:line="117" w:lineRule="exact"/>
              <w:rPr>
                <w:sz w:val="20"/>
                <w:szCs w:val="20"/>
                <w:color w:val="auto"/>
              </w:rPr>
            </w:pPr>
            <w:r>
              <w:rPr>
                <w:rFonts w:ascii="Times New Roman" w:cs="Times New Roman" w:eastAsia="Times New Roman" w:hAnsi="Times New Roman"/>
                <w:sz w:val="13"/>
                <w:szCs w:val="13"/>
                <w:color w:val="auto"/>
              </w:rPr>
              <w:t>The NanoSteel Company, Inc. (2)(12)</w:t>
            </w:r>
          </w:p>
        </w:tc>
        <w:tc>
          <w:tcPr>
            <w:tcW w:w="114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Materials</w:t>
            </w:r>
          </w:p>
        </w:tc>
        <w:tc>
          <w:tcPr>
            <w:tcW w:w="3120" w:type="dxa"/>
            <w:vAlign w:val="bottom"/>
            <w:gridSpan w:val="3"/>
          </w:tcPr>
          <w:p>
            <w:pPr>
              <w:ind w:left="120"/>
              <w:spacing w:after="0" w:line="117" w:lineRule="exact"/>
              <w:rPr>
                <w:sz w:val="20"/>
                <w:szCs w:val="20"/>
                <w:color w:val="auto"/>
              </w:rPr>
            </w:pPr>
            <w:r>
              <w:rPr>
                <w:rFonts w:ascii="Times New Roman" w:cs="Times New Roman" w:eastAsia="Times New Roman" w:hAnsi="Times New Roman"/>
                <w:sz w:val="13"/>
                <w:szCs w:val="13"/>
                <w:color w:val="auto"/>
              </w:rPr>
              <w:t>Term Loan (11.00% cash (Libor + 8.50%; Floor</w:t>
            </w:r>
          </w:p>
        </w:tc>
        <w:tc>
          <w:tcPr>
            <w:tcW w:w="1120" w:type="dxa"/>
            <w:vAlign w:val="bottom"/>
            <w:gridSpan w:val="2"/>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4,250</w:t>
            </w:r>
          </w:p>
        </w:tc>
        <w:tc>
          <w:tcPr>
            <w:tcW w:w="1120" w:type="dxa"/>
            <w:vAlign w:val="bottom"/>
            <w:gridSpan w:val="2"/>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4,186</w:t>
            </w:r>
          </w:p>
        </w:tc>
        <w:tc>
          <w:tcPr>
            <w:tcW w:w="1020" w:type="dxa"/>
            <w:vAlign w:val="bottom"/>
            <w:gridSpan w:val="3"/>
          </w:tcPr>
          <w:p>
            <w:pPr>
              <w:jc w:val="right"/>
              <w:ind w:right="100"/>
              <w:spacing w:after="0" w:line="117" w:lineRule="exact"/>
              <w:rPr>
                <w:sz w:val="20"/>
                <w:szCs w:val="20"/>
                <w:color w:val="auto"/>
              </w:rPr>
            </w:pPr>
            <w:r>
              <w:rPr>
                <w:rFonts w:ascii="Times New Roman" w:cs="Times New Roman" w:eastAsia="Times New Roman" w:hAnsi="Times New Roman"/>
                <w:sz w:val="13"/>
                <w:szCs w:val="13"/>
                <w:color w:val="auto"/>
              </w:rPr>
              <w:t>4,186</w:t>
            </w:r>
          </w:p>
        </w:tc>
      </w:tr>
      <w:tr>
        <w:trPr>
          <w:trHeight w:val="153"/>
        </w:trPr>
        <w:tc>
          <w:tcPr>
            <w:tcW w:w="3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12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11.00%), 4.0% ETP, Due 6/1/22)</w:t>
            </w: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17"/>
        </w:trPr>
        <w:tc>
          <w:tcPr>
            <w:tcW w:w="3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3120" w:type="dxa"/>
            <w:vAlign w:val="bottom"/>
            <w:gridSpan w:val="3"/>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Term Loan (11.00% cash (Libor + 8.50%; Floor</w:t>
            </w:r>
          </w:p>
        </w:tc>
        <w:tc>
          <w:tcPr>
            <w:tcW w:w="1120" w:type="dxa"/>
            <w:vAlign w:val="bottom"/>
            <w:gridSpan w:val="2"/>
            <w:shd w:val="clear" w:color="auto" w:fill="CCEEFF"/>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4,250</w:t>
            </w:r>
          </w:p>
        </w:tc>
        <w:tc>
          <w:tcPr>
            <w:tcW w:w="1120" w:type="dxa"/>
            <w:vAlign w:val="bottom"/>
            <w:gridSpan w:val="2"/>
            <w:shd w:val="clear" w:color="auto" w:fill="CCEEFF"/>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4,186</w:t>
            </w:r>
          </w:p>
        </w:tc>
        <w:tc>
          <w:tcPr>
            <w:tcW w:w="1020" w:type="dxa"/>
            <w:vAlign w:val="bottom"/>
            <w:gridSpan w:val="3"/>
            <w:shd w:val="clear" w:color="auto" w:fill="CCEEFF"/>
          </w:tcPr>
          <w:p>
            <w:pPr>
              <w:jc w:val="right"/>
              <w:ind w:right="100"/>
              <w:spacing w:after="0" w:line="117" w:lineRule="exact"/>
              <w:rPr>
                <w:sz w:val="20"/>
                <w:szCs w:val="20"/>
                <w:color w:val="auto"/>
              </w:rPr>
            </w:pPr>
            <w:r>
              <w:rPr>
                <w:rFonts w:ascii="Times New Roman" w:cs="Times New Roman" w:eastAsia="Times New Roman" w:hAnsi="Times New Roman"/>
                <w:sz w:val="13"/>
                <w:szCs w:val="13"/>
                <w:color w:val="auto"/>
              </w:rPr>
              <w:t>4,186</w:t>
            </w:r>
          </w:p>
        </w:tc>
      </w:tr>
      <w:tr>
        <w:trPr>
          <w:trHeight w:val="153"/>
        </w:trPr>
        <w:tc>
          <w:tcPr>
            <w:tcW w:w="3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31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11.00%), 4.0% ETP, Due 6/1/22)</w:t>
            </w:r>
          </w:p>
        </w:tc>
        <w:tc>
          <w:tcPr>
            <w:tcW w:w="9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17"/>
        </w:trPr>
        <w:tc>
          <w:tcPr>
            <w:tcW w:w="3900" w:type="dxa"/>
            <w:vAlign w:val="bottom"/>
            <w:gridSpan w:val="2"/>
          </w:tcPr>
          <w:p>
            <w:pPr>
              <w:spacing w:after="0" w:line="117" w:lineRule="exact"/>
              <w:rPr>
                <w:sz w:val="20"/>
                <w:szCs w:val="20"/>
                <w:color w:val="auto"/>
              </w:rPr>
            </w:pPr>
            <w:r>
              <w:rPr>
                <w:rFonts w:ascii="Times New Roman" w:cs="Times New Roman" w:eastAsia="Times New Roman" w:hAnsi="Times New Roman"/>
                <w:sz w:val="13"/>
                <w:szCs w:val="13"/>
                <w:color w:val="auto"/>
              </w:rPr>
              <w:t>Powerhouse Dynamics, Inc. (2)(12)</w:t>
            </w:r>
          </w:p>
        </w:tc>
        <w:tc>
          <w:tcPr>
            <w:tcW w:w="114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Power Management</w:t>
            </w:r>
          </w:p>
        </w:tc>
        <w:tc>
          <w:tcPr>
            <w:tcW w:w="3120" w:type="dxa"/>
            <w:vAlign w:val="bottom"/>
            <w:gridSpan w:val="3"/>
          </w:tcPr>
          <w:p>
            <w:pPr>
              <w:ind w:left="120"/>
              <w:spacing w:after="0" w:line="117" w:lineRule="exact"/>
              <w:rPr>
                <w:sz w:val="20"/>
                <w:szCs w:val="20"/>
                <w:color w:val="auto"/>
              </w:rPr>
            </w:pPr>
            <w:r>
              <w:rPr>
                <w:rFonts w:ascii="Times New Roman" w:cs="Times New Roman" w:eastAsia="Times New Roman" w:hAnsi="Times New Roman"/>
                <w:sz w:val="13"/>
                <w:szCs w:val="13"/>
                <w:color w:val="auto"/>
              </w:rPr>
              <w:t>Term Loan (13.05% cash (Libor + 10.70%; Floor</w:t>
            </w:r>
          </w:p>
        </w:tc>
        <w:tc>
          <w:tcPr>
            <w:tcW w:w="1120" w:type="dxa"/>
            <w:vAlign w:val="bottom"/>
            <w:gridSpan w:val="2"/>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525</w:t>
            </w:r>
          </w:p>
        </w:tc>
        <w:tc>
          <w:tcPr>
            <w:tcW w:w="1120" w:type="dxa"/>
            <w:vAlign w:val="bottom"/>
            <w:gridSpan w:val="2"/>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512</w:t>
            </w:r>
          </w:p>
        </w:tc>
        <w:tc>
          <w:tcPr>
            <w:tcW w:w="1020" w:type="dxa"/>
            <w:vAlign w:val="bottom"/>
            <w:gridSpan w:val="3"/>
          </w:tcPr>
          <w:p>
            <w:pPr>
              <w:jc w:val="right"/>
              <w:ind w:right="100"/>
              <w:spacing w:after="0" w:line="117" w:lineRule="exact"/>
              <w:rPr>
                <w:sz w:val="20"/>
                <w:szCs w:val="20"/>
                <w:color w:val="auto"/>
              </w:rPr>
            </w:pPr>
            <w:r>
              <w:rPr>
                <w:rFonts w:ascii="Times New Roman" w:cs="Times New Roman" w:eastAsia="Times New Roman" w:hAnsi="Times New Roman"/>
                <w:sz w:val="13"/>
                <w:szCs w:val="13"/>
                <w:color w:val="auto"/>
              </w:rPr>
              <w:t>512</w:t>
            </w:r>
          </w:p>
        </w:tc>
      </w:tr>
      <w:tr>
        <w:trPr>
          <w:trHeight w:val="153"/>
        </w:trPr>
        <w:tc>
          <w:tcPr>
            <w:tcW w:w="3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12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11.20%), 3.32% ETP, Due 9/1/19)</w:t>
            </w: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17"/>
        </w:trPr>
        <w:tc>
          <w:tcPr>
            <w:tcW w:w="3900" w:type="dxa"/>
            <w:vAlign w:val="bottom"/>
            <w:gridSpan w:val="2"/>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Luxtera, Inc. (12)</w:t>
            </w:r>
          </w:p>
        </w:tc>
        <w:tc>
          <w:tcPr>
            <w:tcW w:w="114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Semiconductors</w:t>
            </w:r>
          </w:p>
        </w:tc>
        <w:tc>
          <w:tcPr>
            <w:tcW w:w="3120" w:type="dxa"/>
            <w:vAlign w:val="bottom"/>
            <w:gridSpan w:val="3"/>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Term Loan (12.00% cash (Prime + 6.75%), Due</w:t>
            </w:r>
          </w:p>
        </w:tc>
        <w:tc>
          <w:tcPr>
            <w:tcW w:w="1120" w:type="dxa"/>
            <w:vAlign w:val="bottom"/>
            <w:gridSpan w:val="2"/>
            <w:shd w:val="clear" w:color="auto" w:fill="CCEEFF"/>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2,000</w:t>
            </w:r>
          </w:p>
        </w:tc>
        <w:tc>
          <w:tcPr>
            <w:tcW w:w="1120" w:type="dxa"/>
            <w:vAlign w:val="bottom"/>
            <w:gridSpan w:val="2"/>
            <w:shd w:val="clear" w:color="auto" w:fill="CCEEFF"/>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1,945</w:t>
            </w:r>
          </w:p>
        </w:tc>
        <w:tc>
          <w:tcPr>
            <w:tcW w:w="1020" w:type="dxa"/>
            <w:vAlign w:val="bottom"/>
            <w:gridSpan w:val="3"/>
            <w:shd w:val="clear" w:color="auto" w:fill="CCEEFF"/>
          </w:tcPr>
          <w:p>
            <w:pPr>
              <w:jc w:val="right"/>
              <w:ind w:right="100"/>
              <w:spacing w:after="0" w:line="117" w:lineRule="exact"/>
              <w:rPr>
                <w:sz w:val="20"/>
                <w:szCs w:val="20"/>
                <w:color w:val="auto"/>
              </w:rPr>
            </w:pPr>
            <w:r>
              <w:rPr>
                <w:rFonts w:ascii="Times New Roman" w:cs="Times New Roman" w:eastAsia="Times New Roman" w:hAnsi="Times New Roman"/>
                <w:sz w:val="13"/>
                <w:szCs w:val="13"/>
                <w:color w:val="auto"/>
              </w:rPr>
              <w:t>1,945</w:t>
            </w:r>
          </w:p>
        </w:tc>
      </w:tr>
      <w:tr>
        <w:trPr>
          <w:trHeight w:val="153"/>
        </w:trPr>
        <w:tc>
          <w:tcPr>
            <w:tcW w:w="3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30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3/28/20)</w:t>
            </w: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17"/>
        </w:trPr>
        <w:tc>
          <w:tcPr>
            <w:tcW w:w="3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3120" w:type="dxa"/>
            <w:vAlign w:val="bottom"/>
            <w:gridSpan w:val="3"/>
          </w:tcPr>
          <w:p>
            <w:pPr>
              <w:ind w:left="120"/>
              <w:spacing w:after="0" w:line="117" w:lineRule="exact"/>
              <w:rPr>
                <w:sz w:val="20"/>
                <w:szCs w:val="20"/>
                <w:color w:val="auto"/>
              </w:rPr>
            </w:pPr>
            <w:r>
              <w:rPr>
                <w:rFonts w:ascii="Times New Roman" w:cs="Times New Roman" w:eastAsia="Times New Roman" w:hAnsi="Times New Roman"/>
                <w:sz w:val="13"/>
                <w:szCs w:val="13"/>
                <w:color w:val="auto"/>
              </w:rPr>
              <w:t>Term Loan (12.00% cash (Prime + 6.75%), Due</w:t>
            </w:r>
          </w:p>
        </w:tc>
        <w:tc>
          <w:tcPr>
            <w:tcW w:w="1120" w:type="dxa"/>
            <w:vAlign w:val="bottom"/>
            <w:gridSpan w:val="2"/>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1,500</w:t>
            </w:r>
          </w:p>
        </w:tc>
        <w:tc>
          <w:tcPr>
            <w:tcW w:w="1120" w:type="dxa"/>
            <w:vAlign w:val="bottom"/>
            <w:gridSpan w:val="2"/>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1,468</w:t>
            </w:r>
          </w:p>
        </w:tc>
        <w:tc>
          <w:tcPr>
            <w:tcW w:w="1020" w:type="dxa"/>
            <w:vAlign w:val="bottom"/>
            <w:gridSpan w:val="3"/>
          </w:tcPr>
          <w:p>
            <w:pPr>
              <w:jc w:val="right"/>
              <w:ind w:right="100"/>
              <w:spacing w:after="0" w:line="117" w:lineRule="exact"/>
              <w:rPr>
                <w:sz w:val="20"/>
                <w:szCs w:val="20"/>
                <w:color w:val="auto"/>
              </w:rPr>
            </w:pPr>
            <w:r>
              <w:rPr>
                <w:rFonts w:ascii="Times New Roman" w:cs="Times New Roman" w:eastAsia="Times New Roman" w:hAnsi="Times New Roman"/>
                <w:sz w:val="13"/>
                <w:szCs w:val="13"/>
                <w:color w:val="auto"/>
              </w:rPr>
              <w:t>1,468</w:t>
            </w:r>
          </w:p>
        </w:tc>
      </w:tr>
      <w:tr>
        <w:trPr>
          <w:trHeight w:val="153"/>
        </w:trPr>
        <w:tc>
          <w:tcPr>
            <w:tcW w:w="3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00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3/28/20)</w:t>
            </w: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17"/>
        </w:trPr>
        <w:tc>
          <w:tcPr>
            <w:tcW w:w="3900" w:type="dxa"/>
            <w:vAlign w:val="bottom"/>
            <w:gridSpan w:val="2"/>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Bridge2 Solutions, LLC. (2)(12)</w:t>
            </w:r>
          </w:p>
        </w:tc>
        <w:tc>
          <w:tcPr>
            <w:tcW w:w="114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Software</w:t>
            </w:r>
          </w:p>
        </w:tc>
        <w:tc>
          <w:tcPr>
            <w:tcW w:w="3120" w:type="dxa"/>
            <w:vAlign w:val="bottom"/>
            <w:gridSpan w:val="3"/>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Term Loan (11.60% cash (Libor + 9.25%; Floor</w:t>
            </w:r>
          </w:p>
        </w:tc>
        <w:tc>
          <w:tcPr>
            <w:tcW w:w="1120" w:type="dxa"/>
            <w:vAlign w:val="bottom"/>
            <w:gridSpan w:val="2"/>
            <w:shd w:val="clear" w:color="auto" w:fill="CCEEFF"/>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5,000</w:t>
            </w:r>
          </w:p>
        </w:tc>
        <w:tc>
          <w:tcPr>
            <w:tcW w:w="1120" w:type="dxa"/>
            <w:vAlign w:val="bottom"/>
            <w:gridSpan w:val="2"/>
            <w:shd w:val="clear" w:color="auto" w:fill="CCEEFF"/>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4,835</w:t>
            </w:r>
          </w:p>
        </w:tc>
        <w:tc>
          <w:tcPr>
            <w:tcW w:w="1020" w:type="dxa"/>
            <w:vAlign w:val="bottom"/>
            <w:gridSpan w:val="3"/>
            <w:shd w:val="clear" w:color="auto" w:fill="CCEEFF"/>
          </w:tcPr>
          <w:p>
            <w:pPr>
              <w:jc w:val="right"/>
              <w:ind w:right="100"/>
              <w:spacing w:after="0" w:line="117" w:lineRule="exact"/>
              <w:rPr>
                <w:sz w:val="20"/>
                <w:szCs w:val="20"/>
                <w:color w:val="auto"/>
              </w:rPr>
            </w:pPr>
            <w:r>
              <w:rPr>
                <w:rFonts w:ascii="Times New Roman" w:cs="Times New Roman" w:eastAsia="Times New Roman" w:hAnsi="Times New Roman"/>
                <w:sz w:val="13"/>
                <w:szCs w:val="13"/>
                <w:color w:val="auto"/>
              </w:rPr>
              <w:t>4,835</w:t>
            </w:r>
          </w:p>
        </w:tc>
      </w:tr>
      <w:tr>
        <w:trPr>
          <w:trHeight w:val="153"/>
        </w:trPr>
        <w:tc>
          <w:tcPr>
            <w:tcW w:w="3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31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10.50%), 2.00% ETP, Due 11/1/21)</w:t>
            </w:r>
          </w:p>
        </w:tc>
        <w:tc>
          <w:tcPr>
            <w:tcW w:w="9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17"/>
        </w:trPr>
        <w:tc>
          <w:tcPr>
            <w:tcW w:w="3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3120" w:type="dxa"/>
            <w:vAlign w:val="bottom"/>
            <w:gridSpan w:val="3"/>
          </w:tcPr>
          <w:p>
            <w:pPr>
              <w:ind w:left="120"/>
              <w:spacing w:after="0" w:line="117" w:lineRule="exact"/>
              <w:rPr>
                <w:sz w:val="20"/>
                <w:szCs w:val="20"/>
                <w:color w:val="auto"/>
              </w:rPr>
            </w:pPr>
            <w:r>
              <w:rPr>
                <w:rFonts w:ascii="Times New Roman" w:cs="Times New Roman" w:eastAsia="Times New Roman" w:hAnsi="Times New Roman"/>
                <w:sz w:val="13"/>
                <w:szCs w:val="13"/>
                <w:color w:val="auto"/>
              </w:rPr>
              <w:t>Term Loan (11.60% cash (Libor + 9.25%; Floor</w:t>
            </w:r>
          </w:p>
        </w:tc>
        <w:tc>
          <w:tcPr>
            <w:tcW w:w="1120" w:type="dxa"/>
            <w:vAlign w:val="bottom"/>
            <w:gridSpan w:val="2"/>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5,000</w:t>
            </w:r>
          </w:p>
        </w:tc>
        <w:tc>
          <w:tcPr>
            <w:tcW w:w="1120" w:type="dxa"/>
            <w:vAlign w:val="bottom"/>
            <w:gridSpan w:val="2"/>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4,835</w:t>
            </w:r>
          </w:p>
        </w:tc>
        <w:tc>
          <w:tcPr>
            <w:tcW w:w="1020" w:type="dxa"/>
            <w:vAlign w:val="bottom"/>
            <w:gridSpan w:val="3"/>
          </w:tcPr>
          <w:p>
            <w:pPr>
              <w:jc w:val="right"/>
              <w:ind w:right="100"/>
              <w:spacing w:after="0" w:line="117" w:lineRule="exact"/>
              <w:rPr>
                <w:sz w:val="20"/>
                <w:szCs w:val="20"/>
                <w:color w:val="auto"/>
              </w:rPr>
            </w:pPr>
            <w:r>
              <w:rPr>
                <w:rFonts w:ascii="Times New Roman" w:cs="Times New Roman" w:eastAsia="Times New Roman" w:hAnsi="Times New Roman"/>
                <w:sz w:val="13"/>
                <w:szCs w:val="13"/>
                <w:color w:val="auto"/>
              </w:rPr>
              <w:t>4,835</w:t>
            </w:r>
          </w:p>
        </w:tc>
      </w:tr>
      <w:tr>
        <w:trPr>
          <w:trHeight w:val="153"/>
        </w:trPr>
        <w:tc>
          <w:tcPr>
            <w:tcW w:w="3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12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10.50%), 2.00% ETP, Due 11/1/21)</w:t>
            </w: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17"/>
        </w:trPr>
        <w:tc>
          <w:tcPr>
            <w:tcW w:w="3900" w:type="dxa"/>
            <w:vAlign w:val="bottom"/>
            <w:gridSpan w:val="2"/>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Education Elements, Inc. (2)(12)</w:t>
            </w:r>
          </w:p>
        </w:tc>
        <w:tc>
          <w:tcPr>
            <w:tcW w:w="114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Software</w:t>
            </w:r>
          </w:p>
        </w:tc>
        <w:tc>
          <w:tcPr>
            <w:tcW w:w="3120" w:type="dxa"/>
            <w:vAlign w:val="bottom"/>
            <w:gridSpan w:val="3"/>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Term Loan (12.35% cash (Libor + 10.00%; Floor</w:t>
            </w:r>
          </w:p>
        </w:tc>
        <w:tc>
          <w:tcPr>
            <w:tcW w:w="1120" w:type="dxa"/>
            <w:vAlign w:val="bottom"/>
            <w:gridSpan w:val="2"/>
            <w:shd w:val="clear" w:color="auto" w:fill="CCEEFF"/>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350</w:t>
            </w:r>
          </w:p>
        </w:tc>
        <w:tc>
          <w:tcPr>
            <w:tcW w:w="1120" w:type="dxa"/>
            <w:vAlign w:val="bottom"/>
            <w:gridSpan w:val="2"/>
            <w:shd w:val="clear" w:color="auto" w:fill="CCEEFF"/>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346</w:t>
            </w:r>
          </w:p>
        </w:tc>
        <w:tc>
          <w:tcPr>
            <w:tcW w:w="1020" w:type="dxa"/>
            <w:vAlign w:val="bottom"/>
            <w:gridSpan w:val="3"/>
            <w:shd w:val="clear" w:color="auto" w:fill="CCEEFF"/>
          </w:tcPr>
          <w:p>
            <w:pPr>
              <w:jc w:val="right"/>
              <w:ind w:right="100"/>
              <w:spacing w:after="0" w:line="117" w:lineRule="exact"/>
              <w:rPr>
                <w:sz w:val="20"/>
                <w:szCs w:val="20"/>
                <w:color w:val="auto"/>
              </w:rPr>
            </w:pPr>
            <w:r>
              <w:rPr>
                <w:rFonts w:ascii="Times New Roman" w:cs="Times New Roman" w:eastAsia="Times New Roman" w:hAnsi="Times New Roman"/>
                <w:sz w:val="13"/>
                <w:szCs w:val="13"/>
                <w:color w:val="auto"/>
              </w:rPr>
              <w:t>346</w:t>
            </w:r>
          </w:p>
        </w:tc>
      </w:tr>
      <w:tr>
        <w:trPr>
          <w:trHeight w:val="153"/>
        </w:trPr>
        <w:tc>
          <w:tcPr>
            <w:tcW w:w="3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31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10.50%), 4.00% ETP, Due 8/1/19)</w:t>
            </w:r>
          </w:p>
        </w:tc>
        <w:tc>
          <w:tcPr>
            <w:tcW w:w="9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17"/>
        </w:trPr>
        <w:tc>
          <w:tcPr>
            <w:tcW w:w="3900" w:type="dxa"/>
            <w:vAlign w:val="bottom"/>
            <w:gridSpan w:val="2"/>
          </w:tcPr>
          <w:p>
            <w:pPr>
              <w:spacing w:after="0" w:line="117" w:lineRule="exact"/>
              <w:rPr>
                <w:sz w:val="20"/>
                <w:szCs w:val="20"/>
                <w:color w:val="auto"/>
              </w:rPr>
            </w:pPr>
            <w:r>
              <w:rPr>
                <w:rFonts w:ascii="Times New Roman" w:cs="Times New Roman" w:eastAsia="Times New Roman" w:hAnsi="Times New Roman"/>
                <w:sz w:val="13"/>
                <w:szCs w:val="13"/>
                <w:color w:val="auto"/>
              </w:rPr>
              <w:t>New Signature US, Inc. (2)(12)(13)</w:t>
            </w:r>
          </w:p>
        </w:tc>
        <w:tc>
          <w:tcPr>
            <w:tcW w:w="114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Software</w:t>
            </w:r>
          </w:p>
        </w:tc>
        <w:tc>
          <w:tcPr>
            <w:tcW w:w="3120" w:type="dxa"/>
            <w:vAlign w:val="bottom"/>
            <w:gridSpan w:val="3"/>
          </w:tcPr>
          <w:p>
            <w:pPr>
              <w:ind w:left="120"/>
              <w:spacing w:after="0" w:line="117" w:lineRule="exact"/>
              <w:rPr>
                <w:sz w:val="20"/>
                <w:szCs w:val="20"/>
                <w:color w:val="auto"/>
              </w:rPr>
            </w:pPr>
            <w:r>
              <w:rPr>
                <w:rFonts w:ascii="Times New Roman" w:cs="Times New Roman" w:eastAsia="Times New Roman" w:hAnsi="Times New Roman"/>
                <w:sz w:val="13"/>
                <w:szCs w:val="13"/>
                <w:color w:val="auto"/>
              </w:rPr>
              <w:t>Term Loan (10.85% cash (Libor + 8.50%; Floor</w:t>
            </w:r>
          </w:p>
        </w:tc>
        <w:tc>
          <w:tcPr>
            <w:tcW w:w="1120" w:type="dxa"/>
            <w:vAlign w:val="bottom"/>
            <w:gridSpan w:val="2"/>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2,750</w:t>
            </w:r>
          </w:p>
        </w:tc>
        <w:tc>
          <w:tcPr>
            <w:tcW w:w="1120" w:type="dxa"/>
            <w:vAlign w:val="bottom"/>
            <w:gridSpan w:val="2"/>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2,699</w:t>
            </w:r>
          </w:p>
        </w:tc>
        <w:tc>
          <w:tcPr>
            <w:tcW w:w="1020" w:type="dxa"/>
            <w:vAlign w:val="bottom"/>
            <w:gridSpan w:val="3"/>
          </w:tcPr>
          <w:p>
            <w:pPr>
              <w:jc w:val="right"/>
              <w:ind w:right="100"/>
              <w:spacing w:after="0" w:line="117" w:lineRule="exact"/>
              <w:rPr>
                <w:sz w:val="20"/>
                <w:szCs w:val="20"/>
                <w:color w:val="auto"/>
              </w:rPr>
            </w:pPr>
            <w:r>
              <w:rPr>
                <w:rFonts w:ascii="Times New Roman" w:cs="Times New Roman" w:eastAsia="Times New Roman" w:hAnsi="Times New Roman"/>
                <w:sz w:val="13"/>
                <w:szCs w:val="13"/>
                <w:color w:val="auto"/>
              </w:rPr>
              <w:t>2,699</w:t>
            </w:r>
          </w:p>
        </w:tc>
      </w:tr>
      <w:tr>
        <w:trPr>
          <w:trHeight w:val="153"/>
        </w:trPr>
        <w:tc>
          <w:tcPr>
            <w:tcW w:w="3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12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10.50%), 3.50% ETP, Due 7/1/22)</w:t>
            </w: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17"/>
        </w:trPr>
        <w:tc>
          <w:tcPr>
            <w:tcW w:w="3900" w:type="dxa"/>
            <w:vAlign w:val="bottom"/>
            <w:gridSpan w:val="2"/>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SIGNiX, Inc. (12)</w:t>
            </w:r>
          </w:p>
        </w:tc>
        <w:tc>
          <w:tcPr>
            <w:tcW w:w="114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Software</w:t>
            </w:r>
          </w:p>
        </w:tc>
        <w:tc>
          <w:tcPr>
            <w:tcW w:w="3120" w:type="dxa"/>
            <w:vAlign w:val="bottom"/>
            <w:gridSpan w:val="3"/>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Term Loan (13.35% cash (Libor + 11.00%; Floor</w:t>
            </w:r>
          </w:p>
        </w:tc>
        <w:tc>
          <w:tcPr>
            <w:tcW w:w="1120" w:type="dxa"/>
            <w:vAlign w:val="bottom"/>
            <w:gridSpan w:val="2"/>
            <w:shd w:val="clear" w:color="auto" w:fill="CCEEFF"/>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1,845</w:t>
            </w:r>
          </w:p>
        </w:tc>
        <w:tc>
          <w:tcPr>
            <w:tcW w:w="1120" w:type="dxa"/>
            <w:vAlign w:val="bottom"/>
            <w:gridSpan w:val="2"/>
            <w:shd w:val="clear" w:color="auto" w:fill="CCEEFF"/>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1,790</w:t>
            </w:r>
          </w:p>
        </w:tc>
        <w:tc>
          <w:tcPr>
            <w:tcW w:w="1020" w:type="dxa"/>
            <w:vAlign w:val="bottom"/>
            <w:gridSpan w:val="3"/>
            <w:shd w:val="clear" w:color="auto" w:fill="CCEEFF"/>
          </w:tcPr>
          <w:p>
            <w:pPr>
              <w:jc w:val="right"/>
              <w:ind w:right="100"/>
              <w:spacing w:after="0" w:line="117" w:lineRule="exact"/>
              <w:rPr>
                <w:sz w:val="20"/>
                <w:szCs w:val="20"/>
                <w:color w:val="auto"/>
              </w:rPr>
            </w:pPr>
            <w:r>
              <w:rPr>
                <w:rFonts w:ascii="Times New Roman" w:cs="Times New Roman" w:eastAsia="Times New Roman" w:hAnsi="Times New Roman"/>
                <w:sz w:val="13"/>
                <w:szCs w:val="13"/>
                <w:color w:val="auto"/>
              </w:rPr>
              <w:t>1,555</w:t>
            </w:r>
          </w:p>
        </w:tc>
      </w:tr>
      <w:tr>
        <w:trPr>
          <w:trHeight w:val="153"/>
        </w:trPr>
        <w:tc>
          <w:tcPr>
            <w:tcW w:w="3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31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11.50%), 8.67% ETP, Due 2/1/20)</w:t>
            </w:r>
          </w:p>
        </w:tc>
        <w:tc>
          <w:tcPr>
            <w:tcW w:w="9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17"/>
        </w:trPr>
        <w:tc>
          <w:tcPr>
            <w:tcW w:w="3900" w:type="dxa"/>
            <w:vAlign w:val="bottom"/>
            <w:gridSpan w:val="2"/>
          </w:tcPr>
          <w:p>
            <w:pPr>
              <w:spacing w:after="0" w:line="117" w:lineRule="exact"/>
              <w:rPr>
                <w:sz w:val="20"/>
                <w:szCs w:val="20"/>
                <w:color w:val="auto"/>
              </w:rPr>
            </w:pPr>
            <w:r>
              <w:rPr>
                <w:rFonts w:ascii="Times New Roman" w:cs="Times New Roman" w:eastAsia="Times New Roman" w:hAnsi="Times New Roman"/>
                <w:sz w:val="13"/>
                <w:szCs w:val="13"/>
                <w:color w:val="auto"/>
              </w:rPr>
              <w:t>xAd, Inc. (2)(12)</w:t>
            </w:r>
          </w:p>
        </w:tc>
        <w:tc>
          <w:tcPr>
            <w:tcW w:w="114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Software</w:t>
            </w:r>
          </w:p>
        </w:tc>
        <w:tc>
          <w:tcPr>
            <w:tcW w:w="3120" w:type="dxa"/>
            <w:vAlign w:val="bottom"/>
            <w:gridSpan w:val="3"/>
          </w:tcPr>
          <w:p>
            <w:pPr>
              <w:ind w:left="120"/>
              <w:spacing w:after="0" w:line="117" w:lineRule="exact"/>
              <w:rPr>
                <w:sz w:val="20"/>
                <w:szCs w:val="20"/>
                <w:color w:val="auto"/>
              </w:rPr>
            </w:pPr>
            <w:r>
              <w:rPr>
                <w:rFonts w:ascii="Times New Roman" w:cs="Times New Roman" w:eastAsia="Times New Roman" w:hAnsi="Times New Roman"/>
                <w:sz w:val="13"/>
                <w:szCs w:val="13"/>
                <w:color w:val="auto"/>
              </w:rPr>
              <w:t>Term Loan (11.05% cash (Libor + 8.70%; Floor</w:t>
            </w:r>
          </w:p>
        </w:tc>
        <w:tc>
          <w:tcPr>
            <w:tcW w:w="1120" w:type="dxa"/>
            <w:vAlign w:val="bottom"/>
            <w:gridSpan w:val="2"/>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5,000</w:t>
            </w:r>
          </w:p>
        </w:tc>
        <w:tc>
          <w:tcPr>
            <w:tcW w:w="1120" w:type="dxa"/>
            <w:vAlign w:val="bottom"/>
            <w:gridSpan w:val="2"/>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4,923</w:t>
            </w:r>
          </w:p>
        </w:tc>
        <w:tc>
          <w:tcPr>
            <w:tcW w:w="1020" w:type="dxa"/>
            <w:vAlign w:val="bottom"/>
            <w:gridSpan w:val="3"/>
          </w:tcPr>
          <w:p>
            <w:pPr>
              <w:jc w:val="right"/>
              <w:ind w:right="100"/>
              <w:spacing w:after="0" w:line="117" w:lineRule="exact"/>
              <w:rPr>
                <w:sz w:val="20"/>
                <w:szCs w:val="20"/>
                <w:color w:val="auto"/>
              </w:rPr>
            </w:pPr>
            <w:r>
              <w:rPr>
                <w:rFonts w:ascii="Times New Roman" w:cs="Times New Roman" w:eastAsia="Times New Roman" w:hAnsi="Times New Roman"/>
                <w:sz w:val="13"/>
                <w:szCs w:val="13"/>
                <w:color w:val="auto"/>
              </w:rPr>
              <w:t>4,923</w:t>
            </w:r>
          </w:p>
        </w:tc>
      </w:tr>
      <w:tr>
        <w:trPr>
          <w:trHeight w:val="153"/>
        </w:trPr>
        <w:tc>
          <w:tcPr>
            <w:tcW w:w="3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12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10.00%), 4.75% ETP, Due 11/1/21)</w:t>
            </w: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17"/>
        </w:trPr>
        <w:tc>
          <w:tcPr>
            <w:tcW w:w="3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3120" w:type="dxa"/>
            <w:vAlign w:val="bottom"/>
            <w:gridSpan w:val="3"/>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Term Loan (11.05% cash (Libor + 8.70%; Floor</w:t>
            </w:r>
          </w:p>
        </w:tc>
        <w:tc>
          <w:tcPr>
            <w:tcW w:w="1120" w:type="dxa"/>
            <w:vAlign w:val="bottom"/>
            <w:gridSpan w:val="2"/>
            <w:shd w:val="clear" w:color="auto" w:fill="CCEEFF"/>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5,000</w:t>
            </w:r>
          </w:p>
        </w:tc>
        <w:tc>
          <w:tcPr>
            <w:tcW w:w="1120" w:type="dxa"/>
            <w:vAlign w:val="bottom"/>
            <w:gridSpan w:val="2"/>
            <w:shd w:val="clear" w:color="auto" w:fill="CCEEFF"/>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4,923</w:t>
            </w:r>
          </w:p>
        </w:tc>
        <w:tc>
          <w:tcPr>
            <w:tcW w:w="1020" w:type="dxa"/>
            <w:vAlign w:val="bottom"/>
            <w:gridSpan w:val="3"/>
            <w:shd w:val="clear" w:color="auto" w:fill="CCEEFF"/>
          </w:tcPr>
          <w:p>
            <w:pPr>
              <w:jc w:val="right"/>
              <w:ind w:right="100"/>
              <w:spacing w:after="0" w:line="117" w:lineRule="exact"/>
              <w:rPr>
                <w:sz w:val="20"/>
                <w:szCs w:val="20"/>
                <w:color w:val="auto"/>
              </w:rPr>
            </w:pPr>
            <w:r>
              <w:rPr>
                <w:rFonts w:ascii="Times New Roman" w:cs="Times New Roman" w:eastAsia="Times New Roman" w:hAnsi="Times New Roman"/>
                <w:sz w:val="13"/>
                <w:szCs w:val="13"/>
                <w:color w:val="auto"/>
              </w:rPr>
              <w:t>4,923</w:t>
            </w:r>
          </w:p>
        </w:tc>
      </w:tr>
      <w:tr>
        <w:trPr>
          <w:trHeight w:val="153"/>
        </w:trPr>
        <w:tc>
          <w:tcPr>
            <w:tcW w:w="3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31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10.00%), 4.75% ETP, Due 11/1/21)</w:t>
            </w:r>
          </w:p>
        </w:tc>
        <w:tc>
          <w:tcPr>
            <w:tcW w:w="9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17"/>
        </w:trPr>
        <w:tc>
          <w:tcPr>
            <w:tcW w:w="3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3120" w:type="dxa"/>
            <w:vAlign w:val="bottom"/>
            <w:gridSpan w:val="3"/>
          </w:tcPr>
          <w:p>
            <w:pPr>
              <w:ind w:left="120"/>
              <w:spacing w:after="0" w:line="117" w:lineRule="exact"/>
              <w:rPr>
                <w:sz w:val="20"/>
                <w:szCs w:val="20"/>
                <w:color w:val="auto"/>
              </w:rPr>
            </w:pPr>
            <w:r>
              <w:rPr>
                <w:rFonts w:ascii="Times New Roman" w:cs="Times New Roman" w:eastAsia="Times New Roman" w:hAnsi="Times New Roman"/>
                <w:sz w:val="13"/>
                <w:szCs w:val="13"/>
                <w:color w:val="auto"/>
              </w:rPr>
              <w:t>Term Loan (11.05% cash (Libor + 8.70%; Floor</w:t>
            </w:r>
          </w:p>
        </w:tc>
        <w:tc>
          <w:tcPr>
            <w:tcW w:w="1120" w:type="dxa"/>
            <w:vAlign w:val="bottom"/>
            <w:gridSpan w:val="2"/>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3,000</w:t>
            </w:r>
          </w:p>
        </w:tc>
        <w:tc>
          <w:tcPr>
            <w:tcW w:w="1120" w:type="dxa"/>
            <w:vAlign w:val="bottom"/>
            <w:gridSpan w:val="2"/>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2,954</w:t>
            </w:r>
          </w:p>
        </w:tc>
        <w:tc>
          <w:tcPr>
            <w:tcW w:w="1020" w:type="dxa"/>
            <w:vAlign w:val="bottom"/>
            <w:gridSpan w:val="3"/>
          </w:tcPr>
          <w:p>
            <w:pPr>
              <w:jc w:val="right"/>
              <w:ind w:right="100"/>
              <w:spacing w:after="0" w:line="117" w:lineRule="exact"/>
              <w:rPr>
                <w:sz w:val="20"/>
                <w:szCs w:val="20"/>
                <w:color w:val="auto"/>
              </w:rPr>
            </w:pPr>
            <w:r>
              <w:rPr>
                <w:rFonts w:ascii="Times New Roman" w:cs="Times New Roman" w:eastAsia="Times New Roman" w:hAnsi="Times New Roman"/>
                <w:sz w:val="13"/>
                <w:szCs w:val="13"/>
                <w:color w:val="auto"/>
              </w:rPr>
              <w:t>2,954</w:t>
            </w:r>
          </w:p>
        </w:tc>
      </w:tr>
      <w:tr>
        <w:trPr>
          <w:trHeight w:val="153"/>
        </w:trPr>
        <w:tc>
          <w:tcPr>
            <w:tcW w:w="3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12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10.00%), 4.75% ETP, Due 11/1/21)</w:t>
            </w: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17"/>
        </w:trPr>
        <w:tc>
          <w:tcPr>
            <w:tcW w:w="3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3120" w:type="dxa"/>
            <w:vAlign w:val="bottom"/>
            <w:gridSpan w:val="3"/>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Term Loan (11.05% cash (Libor + 8.70%; Floor</w:t>
            </w:r>
          </w:p>
        </w:tc>
        <w:tc>
          <w:tcPr>
            <w:tcW w:w="1120" w:type="dxa"/>
            <w:vAlign w:val="bottom"/>
            <w:gridSpan w:val="2"/>
            <w:shd w:val="clear" w:color="auto" w:fill="CCEEFF"/>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2,000</w:t>
            </w:r>
          </w:p>
        </w:tc>
        <w:tc>
          <w:tcPr>
            <w:tcW w:w="1120" w:type="dxa"/>
            <w:vAlign w:val="bottom"/>
            <w:gridSpan w:val="2"/>
            <w:shd w:val="clear" w:color="auto" w:fill="CCEEFF"/>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1,969</w:t>
            </w:r>
          </w:p>
        </w:tc>
        <w:tc>
          <w:tcPr>
            <w:tcW w:w="1020" w:type="dxa"/>
            <w:vAlign w:val="bottom"/>
            <w:gridSpan w:val="3"/>
            <w:shd w:val="clear" w:color="auto" w:fill="CCEEFF"/>
          </w:tcPr>
          <w:p>
            <w:pPr>
              <w:jc w:val="right"/>
              <w:ind w:right="100"/>
              <w:spacing w:after="0" w:line="117" w:lineRule="exact"/>
              <w:rPr>
                <w:sz w:val="20"/>
                <w:szCs w:val="20"/>
                <w:color w:val="auto"/>
              </w:rPr>
            </w:pPr>
            <w:r>
              <w:rPr>
                <w:rFonts w:ascii="Times New Roman" w:cs="Times New Roman" w:eastAsia="Times New Roman" w:hAnsi="Times New Roman"/>
                <w:sz w:val="13"/>
                <w:szCs w:val="13"/>
                <w:color w:val="auto"/>
              </w:rPr>
              <w:t>1,969</w:t>
            </w:r>
          </w:p>
        </w:tc>
      </w:tr>
      <w:tr>
        <w:trPr>
          <w:trHeight w:val="167"/>
        </w:trPr>
        <w:tc>
          <w:tcPr>
            <w:tcW w:w="3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31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10.00%), 4.75% ETP, Due 11/1/21)</w:t>
            </w:r>
          </w:p>
        </w:tc>
        <w:tc>
          <w:tcPr>
            <w:tcW w:w="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29"/>
        </w:trPr>
        <w:tc>
          <w:tcPr>
            <w:tcW w:w="3900" w:type="dxa"/>
            <w:vAlign w:val="bottom"/>
            <w:tcBorders>
              <w:bottom w:val="single" w:sz="8" w:color="CCEEFF"/>
            </w:tcBorders>
            <w:gridSpan w:val="2"/>
          </w:tcPr>
          <w:p>
            <w:pPr>
              <w:spacing w:after="0" w:line="129" w:lineRule="exact"/>
              <w:rPr>
                <w:sz w:val="20"/>
                <w:szCs w:val="20"/>
                <w:color w:val="auto"/>
              </w:rPr>
            </w:pPr>
            <w:r>
              <w:rPr>
                <w:rFonts w:ascii="Times New Roman" w:cs="Times New Roman" w:eastAsia="Times New Roman" w:hAnsi="Times New Roman"/>
                <w:sz w:val="13"/>
                <w:szCs w:val="13"/>
                <w:color w:val="auto"/>
              </w:rPr>
              <w:t>Total Non-Affiliate Debt Investments — Technology</w:t>
            </w:r>
          </w:p>
        </w:tc>
        <w:tc>
          <w:tcPr>
            <w:tcW w:w="114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288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920" w:type="dxa"/>
            <w:vAlign w:val="bottom"/>
            <w:tcBorders>
              <w:bottom w:val="single" w:sz="8" w:color="CCEEFF"/>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9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119,720</w:t>
            </w:r>
          </w:p>
        </w:tc>
        <w:tc>
          <w:tcPr>
            <w:tcW w:w="2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119,185</w:t>
            </w:r>
          </w:p>
        </w:tc>
        <w:tc>
          <w:tcPr>
            <w:tcW w:w="100" w:type="dxa"/>
            <w:vAlign w:val="bottom"/>
            <w:tcBorders>
              <w:bottom w:val="single" w:sz="8" w:color="CCEEFF"/>
            </w:tcBorders>
          </w:tcPr>
          <w:p>
            <w:pPr>
              <w:spacing w:after="0"/>
              <w:rPr>
                <w:sz w:val="11"/>
                <w:szCs w:val="11"/>
                <w:color w:val="auto"/>
              </w:rPr>
            </w:pPr>
          </w:p>
        </w:tc>
      </w:tr>
      <w:tr>
        <w:trPr>
          <w:trHeight w:val="129"/>
        </w:trPr>
        <w:tc>
          <w:tcPr>
            <w:tcW w:w="5040" w:type="dxa"/>
            <w:vAlign w:val="bottom"/>
            <w:gridSpan w:val="3"/>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Non-Affiliate Debt Investments — Healthcare information and services — 17.5% (8)</w:t>
            </w:r>
          </w:p>
        </w:tc>
        <w:tc>
          <w:tcPr>
            <w:tcW w:w="120" w:type="dxa"/>
            <w:vAlign w:val="bottom"/>
            <w:shd w:val="clear" w:color="auto" w:fill="CCEEFF"/>
          </w:tcPr>
          <w:p>
            <w:pPr>
              <w:spacing w:after="0"/>
              <w:rPr>
                <w:sz w:val="11"/>
                <w:szCs w:val="11"/>
                <w:color w:val="auto"/>
              </w:rPr>
            </w:pPr>
          </w:p>
        </w:tc>
        <w:tc>
          <w:tcPr>
            <w:tcW w:w="2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17"/>
        </w:trPr>
        <w:tc>
          <w:tcPr>
            <w:tcW w:w="3900" w:type="dxa"/>
            <w:vAlign w:val="bottom"/>
            <w:gridSpan w:val="2"/>
          </w:tcPr>
          <w:p>
            <w:pPr>
              <w:spacing w:after="0" w:line="117" w:lineRule="exact"/>
              <w:rPr>
                <w:sz w:val="20"/>
                <w:szCs w:val="20"/>
                <w:color w:val="auto"/>
              </w:rPr>
            </w:pPr>
            <w:r>
              <w:rPr>
                <w:rFonts w:ascii="Times New Roman" w:cs="Times New Roman" w:eastAsia="Times New Roman" w:hAnsi="Times New Roman"/>
                <w:sz w:val="13"/>
                <w:szCs w:val="13"/>
                <w:color w:val="auto"/>
              </w:rPr>
              <w:t>Catasys, Inc. (2)(5)(12)</w:t>
            </w:r>
          </w:p>
        </w:tc>
        <w:tc>
          <w:tcPr>
            <w:tcW w:w="114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Software</w:t>
            </w:r>
          </w:p>
        </w:tc>
        <w:tc>
          <w:tcPr>
            <w:tcW w:w="3120" w:type="dxa"/>
            <w:vAlign w:val="bottom"/>
            <w:gridSpan w:val="3"/>
          </w:tcPr>
          <w:p>
            <w:pPr>
              <w:ind w:left="120"/>
              <w:spacing w:after="0" w:line="117" w:lineRule="exact"/>
              <w:rPr>
                <w:sz w:val="20"/>
                <w:szCs w:val="20"/>
                <w:color w:val="auto"/>
              </w:rPr>
            </w:pPr>
            <w:r>
              <w:rPr>
                <w:rFonts w:ascii="Times New Roman" w:cs="Times New Roman" w:eastAsia="Times New Roman" w:hAnsi="Times New Roman"/>
                <w:sz w:val="13"/>
                <w:szCs w:val="13"/>
                <w:color w:val="auto"/>
              </w:rPr>
              <w:t>Term Loan (10.10% cash (Libor + 7.75%; Floor 9.75%),</w:t>
            </w:r>
          </w:p>
        </w:tc>
        <w:tc>
          <w:tcPr>
            <w:tcW w:w="1120" w:type="dxa"/>
            <w:vAlign w:val="bottom"/>
            <w:gridSpan w:val="2"/>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2,500</w:t>
            </w:r>
          </w:p>
        </w:tc>
        <w:tc>
          <w:tcPr>
            <w:tcW w:w="1120" w:type="dxa"/>
            <w:vAlign w:val="bottom"/>
            <w:gridSpan w:val="2"/>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2,478</w:t>
            </w:r>
          </w:p>
        </w:tc>
        <w:tc>
          <w:tcPr>
            <w:tcW w:w="1020" w:type="dxa"/>
            <w:vAlign w:val="bottom"/>
            <w:gridSpan w:val="3"/>
          </w:tcPr>
          <w:p>
            <w:pPr>
              <w:jc w:val="right"/>
              <w:ind w:right="100"/>
              <w:spacing w:after="0" w:line="117" w:lineRule="exact"/>
              <w:rPr>
                <w:sz w:val="20"/>
                <w:szCs w:val="20"/>
                <w:color w:val="auto"/>
              </w:rPr>
            </w:pPr>
            <w:r>
              <w:rPr>
                <w:rFonts w:ascii="Times New Roman" w:cs="Times New Roman" w:eastAsia="Times New Roman" w:hAnsi="Times New Roman"/>
                <w:sz w:val="13"/>
                <w:szCs w:val="13"/>
                <w:color w:val="auto"/>
              </w:rPr>
              <w:t>2,478</w:t>
            </w:r>
          </w:p>
        </w:tc>
      </w:tr>
      <w:tr>
        <w:trPr>
          <w:trHeight w:val="153"/>
        </w:trPr>
        <w:tc>
          <w:tcPr>
            <w:tcW w:w="3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12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6.00% ETP, Due 3/1/22)</w:t>
            </w: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17"/>
        </w:trPr>
        <w:tc>
          <w:tcPr>
            <w:tcW w:w="3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3120" w:type="dxa"/>
            <w:vAlign w:val="bottom"/>
            <w:gridSpan w:val="3"/>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Term Loan (10.10% cash (Libor + 7.75%; Floor 9.75%),</w:t>
            </w:r>
          </w:p>
        </w:tc>
        <w:tc>
          <w:tcPr>
            <w:tcW w:w="1120" w:type="dxa"/>
            <w:vAlign w:val="bottom"/>
            <w:gridSpan w:val="2"/>
            <w:shd w:val="clear" w:color="auto" w:fill="CCEEFF"/>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2,500</w:t>
            </w:r>
          </w:p>
        </w:tc>
        <w:tc>
          <w:tcPr>
            <w:tcW w:w="1120" w:type="dxa"/>
            <w:vAlign w:val="bottom"/>
            <w:gridSpan w:val="2"/>
            <w:shd w:val="clear" w:color="auto" w:fill="CCEEFF"/>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2,478</w:t>
            </w:r>
          </w:p>
        </w:tc>
        <w:tc>
          <w:tcPr>
            <w:tcW w:w="1020" w:type="dxa"/>
            <w:vAlign w:val="bottom"/>
            <w:gridSpan w:val="3"/>
            <w:shd w:val="clear" w:color="auto" w:fill="CCEEFF"/>
          </w:tcPr>
          <w:p>
            <w:pPr>
              <w:jc w:val="right"/>
              <w:ind w:right="100"/>
              <w:spacing w:after="0" w:line="117" w:lineRule="exact"/>
              <w:rPr>
                <w:sz w:val="20"/>
                <w:szCs w:val="20"/>
                <w:color w:val="auto"/>
              </w:rPr>
            </w:pPr>
            <w:r>
              <w:rPr>
                <w:rFonts w:ascii="Times New Roman" w:cs="Times New Roman" w:eastAsia="Times New Roman" w:hAnsi="Times New Roman"/>
                <w:sz w:val="13"/>
                <w:szCs w:val="13"/>
                <w:color w:val="auto"/>
              </w:rPr>
              <w:t>2,478</w:t>
            </w:r>
          </w:p>
        </w:tc>
      </w:tr>
      <w:tr>
        <w:trPr>
          <w:trHeight w:val="153"/>
        </w:trPr>
        <w:tc>
          <w:tcPr>
            <w:tcW w:w="3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31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6.00% ETP, Due 3/1/22)</w:t>
            </w:r>
          </w:p>
        </w:tc>
        <w:tc>
          <w:tcPr>
            <w:tcW w:w="9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17"/>
        </w:trPr>
        <w:tc>
          <w:tcPr>
            <w:tcW w:w="3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3120" w:type="dxa"/>
            <w:vAlign w:val="bottom"/>
            <w:gridSpan w:val="3"/>
          </w:tcPr>
          <w:p>
            <w:pPr>
              <w:ind w:left="120"/>
              <w:spacing w:after="0" w:line="117" w:lineRule="exact"/>
              <w:rPr>
                <w:sz w:val="20"/>
                <w:szCs w:val="20"/>
                <w:color w:val="auto"/>
              </w:rPr>
            </w:pPr>
            <w:r>
              <w:rPr>
                <w:rFonts w:ascii="Times New Roman" w:cs="Times New Roman" w:eastAsia="Times New Roman" w:hAnsi="Times New Roman"/>
                <w:sz w:val="13"/>
                <w:szCs w:val="13"/>
                <w:color w:val="auto"/>
              </w:rPr>
              <w:t>Term Loan (10.10% cash (Libor + 7.75%; Floor 9.75%),</w:t>
            </w:r>
          </w:p>
        </w:tc>
        <w:tc>
          <w:tcPr>
            <w:tcW w:w="1120" w:type="dxa"/>
            <w:vAlign w:val="bottom"/>
            <w:gridSpan w:val="2"/>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2,500</w:t>
            </w:r>
          </w:p>
        </w:tc>
        <w:tc>
          <w:tcPr>
            <w:tcW w:w="1120" w:type="dxa"/>
            <w:vAlign w:val="bottom"/>
            <w:gridSpan w:val="2"/>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2,477</w:t>
            </w:r>
          </w:p>
        </w:tc>
        <w:tc>
          <w:tcPr>
            <w:tcW w:w="1020" w:type="dxa"/>
            <w:vAlign w:val="bottom"/>
            <w:gridSpan w:val="3"/>
          </w:tcPr>
          <w:p>
            <w:pPr>
              <w:jc w:val="right"/>
              <w:ind w:right="100"/>
              <w:spacing w:after="0" w:line="117" w:lineRule="exact"/>
              <w:rPr>
                <w:sz w:val="20"/>
                <w:szCs w:val="20"/>
                <w:color w:val="auto"/>
              </w:rPr>
            </w:pPr>
            <w:r>
              <w:rPr>
                <w:rFonts w:ascii="Times New Roman" w:cs="Times New Roman" w:eastAsia="Times New Roman" w:hAnsi="Times New Roman"/>
                <w:sz w:val="13"/>
                <w:szCs w:val="13"/>
                <w:color w:val="auto"/>
              </w:rPr>
              <w:t>2,477</w:t>
            </w:r>
          </w:p>
        </w:tc>
      </w:tr>
      <w:tr>
        <w:trPr>
          <w:trHeight w:val="164"/>
        </w:trPr>
        <w:tc>
          <w:tcPr>
            <w:tcW w:w="3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12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6.00% ETP, Due 3/1/22)</w:t>
            </w: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r>
    </w:tbl>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Schedule of Investments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Principal</w:t>
            </w: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Cost of</w:t>
            </w: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Fair</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880" w:type="dxa"/>
            <w:vAlign w:val="bottom"/>
            <w:gridSpan w:val="2"/>
          </w:tcPr>
          <w:p>
            <w:pPr>
              <w:ind w:left="1200"/>
              <w:spacing w:after="0"/>
              <w:rPr>
                <w:sz w:val="20"/>
                <w:szCs w:val="20"/>
                <w:color w:val="auto"/>
              </w:rPr>
            </w:pPr>
            <w:r>
              <w:rPr>
                <w:rFonts w:ascii="Times New Roman" w:cs="Times New Roman" w:eastAsia="Times New Roman" w:hAnsi="Times New Roman"/>
                <w:sz w:val="13"/>
                <w:szCs w:val="13"/>
                <w:b w:val="1"/>
                <w:bCs w:val="1"/>
                <w:color w:val="auto"/>
              </w:rPr>
              <w:t>Portfolio Company (1)(3)</w:t>
            </w:r>
          </w:p>
        </w:tc>
        <w:tc>
          <w:tcPr>
            <w:tcW w:w="1140" w:type="dxa"/>
            <w:vAlign w:val="bottom"/>
          </w:tcPr>
          <w:p>
            <w:pPr>
              <w:ind w:left="400"/>
              <w:spacing w:after="0"/>
              <w:rPr>
                <w:sz w:val="20"/>
                <w:szCs w:val="20"/>
                <w:color w:val="auto"/>
              </w:rPr>
            </w:pPr>
            <w:r>
              <w:rPr>
                <w:rFonts w:ascii="Times New Roman" w:cs="Times New Roman" w:eastAsia="Times New Roman" w:hAnsi="Times New Roman"/>
                <w:sz w:val="13"/>
                <w:szCs w:val="13"/>
                <w:b w:val="1"/>
                <w:bCs w:val="1"/>
                <w:color w:val="auto"/>
              </w:rPr>
              <w:t>Sector</w:t>
            </w:r>
          </w:p>
        </w:tc>
        <w:tc>
          <w:tcPr>
            <w:tcW w:w="120" w:type="dxa"/>
            <w:vAlign w:val="bottom"/>
          </w:tcPr>
          <w:p>
            <w:pPr>
              <w:spacing w:after="0"/>
              <w:rPr>
                <w:sz w:val="13"/>
                <w:szCs w:val="13"/>
                <w:color w:val="auto"/>
              </w:rPr>
            </w:pPr>
          </w:p>
        </w:tc>
        <w:tc>
          <w:tcPr>
            <w:tcW w:w="3000" w:type="dxa"/>
            <w:vAlign w:val="bottom"/>
            <w:gridSpan w:val="2"/>
          </w:tcPr>
          <w:p>
            <w:pPr>
              <w:ind w:left="580"/>
              <w:spacing w:after="0"/>
              <w:rPr>
                <w:sz w:val="20"/>
                <w:szCs w:val="20"/>
                <w:color w:val="auto"/>
              </w:rPr>
            </w:pPr>
            <w:r>
              <w:rPr>
                <w:rFonts w:ascii="Times New Roman" w:cs="Times New Roman" w:eastAsia="Times New Roman" w:hAnsi="Times New Roman"/>
                <w:sz w:val="13"/>
                <w:szCs w:val="13"/>
                <w:b w:val="1"/>
                <w:bCs w:val="1"/>
                <w:color w:val="auto"/>
              </w:rPr>
              <w:t>Type of Investment (4)(7)(9)(10)</w:t>
            </w: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8"/>
              </w:rPr>
              <w:t>Investments (6)</w:t>
            </w: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Value</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760" w:type="dxa"/>
            <w:vAlign w:val="bottom"/>
            <w:tcBorders>
              <w:top w:val="single" w:sz="8" w:color="auto"/>
            </w:tcBorders>
            <w:shd w:val="clear" w:color="auto" w:fill="CCEEFF"/>
          </w:tcPr>
          <w:p>
            <w:pPr>
              <w:spacing w:after="0" w:line="110" w:lineRule="exact"/>
              <w:rPr>
                <w:sz w:val="20"/>
                <w:szCs w:val="20"/>
                <w:color w:val="auto"/>
              </w:rPr>
            </w:pPr>
            <w:r>
              <w:rPr>
                <w:rFonts w:ascii="Times New Roman" w:cs="Times New Roman" w:eastAsia="Times New Roman" w:hAnsi="Times New Roman"/>
                <w:sz w:val="12"/>
                <w:szCs w:val="12"/>
                <w:color w:val="auto"/>
              </w:rPr>
              <w:t>HealthEdge Software, Inc. (2)(12)</w:t>
            </w:r>
          </w:p>
        </w:tc>
        <w:tc>
          <w:tcPr>
            <w:tcW w:w="120" w:type="dxa"/>
            <w:vAlign w:val="bottom"/>
            <w:tcBorders>
              <w:top w:val="single" w:sz="8" w:color="CCEEFF"/>
            </w:tcBorders>
            <w:shd w:val="clear" w:color="auto" w:fill="CCEEFF"/>
          </w:tcPr>
          <w:p>
            <w:pPr>
              <w:spacing w:after="0"/>
              <w:rPr>
                <w:sz w:val="9"/>
                <w:szCs w:val="9"/>
                <w:color w:val="auto"/>
              </w:rPr>
            </w:pPr>
          </w:p>
        </w:tc>
        <w:tc>
          <w:tcPr>
            <w:tcW w:w="1140" w:type="dxa"/>
            <w:vAlign w:val="bottom"/>
            <w:tcBorders>
              <w:top w:val="single" w:sz="8" w:color="auto"/>
            </w:tcBorders>
            <w:shd w:val="clear" w:color="auto" w:fill="CCEEFF"/>
          </w:tcPr>
          <w:p>
            <w:pPr>
              <w:spacing w:after="0" w:line="110" w:lineRule="exact"/>
              <w:rPr>
                <w:sz w:val="20"/>
                <w:szCs w:val="20"/>
                <w:color w:val="auto"/>
              </w:rPr>
            </w:pPr>
            <w:r>
              <w:rPr>
                <w:rFonts w:ascii="Times New Roman" w:cs="Times New Roman" w:eastAsia="Times New Roman" w:hAnsi="Times New Roman"/>
                <w:sz w:val="12"/>
                <w:szCs w:val="12"/>
                <w:color w:val="auto"/>
              </w:rPr>
              <w:t>Software</w:t>
            </w:r>
          </w:p>
        </w:tc>
        <w:tc>
          <w:tcPr>
            <w:tcW w:w="120" w:type="dxa"/>
            <w:vAlign w:val="bottom"/>
            <w:tcBorders>
              <w:top w:val="single" w:sz="8" w:color="CCEEFF"/>
            </w:tcBorders>
            <w:shd w:val="clear" w:color="auto" w:fill="CCEEFF"/>
          </w:tcPr>
          <w:p>
            <w:pPr>
              <w:spacing w:after="0"/>
              <w:rPr>
                <w:sz w:val="9"/>
                <w:szCs w:val="9"/>
                <w:color w:val="auto"/>
              </w:rPr>
            </w:pPr>
          </w:p>
        </w:tc>
        <w:tc>
          <w:tcPr>
            <w:tcW w:w="2880" w:type="dxa"/>
            <w:vAlign w:val="bottom"/>
            <w:tcBorders>
              <w:top w:val="single" w:sz="8" w:color="auto"/>
            </w:tcBorders>
            <w:shd w:val="clear" w:color="auto" w:fill="CCEEFF"/>
          </w:tcPr>
          <w:p>
            <w:pPr>
              <w:spacing w:after="0" w:line="110" w:lineRule="exact"/>
              <w:rPr>
                <w:sz w:val="20"/>
                <w:szCs w:val="20"/>
                <w:color w:val="auto"/>
              </w:rPr>
            </w:pPr>
            <w:r>
              <w:rPr>
                <w:rFonts w:ascii="Times New Roman" w:cs="Times New Roman" w:eastAsia="Times New Roman" w:hAnsi="Times New Roman"/>
                <w:sz w:val="12"/>
                <w:szCs w:val="12"/>
                <w:color w:val="auto"/>
              </w:rPr>
              <w:t>Term Loan (10.60% cash (Libor + 8.25%; Floor 9.25%),</w:t>
            </w:r>
          </w:p>
        </w:tc>
        <w:tc>
          <w:tcPr>
            <w:tcW w:w="120" w:type="dxa"/>
            <w:vAlign w:val="bottom"/>
            <w:tcBorders>
              <w:top w:val="single" w:sz="8" w:color="CCEEFF"/>
            </w:tcBorders>
            <w:shd w:val="clear" w:color="auto" w:fill="CCEEFF"/>
          </w:tcPr>
          <w:p>
            <w:pPr>
              <w:spacing w:after="0"/>
              <w:rPr>
                <w:sz w:val="9"/>
                <w:szCs w:val="9"/>
                <w:color w:val="auto"/>
              </w:rPr>
            </w:pPr>
          </w:p>
        </w:tc>
        <w:tc>
          <w:tcPr>
            <w:tcW w:w="920" w:type="dxa"/>
            <w:vAlign w:val="bottom"/>
            <w:tcBorders>
              <w:top w:val="single" w:sz="8" w:color="auto"/>
            </w:tcBorders>
            <w:shd w:val="clear" w:color="auto" w:fill="CCEEFF"/>
          </w:tcPr>
          <w:p>
            <w:pPr>
              <w:jc w:val="right"/>
              <w:spacing w:after="0" w:line="110" w:lineRule="exact"/>
              <w:rPr>
                <w:sz w:val="20"/>
                <w:szCs w:val="20"/>
                <w:color w:val="auto"/>
              </w:rPr>
            </w:pPr>
            <w:r>
              <w:rPr>
                <w:rFonts w:ascii="Times New Roman" w:cs="Times New Roman" w:eastAsia="Times New Roman" w:hAnsi="Times New Roman"/>
                <w:sz w:val="12"/>
                <w:szCs w:val="12"/>
                <w:color w:val="auto"/>
              </w:rPr>
              <w:t>5,000</w:t>
            </w:r>
          </w:p>
        </w:tc>
        <w:tc>
          <w:tcPr>
            <w:tcW w:w="200" w:type="dxa"/>
            <w:vAlign w:val="bottom"/>
            <w:tcBorders>
              <w:top w:val="single" w:sz="8" w:color="CCEEFF"/>
            </w:tcBorders>
            <w:shd w:val="clear" w:color="auto" w:fill="CCEEFF"/>
          </w:tcPr>
          <w:p>
            <w:pPr>
              <w:spacing w:after="0"/>
              <w:rPr>
                <w:sz w:val="9"/>
                <w:szCs w:val="9"/>
                <w:color w:val="auto"/>
              </w:rPr>
            </w:pPr>
          </w:p>
        </w:tc>
        <w:tc>
          <w:tcPr>
            <w:tcW w:w="920" w:type="dxa"/>
            <w:vAlign w:val="bottom"/>
            <w:tcBorders>
              <w:top w:val="single" w:sz="8" w:color="auto"/>
            </w:tcBorders>
            <w:shd w:val="clear" w:color="auto" w:fill="CCEEFF"/>
          </w:tcPr>
          <w:p>
            <w:pPr>
              <w:jc w:val="right"/>
              <w:spacing w:after="0" w:line="110" w:lineRule="exact"/>
              <w:rPr>
                <w:sz w:val="20"/>
                <w:szCs w:val="20"/>
                <w:color w:val="auto"/>
              </w:rPr>
            </w:pPr>
            <w:r>
              <w:rPr>
                <w:rFonts w:ascii="Times New Roman" w:cs="Times New Roman" w:eastAsia="Times New Roman" w:hAnsi="Times New Roman"/>
                <w:sz w:val="12"/>
                <w:szCs w:val="12"/>
                <w:color w:val="auto"/>
              </w:rPr>
              <w:t>4,948</w:t>
            </w:r>
          </w:p>
        </w:tc>
        <w:tc>
          <w:tcPr>
            <w:tcW w:w="200" w:type="dxa"/>
            <w:vAlign w:val="bottom"/>
            <w:tcBorders>
              <w:top w:val="single" w:sz="8" w:color="CCEEFF"/>
            </w:tcBorders>
            <w:shd w:val="clear" w:color="auto" w:fill="CCEEFF"/>
          </w:tcPr>
          <w:p>
            <w:pPr>
              <w:spacing w:after="0"/>
              <w:rPr>
                <w:sz w:val="9"/>
                <w:szCs w:val="9"/>
                <w:color w:val="auto"/>
              </w:rPr>
            </w:pPr>
          </w:p>
        </w:tc>
        <w:tc>
          <w:tcPr>
            <w:tcW w:w="920" w:type="dxa"/>
            <w:vAlign w:val="bottom"/>
            <w:tcBorders>
              <w:top w:val="single" w:sz="8" w:color="auto"/>
            </w:tcBorders>
            <w:shd w:val="clear" w:color="auto" w:fill="CCEEFF"/>
          </w:tcPr>
          <w:p>
            <w:pPr>
              <w:jc w:val="right"/>
              <w:spacing w:after="0" w:line="110" w:lineRule="exact"/>
              <w:rPr>
                <w:sz w:val="20"/>
                <w:szCs w:val="20"/>
                <w:color w:val="auto"/>
              </w:rPr>
            </w:pPr>
            <w:r>
              <w:rPr>
                <w:rFonts w:ascii="Times New Roman" w:cs="Times New Roman" w:eastAsia="Times New Roman" w:hAnsi="Times New Roman"/>
                <w:sz w:val="12"/>
                <w:szCs w:val="12"/>
                <w:color w:val="auto"/>
              </w:rPr>
              <w:t>4,948</w:t>
            </w:r>
          </w:p>
        </w:tc>
        <w:tc>
          <w:tcPr>
            <w:tcW w:w="10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31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3.00% ETP, Due 7/1/22)</w:t>
            </w:r>
          </w:p>
        </w:tc>
        <w:tc>
          <w:tcPr>
            <w:tcW w:w="9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3120" w:type="dxa"/>
            <w:vAlign w:val="bottom"/>
            <w:gridSpan w:val="3"/>
          </w:tcPr>
          <w:p>
            <w:pPr>
              <w:ind w:left="120"/>
              <w:spacing w:after="0" w:line="117" w:lineRule="exact"/>
              <w:rPr>
                <w:sz w:val="20"/>
                <w:szCs w:val="20"/>
                <w:color w:val="auto"/>
              </w:rPr>
            </w:pPr>
            <w:r>
              <w:rPr>
                <w:rFonts w:ascii="Times New Roman" w:cs="Times New Roman" w:eastAsia="Times New Roman" w:hAnsi="Times New Roman"/>
                <w:sz w:val="13"/>
                <w:szCs w:val="13"/>
                <w:color w:val="auto"/>
              </w:rPr>
              <w:t>Term Loan (10.60% cash (Libor + 8.25%; Floor 9.25%),</w:t>
            </w:r>
          </w:p>
        </w:tc>
        <w:tc>
          <w:tcPr>
            <w:tcW w:w="1120" w:type="dxa"/>
            <w:vAlign w:val="bottom"/>
            <w:gridSpan w:val="2"/>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3,750</w:t>
            </w:r>
          </w:p>
        </w:tc>
        <w:tc>
          <w:tcPr>
            <w:tcW w:w="1120" w:type="dxa"/>
            <w:vAlign w:val="bottom"/>
            <w:gridSpan w:val="2"/>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3,704</w:t>
            </w:r>
          </w:p>
        </w:tc>
        <w:tc>
          <w:tcPr>
            <w:tcW w:w="1020" w:type="dxa"/>
            <w:vAlign w:val="bottom"/>
            <w:gridSpan w:val="2"/>
          </w:tcPr>
          <w:p>
            <w:pPr>
              <w:jc w:val="right"/>
              <w:ind w:right="100"/>
              <w:spacing w:after="0" w:line="117" w:lineRule="exact"/>
              <w:rPr>
                <w:sz w:val="20"/>
                <w:szCs w:val="20"/>
                <w:color w:val="auto"/>
              </w:rPr>
            </w:pPr>
            <w:r>
              <w:rPr>
                <w:rFonts w:ascii="Times New Roman" w:cs="Times New Roman" w:eastAsia="Times New Roman" w:hAnsi="Times New Roman"/>
                <w:sz w:val="13"/>
                <w:szCs w:val="13"/>
                <w:color w:val="auto"/>
              </w:rPr>
              <w:t>3,704</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12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3.00% ETP, Due 1/1/23)</w:t>
            </w: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3120" w:type="dxa"/>
            <w:vAlign w:val="bottom"/>
            <w:gridSpan w:val="3"/>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Term Loan (10.60% cash (Libor + 8.25%; Floor 9.25%),</w:t>
            </w:r>
          </w:p>
        </w:tc>
        <w:tc>
          <w:tcPr>
            <w:tcW w:w="1120" w:type="dxa"/>
            <w:vAlign w:val="bottom"/>
            <w:gridSpan w:val="2"/>
            <w:shd w:val="clear" w:color="auto" w:fill="CCEEFF"/>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3,750</w:t>
            </w:r>
          </w:p>
        </w:tc>
        <w:tc>
          <w:tcPr>
            <w:tcW w:w="1120" w:type="dxa"/>
            <w:vAlign w:val="bottom"/>
            <w:gridSpan w:val="2"/>
            <w:shd w:val="clear" w:color="auto" w:fill="CCEEFF"/>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3,701</w:t>
            </w:r>
          </w:p>
        </w:tc>
        <w:tc>
          <w:tcPr>
            <w:tcW w:w="1020" w:type="dxa"/>
            <w:vAlign w:val="bottom"/>
            <w:gridSpan w:val="2"/>
            <w:shd w:val="clear" w:color="auto" w:fill="CCEEFF"/>
          </w:tcPr>
          <w:p>
            <w:pPr>
              <w:jc w:val="right"/>
              <w:ind w:right="100"/>
              <w:spacing w:after="0" w:line="117" w:lineRule="exact"/>
              <w:rPr>
                <w:sz w:val="20"/>
                <w:szCs w:val="20"/>
                <w:color w:val="auto"/>
              </w:rPr>
            </w:pPr>
            <w:r>
              <w:rPr>
                <w:rFonts w:ascii="Times New Roman" w:cs="Times New Roman" w:eastAsia="Times New Roman" w:hAnsi="Times New Roman"/>
                <w:sz w:val="13"/>
                <w:szCs w:val="13"/>
                <w:color w:val="auto"/>
              </w:rPr>
              <w:t>3,701</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31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3.00% ETP, Due 4/1/23)</w:t>
            </w:r>
          </w:p>
        </w:tc>
        <w:tc>
          <w:tcPr>
            <w:tcW w:w="9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3120" w:type="dxa"/>
            <w:vAlign w:val="bottom"/>
            <w:gridSpan w:val="3"/>
          </w:tcPr>
          <w:p>
            <w:pPr>
              <w:ind w:left="120"/>
              <w:spacing w:after="0" w:line="117" w:lineRule="exact"/>
              <w:rPr>
                <w:sz w:val="20"/>
                <w:szCs w:val="20"/>
                <w:color w:val="auto"/>
              </w:rPr>
            </w:pPr>
            <w:r>
              <w:rPr>
                <w:rFonts w:ascii="Times New Roman" w:cs="Times New Roman" w:eastAsia="Times New Roman" w:hAnsi="Times New Roman"/>
                <w:sz w:val="13"/>
                <w:szCs w:val="13"/>
                <w:color w:val="auto"/>
              </w:rPr>
              <w:t>Term Loan (10.69% cash (Libor + 8.25%; Floor 9.25%),</w:t>
            </w:r>
          </w:p>
        </w:tc>
        <w:tc>
          <w:tcPr>
            <w:tcW w:w="1120" w:type="dxa"/>
            <w:vAlign w:val="bottom"/>
            <w:gridSpan w:val="2"/>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3,750</w:t>
            </w:r>
          </w:p>
        </w:tc>
        <w:tc>
          <w:tcPr>
            <w:tcW w:w="1120" w:type="dxa"/>
            <w:vAlign w:val="bottom"/>
            <w:gridSpan w:val="2"/>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3,696</w:t>
            </w:r>
          </w:p>
        </w:tc>
        <w:tc>
          <w:tcPr>
            <w:tcW w:w="1020" w:type="dxa"/>
            <w:vAlign w:val="bottom"/>
            <w:gridSpan w:val="2"/>
          </w:tcPr>
          <w:p>
            <w:pPr>
              <w:jc w:val="right"/>
              <w:ind w:right="100"/>
              <w:spacing w:after="0" w:line="117" w:lineRule="exact"/>
              <w:rPr>
                <w:sz w:val="20"/>
                <w:szCs w:val="20"/>
                <w:color w:val="auto"/>
              </w:rPr>
            </w:pPr>
            <w:r>
              <w:rPr>
                <w:rFonts w:ascii="Times New Roman" w:cs="Times New Roman" w:eastAsia="Times New Roman" w:hAnsi="Times New Roman"/>
                <w:sz w:val="13"/>
                <w:szCs w:val="13"/>
                <w:color w:val="auto"/>
              </w:rPr>
              <w:t>3,696</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76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140" w:type="dxa"/>
            <w:vAlign w:val="bottom"/>
            <w:tcBorders>
              <w:bottom w:val="single" w:sz="8" w:color="CCEEFF"/>
            </w:tcBorders>
          </w:tcPr>
          <w:p>
            <w:pPr>
              <w:spacing w:after="0"/>
              <w:rPr>
                <w:sz w:val="13"/>
                <w:szCs w:val="13"/>
                <w:color w:val="auto"/>
              </w:rPr>
            </w:pPr>
          </w:p>
        </w:tc>
        <w:tc>
          <w:tcPr>
            <w:tcW w:w="3120" w:type="dxa"/>
            <w:vAlign w:val="bottom"/>
            <w:tcBorders>
              <w:bottom w:val="single" w:sz="8" w:color="CCEEFF"/>
            </w:tcBorders>
            <w:gridSpan w:val="3"/>
          </w:tcPr>
          <w:p>
            <w:pPr>
              <w:ind w:left="120"/>
              <w:spacing w:after="0"/>
              <w:rPr>
                <w:sz w:val="20"/>
                <w:szCs w:val="20"/>
                <w:color w:val="auto"/>
              </w:rPr>
            </w:pPr>
            <w:r>
              <w:rPr>
                <w:rFonts w:ascii="Times New Roman" w:cs="Times New Roman" w:eastAsia="Times New Roman" w:hAnsi="Times New Roman"/>
                <w:sz w:val="13"/>
                <w:szCs w:val="13"/>
                <w:color w:val="auto"/>
              </w:rPr>
              <w:t>3.00% ETP, Due 1/1/24)</w:t>
            </w:r>
          </w:p>
        </w:tc>
        <w:tc>
          <w:tcPr>
            <w:tcW w:w="920" w:type="dxa"/>
            <w:vAlign w:val="bottom"/>
            <w:tcBorders>
              <w:bottom w:val="single" w:sz="8" w:color="CCEEFF"/>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020" w:type="dxa"/>
            <w:vAlign w:val="bottom"/>
            <w:gridSpan w:val="3"/>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Total Non-Affiliate Debt Investments — Healthcare information and services</w:t>
            </w:r>
          </w:p>
        </w:tc>
        <w:tc>
          <w:tcPr>
            <w:tcW w:w="120" w:type="dxa"/>
            <w:vAlign w:val="bottom"/>
            <w:shd w:val="clear" w:color="auto" w:fill="CCEEFF"/>
          </w:tcPr>
          <w:p>
            <w:pPr>
              <w:spacing w:after="0"/>
              <w:rPr>
                <w:sz w:val="11"/>
                <w:szCs w:val="11"/>
                <w:color w:val="auto"/>
              </w:rPr>
            </w:pPr>
          </w:p>
        </w:tc>
        <w:tc>
          <w:tcPr>
            <w:tcW w:w="2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23,482</w:t>
            </w:r>
          </w:p>
        </w:tc>
        <w:tc>
          <w:tcPr>
            <w:tcW w:w="200" w:type="dxa"/>
            <w:vAlign w:val="bottom"/>
            <w:shd w:val="clear" w:color="auto" w:fill="CCEEFF"/>
          </w:tcPr>
          <w:p>
            <w:pPr>
              <w:spacing w:after="0"/>
              <w:rPr>
                <w:sz w:val="11"/>
                <w:szCs w:val="11"/>
                <w:color w:val="auto"/>
              </w:rPr>
            </w:pPr>
          </w:p>
        </w:tc>
        <w:tc>
          <w:tcPr>
            <w:tcW w:w="9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23,482</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880" w:type="dxa"/>
            <w:vAlign w:val="bottom"/>
            <w:tcBorders>
              <w:bottom w:val="single" w:sz="8" w:color="CCEEFF"/>
            </w:tcBorders>
            <w:gridSpan w:val="2"/>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Non- Affiliate Debt Investments</w:t>
            </w:r>
          </w:p>
        </w:tc>
        <w:tc>
          <w:tcPr>
            <w:tcW w:w="114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288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920" w:type="dxa"/>
            <w:vAlign w:val="bottom"/>
            <w:tcBorders>
              <w:bottom w:val="single" w:sz="8" w:color="CCEEFF"/>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9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210,228</w:t>
            </w:r>
          </w:p>
        </w:tc>
        <w:tc>
          <w:tcPr>
            <w:tcW w:w="200" w:type="dxa"/>
            <w:vAlign w:val="bottom"/>
            <w:tcBorders>
              <w:bottom w:val="single" w:sz="8" w:color="CCEEFF"/>
            </w:tcBorders>
          </w:tcPr>
          <w:p>
            <w:pPr>
              <w:spacing w:after="0"/>
              <w:rPr>
                <w:sz w:val="11"/>
                <w:szCs w:val="11"/>
                <w:color w:val="auto"/>
              </w:rPr>
            </w:pPr>
          </w:p>
        </w:tc>
        <w:tc>
          <w:tcPr>
            <w:tcW w:w="9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209,693</w:t>
            </w: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3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88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Non-Affiliate Warrant Investments — 6.9% (8)</w:t>
            </w: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8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Non-Affiliate Warrants — Life Science — 1.5% (8)</w:t>
            </w: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8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ACT Biotech Corporation</w:t>
            </w:r>
          </w:p>
        </w:tc>
        <w:tc>
          <w:tcPr>
            <w:tcW w:w="11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Biotechnology</w:t>
            </w:r>
          </w:p>
        </w:tc>
        <w:tc>
          <w:tcPr>
            <w:tcW w:w="3120" w:type="dxa"/>
            <w:vAlign w:val="bottom"/>
            <w:gridSpan w:val="3"/>
          </w:tcPr>
          <w:p>
            <w:pPr>
              <w:ind w:left="120"/>
              <w:spacing w:after="0" w:line="135" w:lineRule="exact"/>
              <w:rPr>
                <w:sz w:val="20"/>
                <w:szCs w:val="20"/>
                <w:color w:val="auto"/>
              </w:rPr>
            </w:pPr>
            <w:r>
              <w:rPr>
                <w:rFonts w:ascii="Times New Roman" w:cs="Times New Roman" w:eastAsia="Times New Roman" w:hAnsi="Times New Roman"/>
                <w:sz w:val="13"/>
                <w:szCs w:val="13"/>
                <w:color w:val="auto"/>
              </w:rPr>
              <w:t>130,872 Preferred Stock Warrants</w:t>
            </w: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12</w:t>
            </w:r>
          </w:p>
        </w:tc>
        <w:tc>
          <w:tcPr>
            <w:tcW w:w="102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8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Alpine Immune Sciences, Inc. (5)(12)</w:t>
            </w:r>
          </w:p>
        </w:tc>
        <w:tc>
          <w:tcPr>
            <w:tcW w:w="11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Biotechnology</w:t>
            </w:r>
          </w:p>
        </w:tc>
        <w:tc>
          <w:tcPr>
            <w:tcW w:w="3120" w:type="dxa"/>
            <w:vAlign w:val="bottom"/>
            <w:gridSpan w:val="3"/>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4,634 Common Stock Warrants</w:t>
            </w:r>
          </w:p>
        </w:tc>
        <w:tc>
          <w:tcPr>
            <w:tcW w:w="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122</w:t>
            </w:r>
          </w:p>
        </w:tc>
        <w:tc>
          <w:tcPr>
            <w:tcW w:w="102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8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Celsion Corporation (2)(5)(12)</w:t>
            </w:r>
          </w:p>
        </w:tc>
        <w:tc>
          <w:tcPr>
            <w:tcW w:w="11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Biotechnology</w:t>
            </w:r>
          </w:p>
        </w:tc>
        <w:tc>
          <w:tcPr>
            <w:tcW w:w="3120" w:type="dxa"/>
            <w:vAlign w:val="bottom"/>
            <w:gridSpan w:val="3"/>
          </w:tcPr>
          <w:p>
            <w:pPr>
              <w:ind w:left="120"/>
              <w:spacing w:after="0" w:line="135" w:lineRule="exact"/>
              <w:rPr>
                <w:sz w:val="20"/>
                <w:szCs w:val="20"/>
                <w:color w:val="auto"/>
              </w:rPr>
            </w:pPr>
            <w:r>
              <w:rPr>
                <w:rFonts w:ascii="Times New Roman" w:cs="Times New Roman" w:eastAsia="Times New Roman" w:hAnsi="Times New Roman"/>
                <w:sz w:val="13"/>
                <w:szCs w:val="13"/>
                <w:color w:val="auto"/>
              </w:rPr>
              <w:t>95,465 Common Stock Warrants</w:t>
            </w: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79</w:t>
            </w:r>
          </w:p>
        </w:tc>
        <w:tc>
          <w:tcPr>
            <w:tcW w:w="102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8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Espero BioPharma, Inc. (2)(5)(12)</w:t>
            </w:r>
          </w:p>
        </w:tc>
        <w:tc>
          <w:tcPr>
            <w:tcW w:w="11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Biotechnology</w:t>
            </w:r>
          </w:p>
        </w:tc>
        <w:tc>
          <w:tcPr>
            <w:tcW w:w="3120" w:type="dxa"/>
            <w:vAlign w:val="bottom"/>
            <w:gridSpan w:val="3"/>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1,506,937 Common Stock Warrants</w:t>
            </w:r>
          </w:p>
        </w:tc>
        <w:tc>
          <w:tcPr>
            <w:tcW w:w="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184</w:t>
            </w:r>
          </w:p>
        </w:tc>
        <w:tc>
          <w:tcPr>
            <w:tcW w:w="102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185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8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Rocket Pharmaceuticals Corporation (5)(12)</w:t>
            </w:r>
          </w:p>
        </w:tc>
        <w:tc>
          <w:tcPr>
            <w:tcW w:w="11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Biotechnology</w:t>
            </w:r>
          </w:p>
        </w:tc>
        <w:tc>
          <w:tcPr>
            <w:tcW w:w="3120" w:type="dxa"/>
            <w:vAlign w:val="bottom"/>
            <w:gridSpan w:val="3"/>
          </w:tcPr>
          <w:p>
            <w:pPr>
              <w:ind w:left="120"/>
              <w:spacing w:after="0" w:line="135" w:lineRule="exact"/>
              <w:rPr>
                <w:sz w:val="20"/>
                <w:szCs w:val="20"/>
                <w:color w:val="auto"/>
              </w:rPr>
            </w:pPr>
            <w:r>
              <w:rPr>
                <w:rFonts w:ascii="Times New Roman" w:cs="Times New Roman" w:eastAsia="Times New Roman" w:hAnsi="Times New Roman"/>
                <w:sz w:val="13"/>
                <w:szCs w:val="13"/>
                <w:color w:val="auto"/>
              </w:rPr>
              <w:t>7,051 Common Stock Warrants</w:t>
            </w: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17</w:t>
            </w:r>
          </w:p>
        </w:tc>
        <w:tc>
          <w:tcPr>
            <w:tcW w:w="102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8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Palatin Technologies, Inc. (2)(5)(12)</w:t>
            </w:r>
          </w:p>
        </w:tc>
        <w:tc>
          <w:tcPr>
            <w:tcW w:w="11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Biotechnology</w:t>
            </w:r>
          </w:p>
        </w:tc>
        <w:tc>
          <w:tcPr>
            <w:tcW w:w="3120" w:type="dxa"/>
            <w:vAlign w:val="bottom"/>
            <w:gridSpan w:val="3"/>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608,058 Common Stock Warrants</w:t>
            </w:r>
          </w:p>
        </w:tc>
        <w:tc>
          <w:tcPr>
            <w:tcW w:w="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51</w:t>
            </w:r>
          </w:p>
        </w:tc>
        <w:tc>
          <w:tcPr>
            <w:tcW w:w="102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34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8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Revance Therapeutics, Inc. (5)(12)</w:t>
            </w:r>
          </w:p>
        </w:tc>
        <w:tc>
          <w:tcPr>
            <w:tcW w:w="11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Biotechnology</w:t>
            </w:r>
          </w:p>
        </w:tc>
        <w:tc>
          <w:tcPr>
            <w:tcW w:w="3120" w:type="dxa"/>
            <w:vAlign w:val="bottom"/>
            <w:gridSpan w:val="3"/>
          </w:tcPr>
          <w:p>
            <w:pPr>
              <w:ind w:left="120"/>
              <w:spacing w:after="0" w:line="135" w:lineRule="exact"/>
              <w:rPr>
                <w:sz w:val="20"/>
                <w:szCs w:val="20"/>
                <w:color w:val="auto"/>
              </w:rPr>
            </w:pPr>
            <w:r>
              <w:rPr>
                <w:rFonts w:ascii="Times New Roman" w:cs="Times New Roman" w:eastAsia="Times New Roman" w:hAnsi="Times New Roman"/>
                <w:sz w:val="13"/>
                <w:szCs w:val="13"/>
                <w:color w:val="auto"/>
              </w:rPr>
              <w:t>34,113 Common Stock Warrants</w:t>
            </w: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68</w:t>
            </w:r>
          </w:p>
        </w:tc>
        <w:tc>
          <w:tcPr>
            <w:tcW w:w="102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210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8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Sample6, Inc. (2)(12)</w:t>
            </w:r>
          </w:p>
        </w:tc>
        <w:tc>
          <w:tcPr>
            <w:tcW w:w="11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Biotechnology</w:t>
            </w:r>
          </w:p>
        </w:tc>
        <w:tc>
          <w:tcPr>
            <w:tcW w:w="3120" w:type="dxa"/>
            <w:vAlign w:val="bottom"/>
            <w:gridSpan w:val="3"/>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661,956 Preferred Stock Warrants</w:t>
            </w:r>
          </w:p>
        </w:tc>
        <w:tc>
          <w:tcPr>
            <w:tcW w:w="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53</w:t>
            </w:r>
          </w:p>
        </w:tc>
        <w:tc>
          <w:tcPr>
            <w:tcW w:w="102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26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8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Strongbridge U.S. Inc. (2)(5)(12)</w:t>
            </w:r>
          </w:p>
        </w:tc>
        <w:tc>
          <w:tcPr>
            <w:tcW w:w="11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Biotechnology</w:t>
            </w:r>
          </w:p>
        </w:tc>
        <w:tc>
          <w:tcPr>
            <w:tcW w:w="3120" w:type="dxa"/>
            <w:vAlign w:val="bottom"/>
            <w:gridSpan w:val="3"/>
          </w:tcPr>
          <w:p>
            <w:pPr>
              <w:ind w:left="120"/>
              <w:spacing w:after="0" w:line="135" w:lineRule="exact"/>
              <w:rPr>
                <w:sz w:val="20"/>
                <w:szCs w:val="20"/>
                <w:color w:val="auto"/>
              </w:rPr>
            </w:pPr>
            <w:r>
              <w:rPr>
                <w:rFonts w:ascii="Times New Roman" w:cs="Times New Roman" w:eastAsia="Times New Roman" w:hAnsi="Times New Roman"/>
                <w:sz w:val="13"/>
                <w:szCs w:val="13"/>
                <w:color w:val="auto"/>
              </w:rPr>
              <w:t>160,714 Common Stock Warrants</w:t>
            </w: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72</w:t>
            </w:r>
          </w:p>
        </w:tc>
        <w:tc>
          <w:tcPr>
            <w:tcW w:w="102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356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8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Sunesis Pharmaceuticals, Inc. (5)(12)</w:t>
            </w:r>
          </w:p>
        </w:tc>
        <w:tc>
          <w:tcPr>
            <w:tcW w:w="11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Biotechnology</w:t>
            </w:r>
          </w:p>
        </w:tc>
        <w:tc>
          <w:tcPr>
            <w:tcW w:w="3120" w:type="dxa"/>
            <w:vAlign w:val="bottom"/>
            <w:gridSpan w:val="3"/>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2,050 Common Stock Warrants</w:t>
            </w:r>
          </w:p>
        </w:tc>
        <w:tc>
          <w:tcPr>
            <w:tcW w:w="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5</w:t>
            </w:r>
          </w:p>
        </w:tc>
        <w:tc>
          <w:tcPr>
            <w:tcW w:w="102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8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vTv Therapeutics Inc. (2)(5)(12)</w:t>
            </w:r>
          </w:p>
        </w:tc>
        <w:tc>
          <w:tcPr>
            <w:tcW w:w="11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Biotechnology</w:t>
            </w:r>
          </w:p>
        </w:tc>
        <w:tc>
          <w:tcPr>
            <w:tcW w:w="3120" w:type="dxa"/>
            <w:vAlign w:val="bottom"/>
            <w:gridSpan w:val="3"/>
          </w:tcPr>
          <w:p>
            <w:pPr>
              <w:ind w:left="120"/>
              <w:spacing w:after="0" w:line="135" w:lineRule="exact"/>
              <w:rPr>
                <w:sz w:val="20"/>
                <w:szCs w:val="20"/>
                <w:color w:val="auto"/>
              </w:rPr>
            </w:pPr>
            <w:r>
              <w:rPr>
                <w:rFonts w:ascii="Times New Roman" w:cs="Times New Roman" w:eastAsia="Times New Roman" w:hAnsi="Times New Roman"/>
                <w:sz w:val="13"/>
                <w:szCs w:val="13"/>
                <w:color w:val="auto"/>
              </w:rPr>
              <w:t>95,293 Common Stock Warrants</w:t>
            </w: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44</w:t>
            </w:r>
          </w:p>
        </w:tc>
        <w:tc>
          <w:tcPr>
            <w:tcW w:w="102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8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Titan Pharmaceuticals, Inc. (2)(5)(12)</w:t>
            </w:r>
          </w:p>
        </w:tc>
        <w:tc>
          <w:tcPr>
            <w:tcW w:w="11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Drug Delivery</w:t>
            </w:r>
          </w:p>
        </w:tc>
        <w:tc>
          <w:tcPr>
            <w:tcW w:w="3120" w:type="dxa"/>
            <w:vAlign w:val="bottom"/>
            <w:gridSpan w:val="3"/>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2,240,000 Common Stock Warrants</w:t>
            </w:r>
          </w:p>
        </w:tc>
        <w:tc>
          <w:tcPr>
            <w:tcW w:w="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95</w:t>
            </w:r>
          </w:p>
        </w:tc>
        <w:tc>
          <w:tcPr>
            <w:tcW w:w="102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89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8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AccuVein Inc. (2)(12)</w:t>
            </w:r>
          </w:p>
        </w:tc>
        <w:tc>
          <w:tcPr>
            <w:tcW w:w="11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Medical Device</w:t>
            </w:r>
          </w:p>
        </w:tc>
        <w:tc>
          <w:tcPr>
            <w:tcW w:w="3120" w:type="dxa"/>
            <w:vAlign w:val="bottom"/>
            <w:gridSpan w:val="3"/>
          </w:tcPr>
          <w:p>
            <w:pPr>
              <w:ind w:left="120"/>
              <w:spacing w:after="0" w:line="135" w:lineRule="exact"/>
              <w:rPr>
                <w:sz w:val="20"/>
                <w:szCs w:val="20"/>
                <w:color w:val="auto"/>
              </w:rPr>
            </w:pPr>
            <w:r>
              <w:rPr>
                <w:rFonts w:ascii="Times New Roman" w:cs="Times New Roman" w:eastAsia="Times New Roman" w:hAnsi="Times New Roman"/>
                <w:sz w:val="13"/>
                <w:szCs w:val="13"/>
                <w:color w:val="auto"/>
              </w:rPr>
              <w:t>1,174,881 Preferred Stock Warrants</w:t>
            </w: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24</w:t>
            </w:r>
          </w:p>
        </w:tc>
        <w:tc>
          <w:tcPr>
            <w:tcW w:w="102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28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8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Aerin Medical, Inc. (2)(12)</w:t>
            </w:r>
          </w:p>
        </w:tc>
        <w:tc>
          <w:tcPr>
            <w:tcW w:w="11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Medical Device</w:t>
            </w:r>
          </w:p>
        </w:tc>
        <w:tc>
          <w:tcPr>
            <w:tcW w:w="3120" w:type="dxa"/>
            <w:vAlign w:val="bottom"/>
            <w:gridSpan w:val="3"/>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1,818,182 Preferred Stock Warrants</w:t>
            </w:r>
          </w:p>
        </w:tc>
        <w:tc>
          <w:tcPr>
            <w:tcW w:w="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66</w:t>
            </w:r>
          </w:p>
        </w:tc>
        <w:tc>
          <w:tcPr>
            <w:tcW w:w="102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68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8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Conventus Orthopaedics, Inc. (2)(12)</w:t>
            </w:r>
          </w:p>
        </w:tc>
        <w:tc>
          <w:tcPr>
            <w:tcW w:w="11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Medical Device</w:t>
            </w:r>
          </w:p>
        </w:tc>
        <w:tc>
          <w:tcPr>
            <w:tcW w:w="3120" w:type="dxa"/>
            <w:vAlign w:val="bottom"/>
            <w:gridSpan w:val="3"/>
          </w:tcPr>
          <w:p>
            <w:pPr>
              <w:ind w:left="120"/>
              <w:spacing w:after="0" w:line="135" w:lineRule="exact"/>
              <w:rPr>
                <w:sz w:val="20"/>
                <w:szCs w:val="20"/>
                <w:color w:val="auto"/>
              </w:rPr>
            </w:pPr>
            <w:r>
              <w:rPr>
                <w:rFonts w:ascii="Times New Roman" w:cs="Times New Roman" w:eastAsia="Times New Roman" w:hAnsi="Times New Roman"/>
                <w:sz w:val="13"/>
                <w:szCs w:val="13"/>
                <w:color w:val="auto"/>
              </w:rPr>
              <w:t>720,000 Preferred Stock Warrants</w:t>
            </w: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95</w:t>
            </w:r>
          </w:p>
        </w:tc>
        <w:tc>
          <w:tcPr>
            <w:tcW w:w="102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99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8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CSA Medical, Inc. (12)</w:t>
            </w:r>
          </w:p>
        </w:tc>
        <w:tc>
          <w:tcPr>
            <w:tcW w:w="11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Medical Device</w:t>
            </w:r>
          </w:p>
        </w:tc>
        <w:tc>
          <w:tcPr>
            <w:tcW w:w="3120" w:type="dxa"/>
            <w:vAlign w:val="bottom"/>
            <w:gridSpan w:val="3"/>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745,562 Preferred Stock Warrants</w:t>
            </w:r>
          </w:p>
        </w:tc>
        <w:tc>
          <w:tcPr>
            <w:tcW w:w="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89</w:t>
            </w:r>
          </w:p>
        </w:tc>
        <w:tc>
          <w:tcPr>
            <w:tcW w:w="102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86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8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Lantos Technologies, Inc. (2)(12)</w:t>
            </w:r>
          </w:p>
        </w:tc>
        <w:tc>
          <w:tcPr>
            <w:tcW w:w="11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Medical Device</w:t>
            </w:r>
          </w:p>
        </w:tc>
        <w:tc>
          <w:tcPr>
            <w:tcW w:w="3120" w:type="dxa"/>
            <w:vAlign w:val="bottom"/>
            <w:gridSpan w:val="3"/>
          </w:tcPr>
          <w:p>
            <w:pPr>
              <w:ind w:left="120"/>
              <w:spacing w:after="0" w:line="135" w:lineRule="exact"/>
              <w:rPr>
                <w:sz w:val="20"/>
                <w:szCs w:val="20"/>
                <w:color w:val="auto"/>
              </w:rPr>
            </w:pPr>
            <w:r>
              <w:rPr>
                <w:rFonts w:ascii="Times New Roman" w:cs="Times New Roman" w:eastAsia="Times New Roman" w:hAnsi="Times New Roman"/>
                <w:sz w:val="13"/>
                <w:szCs w:val="13"/>
                <w:color w:val="auto"/>
              </w:rPr>
              <w:t>1,715,926 Common Stock Warrants</w:t>
            </w: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253</w:t>
            </w:r>
          </w:p>
        </w:tc>
        <w:tc>
          <w:tcPr>
            <w:tcW w:w="102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285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8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MacuLogix, Inc. (2)(12)</w:t>
            </w:r>
          </w:p>
        </w:tc>
        <w:tc>
          <w:tcPr>
            <w:tcW w:w="11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Medical Device</w:t>
            </w:r>
          </w:p>
        </w:tc>
        <w:tc>
          <w:tcPr>
            <w:tcW w:w="3120" w:type="dxa"/>
            <w:vAlign w:val="bottom"/>
            <w:gridSpan w:val="3"/>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234,742 Preferred Stock Warrants</w:t>
            </w:r>
          </w:p>
        </w:tc>
        <w:tc>
          <w:tcPr>
            <w:tcW w:w="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179</w:t>
            </w:r>
          </w:p>
        </w:tc>
        <w:tc>
          <w:tcPr>
            <w:tcW w:w="102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90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8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Mitralign, Inc. (2)(12)</w:t>
            </w:r>
          </w:p>
        </w:tc>
        <w:tc>
          <w:tcPr>
            <w:tcW w:w="11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Medical Device</w:t>
            </w:r>
          </w:p>
        </w:tc>
        <w:tc>
          <w:tcPr>
            <w:tcW w:w="3120" w:type="dxa"/>
            <w:vAlign w:val="bottom"/>
            <w:gridSpan w:val="3"/>
          </w:tcPr>
          <w:p>
            <w:pPr>
              <w:ind w:left="120"/>
              <w:spacing w:after="0" w:line="135" w:lineRule="exact"/>
              <w:rPr>
                <w:sz w:val="20"/>
                <w:szCs w:val="20"/>
                <w:color w:val="auto"/>
              </w:rPr>
            </w:pPr>
            <w:r>
              <w:rPr>
                <w:rFonts w:ascii="Times New Roman" w:cs="Times New Roman" w:eastAsia="Times New Roman" w:hAnsi="Times New Roman"/>
                <w:sz w:val="13"/>
                <w:szCs w:val="13"/>
                <w:color w:val="auto"/>
              </w:rPr>
              <w:t>64,190 Common Stock Warrants</w:t>
            </w: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52</w:t>
            </w:r>
          </w:p>
        </w:tc>
        <w:tc>
          <w:tcPr>
            <w:tcW w:w="102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8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NinePoint Medical, Inc. (2)(12)</w:t>
            </w:r>
          </w:p>
        </w:tc>
        <w:tc>
          <w:tcPr>
            <w:tcW w:w="11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Medical Device</w:t>
            </w:r>
          </w:p>
        </w:tc>
        <w:tc>
          <w:tcPr>
            <w:tcW w:w="3120" w:type="dxa"/>
            <w:vAlign w:val="bottom"/>
            <w:gridSpan w:val="3"/>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29,102 Preferred Stock Warrants</w:t>
            </w:r>
          </w:p>
        </w:tc>
        <w:tc>
          <w:tcPr>
            <w:tcW w:w="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33</w:t>
            </w:r>
          </w:p>
        </w:tc>
        <w:tc>
          <w:tcPr>
            <w:tcW w:w="102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8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ReShape Lifesciences Inc. (5)(12)</w:t>
            </w:r>
          </w:p>
        </w:tc>
        <w:tc>
          <w:tcPr>
            <w:tcW w:w="11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Medical Device</w:t>
            </w:r>
          </w:p>
        </w:tc>
        <w:tc>
          <w:tcPr>
            <w:tcW w:w="3120" w:type="dxa"/>
            <w:vAlign w:val="bottom"/>
            <w:gridSpan w:val="3"/>
          </w:tcPr>
          <w:p>
            <w:pPr>
              <w:ind w:left="120"/>
              <w:spacing w:after="0" w:line="135" w:lineRule="exact"/>
              <w:rPr>
                <w:sz w:val="20"/>
                <w:szCs w:val="20"/>
                <w:color w:val="auto"/>
              </w:rPr>
            </w:pPr>
            <w:r>
              <w:rPr>
                <w:rFonts w:ascii="Times New Roman" w:cs="Times New Roman" w:eastAsia="Times New Roman" w:hAnsi="Times New Roman"/>
                <w:sz w:val="13"/>
                <w:szCs w:val="13"/>
                <w:color w:val="auto"/>
              </w:rPr>
              <w:t>121 Common Stock Warrants</w:t>
            </w: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341</w:t>
            </w:r>
          </w:p>
        </w:tc>
        <w:tc>
          <w:tcPr>
            <w:tcW w:w="102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8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Tryton Medical, Inc. (2)(12)</w:t>
            </w:r>
          </w:p>
        </w:tc>
        <w:tc>
          <w:tcPr>
            <w:tcW w:w="11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Medical Device</w:t>
            </w:r>
          </w:p>
        </w:tc>
        <w:tc>
          <w:tcPr>
            <w:tcW w:w="3120" w:type="dxa"/>
            <w:vAlign w:val="bottom"/>
            <w:gridSpan w:val="3"/>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122,362 Preferred Stock Warrants</w:t>
            </w:r>
          </w:p>
        </w:tc>
        <w:tc>
          <w:tcPr>
            <w:tcW w:w="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15</w:t>
            </w:r>
          </w:p>
        </w:tc>
        <w:tc>
          <w:tcPr>
            <w:tcW w:w="102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VERO Biotech LLC (2)(12)</w:t>
            </w:r>
          </w:p>
        </w:tc>
        <w:tc>
          <w:tcPr>
            <w:tcW w:w="1140" w:type="dxa"/>
            <w:vAlign w:val="bottom"/>
          </w:tcPr>
          <w:p>
            <w:pPr>
              <w:spacing w:after="0"/>
              <w:rPr>
                <w:sz w:val="20"/>
                <w:szCs w:val="20"/>
                <w:color w:val="auto"/>
              </w:rPr>
            </w:pPr>
            <w:r>
              <w:rPr>
                <w:rFonts w:ascii="Times New Roman" w:cs="Times New Roman" w:eastAsia="Times New Roman" w:hAnsi="Times New Roman"/>
                <w:sz w:val="13"/>
                <w:szCs w:val="13"/>
                <w:color w:val="auto"/>
              </w:rPr>
              <w:t>Medical Device</w:t>
            </w:r>
          </w:p>
        </w:tc>
        <w:tc>
          <w:tcPr>
            <w:tcW w:w="312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800 Common Stock Warrants</w:t>
            </w: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53</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331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880" w:type="dxa"/>
            <w:vAlign w:val="bottom"/>
            <w:tcBorders>
              <w:top w:val="single" w:sz="8" w:color="CCEEFF"/>
            </w:tcBorders>
            <w:gridSpan w:val="2"/>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Total Non-Affiliate Warrants — Life Science</w:t>
            </w:r>
          </w:p>
        </w:tc>
        <w:tc>
          <w:tcPr>
            <w:tcW w:w="1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8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9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9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2,002</w:t>
            </w:r>
          </w:p>
        </w:tc>
        <w:tc>
          <w:tcPr>
            <w:tcW w:w="200" w:type="dxa"/>
            <w:vAlign w:val="bottom"/>
            <w:tcBorders>
              <w:top w:val="single" w:sz="8" w:color="CCEEFF"/>
            </w:tcBorders>
            <w:shd w:val="clear" w:color="auto" w:fill="CCEEFF"/>
          </w:tcPr>
          <w:p>
            <w:pPr>
              <w:spacing w:after="0"/>
              <w:rPr>
                <w:sz w:val="11"/>
                <w:szCs w:val="11"/>
                <w:color w:val="auto"/>
              </w:rPr>
            </w:pPr>
          </w:p>
        </w:tc>
        <w:tc>
          <w:tcPr>
            <w:tcW w:w="9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1,909</w:t>
            </w: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880" w:type="dxa"/>
            <w:vAlign w:val="bottom"/>
            <w:gridSpan w:val="2"/>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Non-Affiliate Warrants — Technology — 4.8% (8)</w:t>
            </w: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8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Audacy Corporation (2)(12)</w:t>
            </w:r>
          </w:p>
        </w:tc>
        <w:tc>
          <w:tcPr>
            <w:tcW w:w="11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Communications</w:t>
            </w:r>
          </w:p>
        </w:tc>
        <w:tc>
          <w:tcPr>
            <w:tcW w:w="3120" w:type="dxa"/>
            <w:vAlign w:val="bottom"/>
            <w:gridSpan w:val="3"/>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1,545,575 Preferred Stock Warrants</w:t>
            </w:r>
          </w:p>
        </w:tc>
        <w:tc>
          <w:tcPr>
            <w:tcW w:w="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194</w:t>
            </w:r>
          </w:p>
        </w:tc>
        <w:tc>
          <w:tcPr>
            <w:tcW w:w="102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8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Intelepeer Holdings, Inc. (2)(12)</w:t>
            </w:r>
          </w:p>
        </w:tc>
        <w:tc>
          <w:tcPr>
            <w:tcW w:w="11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Communications</w:t>
            </w:r>
          </w:p>
        </w:tc>
        <w:tc>
          <w:tcPr>
            <w:tcW w:w="3120" w:type="dxa"/>
            <w:vAlign w:val="bottom"/>
            <w:gridSpan w:val="3"/>
          </w:tcPr>
          <w:p>
            <w:pPr>
              <w:ind w:left="120"/>
              <w:spacing w:after="0" w:line="135" w:lineRule="exact"/>
              <w:rPr>
                <w:sz w:val="20"/>
                <w:szCs w:val="20"/>
                <w:color w:val="auto"/>
              </w:rPr>
            </w:pPr>
            <w:r>
              <w:rPr>
                <w:rFonts w:ascii="Times New Roman" w:cs="Times New Roman" w:eastAsia="Times New Roman" w:hAnsi="Times New Roman"/>
                <w:sz w:val="13"/>
                <w:szCs w:val="13"/>
                <w:color w:val="auto"/>
              </w:rPr>
              <w:t>1,171,549 Preferred Stock Warrants</w:t>
            </w: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94</w:t>
            </w:r>
          </w:p>
        </w:tc>
        <w:tc>
          <w:tcPr>
            <w:tcW w:w="102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57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8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PebblePost, Inc. (2)(12)</w:t>
            </w:r>
          </w:p>
        </w:tc>
        <w:tc>
          <w:tcPr>
            <w:tcW w:w="11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Communications</w:t>
            </w:r>
          </w:p>
        </w:tc>
        <w:tc>
          <w:tcPr>
            <w:tcW w:w="3120" w:type="dxa"/>
            <w:vAlign w:val="bottom"/>
            <w:gridSpan w:val="3"/>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598,850 Preferred Stock Warrants</w:t>
            </w:r>
          </w:p>
        </w:tc>
        <w:tc>
          <w:tcPr>
            <w:tcW w:w="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92</w:t>
            </w:r>
          </w:p>
        </w:tc>
        <w:tc>
          <w:tcPr>
            <w:tcW w:w="102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158</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880" w:type="dxa"/>
            <w:vAlign w:val="bottom"/>
            <w:gridSpan w:val="2"/>
          </w:tcPr>
          <w:p>
            <w:pPr>
              <w:spacing w:after="0" w:line="117" w:lineRule="exact"/>
              <w:rPr>
                <w:sz w:val="20"/>
                <w:szCs w:val="20"/>
                <w:color w:val="auto"/>
              </w:rPr>
            </w:pPr>
            <w:r>
              <w:rPr>
                <w:rFonts w:ascii="Times New Roman" w:cs="Times New Roman" w:eastAsia="Times New Roman" w:hAnsi="Times New Roman"/>
                <w:sz w:val="13"/>
                <w:szCs w:val="13"/>
                <w:color w:val="auto"/>
              </w:rPr>
              <w:t>Food52, Inc. (2)(12)</w:t>
            </w:r>
          </w:p>
        </w:tc>
        <w:tc>
          <w:tcPr>
            <w:tcW w:w="114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Consumer-related</w:t>
            </w:r>
          </w:p>
        </w:tc>
        <w:tc>
          <w:tcPr>
            <w:tcW w:w="3120" w:type="dxa"/>
            <w:vAlign w:val="bottom"/>
            <w:gridSpan w:val="3"/>
          </w:tcPr>
          <w:p>
            <w:pPr>
              <w:ind w:left="120"/>
              <w:spacing w:after="0" w:line="117" w:lineRule="exact"/>
              <w:rPr>
                <w:sz w:val="20"/>
                <w:szCs w:val="20"/>
                <w:color w:val="auto"/>
              </w:rPr>
            </w:pPr>
            <w:r>
              <w:rPr>
                <w:rFonts w:ascii="Times New Roman" w:cs="Times New Roman" w:eastAsia="Times New Roman" w:hAnsi="Times New Roman"/>
                <w:sz w:val="13"/>
                <w:szCs w:val="13"/>
                <w:color w:val="auto"/>
              </w:rPr>
              <w:t>102,941 Preferred Stock Warrants</w:t>
            </w:r>
          </w:p>
        </w:tc>
        <w:tc>
          <w:tcPr>
            <w:tcW w:w="9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gridSpan w:val="2"/>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104</w:t>
            </w:r>
          </w:p>
        </w:tc>
        <w:tc>
          <w:tcPr>
            <w:tcW w:w="1020" w:type="dxa"/>
            <w:vAlign w:val="bottom"/>
            <w:gridSpan w:val="2"/>
          </w:tcPr>
          <w:p>
            <w:pPr>
              <w:jc w:val="right"/>
              <w:ind w:right="100"/>
              <w:spacing w:after="0" w:line="117" w:lineRule="exact"/>
              <w:rPr>
                <w:sz w:val="20"/>
                <w:szCs w:val="20"/>
                <w:color w:val="auto"/>
              </w:rPr>
            </w:pPr>
            <w:r>
              <w:rPr>
                <w:rFonts w:ascii="Times New Roman" w:cs="Times New Roman" w:eastAsia="Times New Roman" w:hAnsi="Times New Roman"/>
                <w:sz w:val="13"/>
                <w:szCs w:val="13"/>
                <w:color w:val="auto"/>
              </w:rPr>
              <w:t>104</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3"/>
                <w:szCs w:val="13"/>
                <w:color w:val="auto"/>
              </w:rPr>
              <w:t>Technologies</w:t>
            </w:r>
          </w:p>
        </w:tc>
        <w:tc>
          <w:tcPr>
            <w:tcW w:w="12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880" w:type="dxa"/>
            <w:vAlign w:val="bottom"/>
            <w:gridSpan w:val="2"/>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Gwynnie Bee, Inc. (2)(12)</w:t>
            </w:r>
          </w:p>
        </w:tc>
        <w:tc>
          <w:tcPr>
            <w:tcW w:w="114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Consumer-related</w:t>
            </w:r>
          </w:p>
        </w:tc>
        <w:tc>
          <w:tcPr>
            <w:tcW w:w="3120" w:type="dxa"/>
            <w:vAlign w:val="bottom"/>
            <w:gridSpan w:val="3"/>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268,591 Preferred Stock Warrants</w:t>
            </w:r>
          </w:p>
        </w:tc>
        <w:tc>
          <w:tcPr>
            <w:tcW w:w="9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120" w:type="dxa"/>
            <w:vAlign w:val="bottom"/>
            <w:gridSpan w:val="2"/>
            <w:shd w:val="clear" w:color="auto" w:fill="CCEEFF"/>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68</w:t>
            </w:r>
          </w:p>
        </w:tc>
        <w:tc>
          <w:tcPr>
            <w:tcW w:w="1020" w:type="dxa"/>
            <w:vAlign w:val="bottom"/>
            <w:gridSpan w:val="2"/>
            <w:shd w:val="clear" w:color="auto" w:fill="CCEEFF"/>
          </w:tcPr>
          <w:p>
            <w:pPr>
              <w:jc w:val="right"/>
              <w:ind w:right="100"/>
              <w:spacing w:after="0" w:line="117" w:lineRule="exact"/>
              <w:rPr>
                <w:sz w:val="20"/>
                <w:szCs w:val="20"/>
                <w:color w:val="auto"/>
              </w:rPr>
            </w:pPr>
            <w:r>
              <w:rPr>
                <w:rFonts w:ascii="Times New Roman" w:cs="Times New Roman" w:eastAsia="Times New Roman" w:hAnsi="Times New Roman"/>
                <w:sz w:val="13"/>
                <w:szCs w:val="13"/>
                <w:color w:val="auto"/>
              </w:rPr>
              <w:t>820</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Technologies</w:t>
            </w:r>
          </w:p>
        </w:tc>
        <w:tc>
          <w:tcPr>
            <w:tcW w:w="120" w:type="dxa"/>
            <w:vAlign w:val="bottom"/>
            <w:shd w:val="clear" w:color="auto" w:fill="CCEEFF"/>
          </w:tcPr>
          <w:p>
            <w:pPr>
              <w:spacing w:after="0"/>
              <w:rPr>
                <w:sz w:val="13"/>
                <w:szCs w:val="13"/>
                <w:color w:val="auto"/>
              </w:rPr>
            </w:pPr>
          </w:p>
        </w:tc>
        <w:tc>
          <w:tcPr>
            <w:tcW w:w="2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880" w:type="dxa"/>
            <w:vAlign w:val="bottom"/>
            <w:gridSpan w:val="2"/>
          </w:tcPr>
          <w:p>
            <w:pPr>
              <w:spacing w:after="0" w:line="117" w:lineRule="exact"/>
              <w:rPr>
                <w:sz w:val="20"/>
                <w:szCs w:val="20"/>
                <w:color w:val="auto"/>
              </w:rPr>
            </w:pPr>
            <w:r>
              <w:rPr>
                <w:rFonts w:ascii="Times New Roman" w:cs="Times New Roman" w:eastAsia="Times New Roman" w:hAnsi="Times New Roman"/>
                <w:sz w:val="13"/>
                <w:szCs w:val="13"/>
                <w:color w:val="auto"/>
              </w:rPr>
              <w:t>Le Tote, Inc. (2)(12)</w:t>
            </w:r>
          </w:p>
        </w:tc>
        <w:tc>
          <w:tcPr>
            <w:tcW w:w="114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Consumer-related</w:t>
            </w:r>
          </w:p>
        </w:tc>
        <w:tc>
          <w:tcPr>
            <w:tcW w:w="3120" w:type="dxa"/>
            <w:vAlign w:val="bottom"/>
            <w:gridSpan w:val="3"/>
          </w:tcPr>
          <w:p>
            <w:pPr>
              <w:ind w:left="120"/>
              <w:spacing w:after="0" w:line="117" w:lineRule="exact"/>
              <w:rPr>
                <w:sz w:val="20"/>
                <w:szCs w:val="20"/>
                <w:color w:val="auto"/>
              </w:rPr>
            </w:pPr>
            <w:r>
              <w:rPr>
                <w:rFonts w:ascii="Times New Roman" w:cs="Times New Roman" w:eastAsia="Times New Roman" w:hAnsi="Times New Roman"/>
                <w:sz w:val="13"/>
                <w:szCs w:val="13"/>
                <w:color w:val="auto"/>
              </w:rPr>
              <w:t>202,974 Preferred Stock Warrants</w:t>
            </w:r>
          </w:p>
        </w:tc>
        <w:tc>
          <w:tcPr>
            <w:tcW w:w="9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gridSpan w:val="2"/>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63</w:t>
            </w:r>
          </w:p>
        </w:tc>
        <w:tc>
          <w:tcPr>
            <w:tcW w:w="1020" w:type="dxa"/>
            <w:vAlign w:val="bottom"/>
            <w:gridSpan w:val="2"/>
          </w:tcPr>
          <w:p>
            <w:pPr>
              <w:jc w:val="right"/>
              <w:ind w:right="100"/>
              <w:spacing w:after="0" w:line="117" w:lineRule="exact"/>
              <w:rPr>
                <w:sz w:val="20"/>
                <w:szCs w:val="20"/>
                <w:color w:val="auto"/>
              </w:rPr>
            </w:pPr>
            <w:r>
              <w:rPr>
                <w:rFonts w:ascii="Times New Roman" w:cs="Times New Roman" w:eastAsia="Times New Roman" w:hAnsi="Times New Roman"/>
                <w:sz w:val="13"/>
                <w:szCs w:val="13"/>
                <w:color w:val="auto"/>
              </w:rPr>
              <w:t>368</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3"/>
                <w:szCs w:val="13"/>
                <w:color w:val="auto"/>
              </w:rPr>
              <w:t>Technologies</w:t>
            </w:r>
          </w:p>
        </w:tc>
        <w:tc>
          <w:tcPr>
            <w:tcW w:w="12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880" w:type="dxa"/>
            <w:vAlign w:val="bottom"/>
            <w:gridSpan w:val="2"/>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Mohawk Group Holdings, Inc. (2)(12)</w:t>
            </w:r>
          </w:p>
        </w:tc>
        <w:tc>
          <w:tcPr>
            <w:tcW w:w="114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Consumer-related</w:t>
            </w:r>
          </w:p>
        </w:tc>
        <w:tc>
          <w:tcPr>
            <w:tcW w:w="3120" w:type="dxa"/>
            <w:vAlign w:val="bottom"/>
            <w:gridSpan w:val="3"/>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300,000 Common Stock Warrants</w:t>
            </w:r>
          </w:p>
        </w:tc>
        <w:tc>
          <w:tcPr>
            <w:tcW w:w="9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120" w:type="dxa"/>
            <w:vAlign w:val="bottom"/>
            <w:gridSpan w:val="2"/>
            <w:shd w:val="clear" w:color="auto" w:fill="CCEEFF"/>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195</w:t>
            </w:r>
          </w:p>
        </w:tc>
        <w:tc>
          <w:tcPr>
            <w:tcW w:w="1020" w:type="dxa"/>
            <w:vAlign w:val="bottom"/>
            <w:gridSpan w:val="2"/>
            <w:shd w:val="clear" w:color="auto" w:fill="CCEEFF"/>
          </w:tcPr>
          <w:p>
            <w:pPr>
              <w:jc w:val="right"/>
              <w:ind w:right="100"/>
              <w:spacing w:after="0" w:line="117" w:lineRule="exact"/>
              <w:rPr>
                <w:sz w:val="20"/>
                <w:szCs w:val="20"/>
                <w:color w:val="auto"/>
              </w:rPr>
            </w:pPr>
            <w:r>
              <w:rPr>
                <w:rFonts w:ascii="Times New Roman" w:cs="Times New Roman" w:eastAsia="Times New Roman" w:hAnsi="Times New Roman"/>
                <w:sz w:val="13"/>
                <w:szCs w:val="13"/>
                <w:color w:val="auto"/>
              </w:rPr>
              <w:t>195</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Technologies</w:t>
            </w:r>
          </w:p>
        </w:tc>
        <w:tc>
          <w:tcPr>
            <w:tcW w:w="120" w:type="dxa"/>
            <w:vAlign w:val="bottom"/>
            <w:shd w:val="clear" w:color="auto" w:fill="CCEEFF"/>
          </w:tcPr>
          <w:p>
            <w:pPr>
              <w:spacing w:after="0"/>
              <w:rPr>
                <w:sz w:val="13"/>
                <w:szCs w:val="13"/>
                <w:color w:val="auto"/>
              </w:rPr>
            </w:pPr>
          </w:p>
        </w:tc>
        <w:tc>
          <w:tcPr>
            <w:tcW w:w="2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880" w:type="dxa"/>
            <w:vAlign w:val="bottom"/>
            <w:gridSpan w:val="2"/>
          </w:tcPr>
          <w:p>
            <w:pPr>
              <w:spacing w:after="0" w:line="117" w:lineRule="exact"/>
              <w:rPr>
                <w:sz w:val="20"/>
                <w:szCs w:val="20"/>
                <w:color w:val="auto"/>
              </w:rPr>
            </w:pPr>
            <w:r>
              <w:rPr>
                <w:rFonts w:ascii="Times New Roman" w:cs="Times New Roman" w:eastAsia="Times New Roman" w:hAnsi="Times New Roman"/>
                <w:sz w:val="13"/>
                <w:szCs w:val="13"/>
                <w:color w:val="auto"/>
              </w:rPr>
              <w:t>Rhapsody International Inc. (2)(12)</w:t>
            </w:r>
          </w:p>
        </w:tc>
        <w:tc>
          <w:tcPr>
            <w:tcW w:w="114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Consumer-related</w:t>
            </w:r>
          </w:p>
        </w:tc>
        <w:tc>
          <w:tcPr>
            <w:tcW w:w="3120" w:type="dxa"/>
            <w:vAlign w:val="bottom"/>
            <w:gridSpan w:val="3"/>
          </w:tcPr>
          <w:p>
            <w:pPr>
              <w:ind w:left="120"/>
              <w:spacing w:after="0" w:line="117" w:lineRule="exact"/>
              <w:rPr>
                <w:sz w:val="20"/>
                <w:szCs w:val="20"/>
                <w:color w:val="auto"/>
              </w:rPr>
            </w:pPr>
            <w:r>
              <w:rPr>
                <w:rFonts w:ascii="Times New Roman" w:cs="Times New Roman" w:eastAsia="Times New Roman" w:hAnsi="Times New Roman"/>
                <w:sz w:val="13"/>
                <w:szCs w:val="13"/>
                <w:color w:val="auto"/>
              </w:rPr>
              <w:t>852,273 Common Stock Warrants</w:t>
            </w:r>
          </w:p>
        </w:tc>
        <w:tc>
          <w:tcPr>
            <w:tcW w:w="9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gridSpan w:val="2"/>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164</w:t>
            </w:r>
          </w:p>
        </w:tc>
        <w:tc>
          <w:tcPr>
            <w:tcW w:w="1020" w:type="dxa"/>
            <w:vAlign w:val="bottom"/>
            <w:gridSpan w:val="2"/>
          </w:tcPr>
          <w:p>
            <w:pPr>
              <w:jc w:val="right"/>
              <w:ind w:right="100"/>
              <w:spacing w:after="0" w:line="117"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3"/>
                <w:szCs w:val="13"/>
                <w:color w:val="auto"/>
              </w:rPr>
              <w:t>Technologies</w:t>
            </w:r>
          </w:p>
        </w:tc>
        <w:tc>
          <w:tcPr>
            <w:tcW w:w="12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8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Kaminario, Inc. (2)(12)</w:t>
            </w:r>
          </w:p>
        </w:tc>
        <w:tc>
          <w:tcPr>
            <w:tcW w:w="11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Data Storage</w:t>
            </w:r>
          </w:p>
        </w:tc>
        <w:tc>
          <w:tcPr>
            <w:tcW w:w="3120" w:type="dxa"/>
            <w:vAlign w:val="bottom"/>
            <w:gridSpan w:val="3"/>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9,981,346 Preferred Stock Warrants</w:t>
            </w:r>
          </w:p>
        </w:tc>
        <w:tc>
          <w:tcPr>
            <w:tcW w:w="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124</w:t>
            </w:r>
          </w:p>
        </w:tc>
        <w:tc>
          <w:tcPr>
            <w:tcW w:w="102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161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8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IgnitionOne, Inc. (2)(12)</w:t>
            </w:r>
          </w:p>
        </w:tc>
        <w:tc>
          <w:tcPr>
            <w:tcW w:w="11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Internet and Media</w:t>
            </w:r>
          </w:p>
        </w:tc>
        <w:tc>
          <w:tcPr>
            <w:tcW w:w="3120" w:type="dxa"/>
            <w:vAlign w:val="bottom"/>
            <w:gridSpan w:val="3"/>
          </w:tcPr>
          <w:p>
            <w:pPr>
              <w:ind w:left="120"/>
              <w:spacing w:after="0" w:line="135" w:lineRule="exact"/>
              <w:rPr>
                <w:sz w:val="20"/>
                <w:szCs w:val="20"/>
                <w:color w:val="auto"/>
              </w:rPr>
            </w:pPr>
            <w:r>
              <w:rPr>
                <w:rFonts w:ascii="Times New Roman" w:cs="Times New Roman" w:eastAsia="Times New Roman" w:hAnsi="Times New Roman"/>
                <w:sz w:val="13"/>
                <w:szCs w:val="13"/>
                <w:color w:val="auto"/>
              </w:rPr>
              <w:t>262,910 Preferred Stock Warrants</w:t>
            </w: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672</w:t>
            </w:r>
          </w:p>
        </w:tc>
        <w:tc>
          <w:tcPr>
            <w:tcW w:w="102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665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8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Jump Ramp Games, Inc. (2)(12)</w:t>
            </w:r>
          </w:p>
        </w:tc>
        <w:tc>
          <w:tcPr>
            <w:tcW w:w="11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Internet and Media</w:t>
            </w:r>
          </w:p>
        </w:tc>
        <w:tc>
          <w:tcPr>
            <w:tcW w:w="3120" w:type="dxa"/>
            <w:vAlign w:val="bottom"/>
            <w:gridSpan w:val="3"/>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159,766 Preferred Stock Warrants</w:t>
            </w:r>
          </w:p>
        </w:tc>
        <w:tc>
          <w:tcPr>
            <w:tcW w:w="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32</w:t>
            </w:r>
          </w:p>
        </w:tc>
        <w:tc>
          <w:tcPr>
            <w:tcW w:w="102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8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Kixeye, Inc. (2)(12)</w:t>
            </w:r>
          </w:p>
        </w:tc>
        <w:tc>
          <w:tcPr>
            <w:tcW w:w="11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Internet and Media</w:t>
            </w:r>
          </w:p>
        </w:tc>
        <w:tc>
          <w:tcPr>
            <w:tcW w:w="3120" w:type="dxa"/>
            <w:vAlign w:val="bottom"/>
            <w:gridSpan w:val="3"/>
          </w:tcPr>
          <w:p>
            <w:pPr>
              <w:ind w:left="120"/>
              <w:spacing w:after="0" w:line="135" w:lineRule="exact"/>
              <w:rPr>
                <w:sz w:val="20"/>
                <w:szCs w:val="20"/>
                <w:color w:val="auto"/>
              </w:rPr>
            </w:pPr>
            <w:r>
              <w:rPr>
                <w:rFonts w:ascii="Times New Roman" w:cs="Times New Roman" w:eastAsia="Times New Roman" w:hAnsi="Times New Roman"/>
                <w:sz w:val="13"/>
                <w:szCs w:val="13"/>
                <w:color w:val="auto"/>
              </w:rPr>
              <w:t>791,251 Preferred Stock Warrants</w:t>
            </w: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75</w:t>
            </w:r>
          </w:p>
        </w:tc>
        <w:tc>
          <w:tcPr>
            <w:tcW w:w="102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61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8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Rocket Lawyer Incorporated (2)(12)</w:t>
            </w:r>
          </w:p>
        </w:tc>
        <w:tc>
          <w:tcPr>
            <w:tcW w:w="11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Internet and Media</w:t>
            </w:r>
          </w:p>
        </w:tc>
        <w:tc>
          <w:tcPr>
            <w:tcW w:w="3120" w:type="dxa"/>
            <w:vAlign w:val="bottom"/>
            <w:gridSpan w:val="3"/>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261,721 Preferred Stock Warrants</w:t>
            </w:r>
          </w:p>
        </w:tc>
        <w:tc>
          <w:tcPr>
            <w:tcW w:w="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92</w:t>
            </w:r>
          </w:p>
        </w:tc>
        <w:tc>
          <w:tcPr>
            <w:tcW w:w="102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76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8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Verve Wireless, Inc. (2)(12)</w:t>
            </w:r>
          </w:p>
        </w:tc>
        <w:tc>
          <w:tcPr>
            <w:tcW w:w="11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Internet and Media</w:t>
            </w:r>
          </w:p>
        </w:tc>
        <w:tc>
          <w:tcPr>
            <w:tcW w:w="3120" w:type="dxa"/>
            <w:vAlign w:val="bottom"/>
            <w:gridSpan w:val="3"/>
          </w:tcPr>
          <w:p>
            <w:pPr>
              <w:ind w:left="120"/>
              <w:spacing w:after="0" w:line="135" w:lineRule="exact"/>
              <w:rPr>
                <w:sz w:val="20"/>
                <w:szCs w:val="20"/>
                <w:color w:val="auto"/>
              </w:rPr>
            </w:pPr>
            <w:r>
              <w:rPr>
                <w:rFonts w:ascii="Times New Roman" w:cs="Times New Roman" w:eastAsia="Times New Roman" w:hAnsi="Times New Roman"/>
                <w:sz w:val="13"/>
                <w:szCs w:val="13"/>
                <w:color w:val="auto"/>
              </w:rPr>
              <w:t>112,805 Common Stock Warrants</w:t>
            </w: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120</w:t>
            </w:r>
          </w:p>
        </w:tc>
        <w:tc>
          <w:tcPr>
            <w:tcW w:w="102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120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8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The NanoSteel Company, Inc. (2)(12)</w:t>
            </w:r>
          </w:p>
        </w:tc>
        <w:tc>
          <w:tcPr>
            <w:tcW w:w="11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Materials</w:t>
            </w:r>
          </w:p>
        </w:tc>
        <w:tc>
          <w:tcPr>
            <w:tcW w:w="3120" w:type="dxa"/>
            <w:vAlign w:val="bottom"/>
            <w:gridSpan w:val="3"/>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467,277 Preferred Stock Warrants</w:t>
            </w:r>
          </w:p>
        </w:tc>
        <w:tc>
          <w:tcPr>
            <w:tcW w:w="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233</w:t>
            </w:r>
          </w:p>
        </w:tc>
        <w:tc>
          <w:tcPr>
            <w:tcW w:w="102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567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8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Powerhouse Dynamics, Inc. (2)(12)</w:t>
            </w:r>
          </w:p>
        </w:tc>
        <w:tc>
          <w:tcPr>
            <w:tcW w:w="11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Power Management</w:t>
            </w:r>
          </w:p>
        </w:tc>
        <w:tc>
          <w:tcPr>
            <w:tcW w:w="3120" w:type="dxa"/>
            <w:vAlign w:val="bottom"/>
            <w:gridSpan w:val="3"/>
          </w:tcPr>
          <w:p>
            <w:pPr>
              <w:ind w:left="120"/>
              <w:spacing w:after="0" w:line="135" w:lineRule="exact"/>
              <w:rPr>
                <w:sz w:val="20"/>
                <w:szCs w:val="20"/>
                <w:color w:val="auto"/>
              </w:rPr>
            </w:pPr>
            <w:r>
              <w:rPr>
                <w:rFonts w:ascii="Times New Roman" w:cs="Times New Roman" w:eastAsia="Times New Roman" w:hAnsi="Times New Roman"/>
                <w:sz w:val="13"/>
                <w:szCs w:val="13"/>
                <w:color w:val="auto"/>
              </w:rPr>
              <w:t>348,838 Preferred Stock Warrants</w:t>
            </w: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33</w:t>
            </w:r>
          </w:p>
        </w:tc>
        <w:tc>
          <w:tcPr>
            <w:tcW w:w="102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8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Avalanche Technology, Inc. (2)(12)</w:t>
            </w:r>
          </w:p>
        </w:tc>
        <w:tc>
          <w:tcPr>
            <w:tcW w:w="11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Semiconductors</w:t>
            </w:r>
          </w:p>
        </w:tc>
        <w:tc>
          <w:tcPr>
            <w:tcW w:w="3120" w:type="dxa"/>
            <w:vAlign w:val="bottom"/>
            <w:gridSpan w:val="3"/>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202,602 Preferred Stock Warrants</w:t>
            </w:r>
          </w:p>
        </w:tc>
        <w:tc>
          <w:tcPr>
            <w:tcW w:w="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101</w:t>
            </w:r>
          </w:p>
        </w:tc>
        <w:tc>
          <w:tcPr>
            <w:tcW w:w="102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53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8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Luxtera, Inc. (2)(12)</w:t>
            </w:r>
          </w:p>
        </w:tc>
        <w:tc>
          <w:tcPr>
            <w:tcW w:w="11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Semiconductors</w:t>
            </w:r>
          </w:p>
        </w:tc>
        <w:tc>
          <w:tcPr>
            <w:tcW w:w="3120" w:type="dxa"/>
            <w:vAlign w:val="bottom"/>
            <w:gridSpan w:val="3"/>
          </w:tcPr>
          <w:p>
            <w:pPr>
              <w:ind w:left="120"/>
              <w:spacing w:after="0" w:line="135" w:lineRule="exact"/>
              <w:rPr>
                <w:sz w:val="20"/>
                <w:szCs w:val="20"/>
                <w:color w:val="auto"/>
              </w:rPr>
            </w:pPr>
            <w:r>
              <w:rPr>
                <w:rFonts w:ascii="Times New Roman" w:cs="Times New Roman" w:eastAsia="Times New Roman" w:hAnsi="Times New Roman"/>
                <w:sz w:val="13"/>
                <w:szCs w:val="13"/>
                <w:color w:val="auto"/>
              </w:rPr>
              <w:t>3,546,553 Preferred Stock Warrants</w:t>
            </w: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213</w:t>
            </w:r>
          </w:p>
        </w:tc>
        <w:tc>
          <w:tcPr>
            <w:tcW w:w="102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744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8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Soraa, Inc. (2)(12)</w:t>
            </w:r>
          </w:p>
        </w:tc>
        <w:tc>
          <w:tcPr>
            <w:tcW w:w="11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Semiconductors</w:t>
            </w:r>
          </w:p>
        </w:tc>
        <w:tc>
          <w:tcPr>
            <w:tcW w:w="3120" w:type="dxa"/>
            <w:vAlign w:val="bottom"/>
            <w:gridSpan w:val="3"/>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203,616 Preferred Stock Warrants</w:t>
            </w:r>
          </w:p>
        </w:tc>
        <w:tc>
          <w:tcPr>
            <w:tcW w:w="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80</w:t>
            </w:r>
          </w:p>
        </w:tc>
        <w:tc>
          <w:tcPr>
            <w:tcW w:w="102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426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8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Bolt Solutions Inc. (2)(12)</w:t>
            </w:r>
          </w:p>
        </w:tc>
        <w:tc>
          <w:tcPr>
            <w:tcW w:w="11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Software</w:t>
            </w:r>
          </w:p>
        </w:tc>
        <w:tc>
          <w:tcPr>
            <w:tcW w:w="3120" w:type="dxa"/>
            <w:vAlign w:val="bottom"/>
            <w:gridSpan w:val="3"/>
          </w:tcPr>
          <w:p>
            <w:pPr>
              <w:ind w:left="120"/>
              <w:spacing w:after="0" w:line="135" w:lineRule="exact"/>
              <w:rPr>
                <w:sz w:val="20"/>
                <w:szCs w:val="20"/>
                <w:color w:val="auto"/>
              </w:rPr>
            </w:pPr>
            <w:r>
              <w:rPr>
                <w:rFonts w:ascii="Times New Roman" w:cs="Times New Roman" w:eastAsia="Times New Roman" w:hAnsi="Times New Roman"/>
                <w:sz w:val="13"/>
                <w:szCs w:val="13"/>
                <w:color w:val="auto"/>
              </w:rPr>
              <w:t>202,892 Preferred Stock Warrants</w:t>
            </w: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113</w:t>
            </w:r>
          </w:p>
        </w:tc>
        <w:tc>
          <w:tcPr>
            <w:tcW w:w="102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8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Bridge2 Solutions, Inc. (2)(12)</w:t>
            </w:r>
          </w:p>
        </w:tc>
        <w:tc>
          <w:tcPr>
            <w:tcW w:w="11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Software</w:t>
            </w:r>
          </w:p>
        </w:tc>
        <w:tc>
          <w:tcPr>
            <w:tcW w:w="3120" w:type="dxa"/>
            <w:vAlign w:val="bottom"/>
            <w:gridSpan w:val="3"/>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125,458 Common Stock Warrants</w:t>
            </w:r>
          </w:p>
        </w:tc>
        <w:tc>
          <w:tcPr>
            <w:tcW w:w="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432</w:t>
            </w:r>
          </w:p>
        </w:tc>
        <w:tc>
          <w:tcPr>
            <w:tcW w:w="102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756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8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BSI Platform Holdings, LLC (2)(12)(13)</w:t>
            </w:r>
          </w:p>
        </w:tc>
        <w:tc>
          <w:tcPr>
            <w:tcW w:w="11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Software</w:t>
            </w:r>
          </w:p>
        </w:tc>
        <w:tc>
          <w:tcPr>
            <w:tcW w:w="3120" w:type="dxa"/>
            <w:vAlign w:val="bottom"/>
            <w:gridSpan w:val="3"/>
          </w:tcPr>
          <w:p>
            <w:pPr>
              <w:ind w:left="120"/>
              <w:spacing w:after="0" w:line="135" w:lineRule="exact"/>
              <w:rPr>
                <w:sz w:val="20"/>
                <w:szCs w:val="20"/>
                <w:color w:val="auto"/>
              </w:rPr>
            </w:pPr>
            <w:r>
              <w:rPr>
                <w:rFonts w:ascii="Times New Roman" w:cs="Times New Roman" w:eastAsia="Times New Roman" w:hAnsi="Times New Roman"/>
                <w:sz w:val="13"/>
                <w:szCs w:val="13"/>
                <w:color w:val="auto"/>
              </w:rPr>
              <w:t>137,500 Preferred Stock Warrants</w:t>
            </w: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19</w:t>
            </w:r>
          </w:p>
        </w:tc>
        <w:tc>
          <w:tcPr>
            <w:tcW w:w="102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8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Clarabridge, Inc. (12)</w:t>
            </w:r>
          </w:p>
        </w:tc>
        <w:tc>
          <w:tcPr>
            <w:tcW w:w="11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Software</w:t>
            </w:r>
          </w:p>
        </w:tc>
        <w:tc>
          <w:tcPr>
            <w:tcW w:w="3120" w:type="dxa"/>
            <w:vAlign w:val="bottom"/>
            <w:gridSpan w:val="3"/>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53,486 Preferred Stock Warrants</w:t>
            </w:r>
          </w:p>
        </w:tc>
        <w:tc>
          <w:tcPr>
            <w:tcW w:w="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14</w:t>
            </w:r>
          </w:p>
        </w:tc>
        <w:tc>
          <w:tcPr>
            <w:tcW w:w="102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106</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Education Elements, Inc. (2)(12)</w:t>
            </w:r>
          </w:p>
        </w:tc>
        <w:tc>
          <w:tcPr>
            <w:tcW w:w="1140" w:type="dxa"/>
            <w:vAlign w:val="bottom"/>
          </w:tcPr>
          <w:p>
            <w:pPr>
              <w:spacing w:after="0"/>
              <w:rPr>
                <w:sz w:val="20"/>
                <w:szCs w:val="20"/>
                <w:color w:val="auto"/>
              </w:rPr>
            </w:pPr>
            <w:r>
              <w:rPr>
                <w:rFonts w:ascii="Times New Roman" w:cs="Times New Roman" w:eastAsia="Times New Roman" w:hAnsi="Times New Roman"/>
                <w:sz w:val="13"/>
                <w:szCs w:val="13"/>
                <w:color w:val="auto"/>
              </w:rPr>
              <w:t>Software</w:t>
            </w:r>
          </w:p>
        </w:tc>
        <w:tc>
          <w:tcPr>
            <w:tcW w:w="312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238,121 Preferred Stock Warrants</w:t>
            </w: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28</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23</w:t>
            </w:r>
          </w:p>
        </w:tc>
        <w:tc>
          <w:tcPr>
            <w:tcW w:w="0" w:type="dxa"/>
            <w:vAlign w:val="bottom"/>
          </w:tcPr>
          <w:p>
            <w:pPr>
              <w:spacing w:after="0"/>
              <w:rPr>
                <w:sz w:val="1"/>
                <w:szCs w:val="1"/>
                <w:color w:val="auto"/>
              </w:rPr>
            </w:pPr>
          </w:p>
        </w:tc>
      </w:tr>
    </w:tbl>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Schedule of Investments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7"/>
              </w:rPr>
              <w:t>Principal</w:t>
            </w:r>
          </w:p>
        </w:tc>
        <w:tc>
          <w:tcPr>
            <w:tcW w:w="160" w:type="dxa"/>
            <w:vAlign w:val="bottom"/>
          </w:tcPr>
          <w:p>
            <w:pPr>
              <w:spacing w:after="0"/>
              <w:rPr>
                <w:sz w:val="12"/>
                <w:szCs w:val="12"/>
                <w:color w:val="auto"/>
              </w:rPr>
            </w:pPr>
          </w:p>
        </w:tc>
        <w:tc>
          <w:tcPr>
            <w:tcW w:w="86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6"/>
              </w:rPr>
              <w:t>Cost of</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Fair</w:t>
            </w:r>
          </w:p>
        </w:tc>
        <w:tc>
          <w:tcPr>
            <w:tcW w:w="0" w:type="dxa"/>
            <w:vAlign w:val="bottom"/>
          </w:tcPr>
          <w:p>
            <w:pPr>
              <w:spacing w:after="0"/>
              <w:rPr>
                <w:sz w:val="1"/>
                <w:szCs w:val="1"/>
                <w:color w:val="auto"/>
              </w:rPr>
            </w:pPr>
          </w:p>
        </w:tc>
      </w:tr>
      <w:tr>
        <w:trPr>
          <w:trHeight w:val="155"/>
        </w:trPr>
        <w:tc>
          <w:tcPr>
            <w:tcW w:w="390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Portfolio Company (1)(3)</w:t>
            </w:r>
          </w:p>
        </w:tc>
        <w:tc>
          <w:tcPr>
            <w:tcW w:w="1140" w:type="dxa"/>
            <w:vAlign w:val="bottom"/>
          </w:tcPr>
          <w:p>
            <w:pPr>
              <w:ind w:left="400"/>
              <w:spacing w:after="0"/>
              <w:rPr>
                <w:sz w:val="20"/>
                <w:szCs w:val="20"/>
                <w:color w:val="auto"/>
              </w:rPr>
            </w:pPr>
            <w:r>
              <w:rPr>
                <w:rFonts w:ascii="Times New Roman" w:cs="Times New Roman" w:eastAsia="Times New Roman" w:hAnsi="Times New Roman"/>
                <w:sz w:val="13"/>
                <w:szCs w:val="13"/>
                <w:b w:val="1"/>
                <w:bCs w:val="1"/>
                <w:color w:val="auto"/>
              </w:rPr>
              <w:t>Sector</w:t>
            </w:r>
          </w:p>
        </w:tc>
        <w:tc>
          <w:tcPr>
            <w:tcW w:w="120" w:type="dxa"/>
            <w:vAlign w:val="bottom"/>
          </w:tcPr>
          <w:p>
            <w:pPr>
              <w:spacing w:after="0"/>
              <w:rPr>
                <w:sz w:val="13"/>
                <w:szCs w:val="13"/>
                <w:color w:val="auto"/>
              </w:rPr>
            </w:pPr>
          </w:p>
        </w:tc>
        <w:tc>
          <w:tcPr>
            <w:tcW w:w="2880" w:type="dxa"/>
            <w:vAlign w:val="bottom"/>
          </w:tcPr>
          <w:p>
            <w:pPr>
              <w:ind w:left="580"/>
              <w:spacing w:after="0"/>
              <w:rPr>
                <w:sz w:val="20"/>
                <w:szCs w:val="20"/>
                <w:color w:val="auto"/>
              </w:rPr>
            </w:pPr>
            <w:r>
              <w:rPr>
                <w:rFonts w:ascii="Times New Roman" w:cs="Times New Roman" w:eastAsia="Times New Roman" w:hAnsi="Times New Roman"/>
                <w:sz w:val="13"/>
                <w:szCs w:val="13"/>
                <w:b w:val="1"/>
                <w:bCs w:val="1"/>
                <w:color w:val="auto"/>
              </w:rPr>
              <w:t>Type of Investment (4)(7)(9)(10)</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102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Investments (6)</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8"/>
              </w:rPr>
              <w:t>Value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76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Lotame Solutions, Inc. (2)(12)</w:t>
            </w:r>
          </w:p>
        </w:tc>
        <w:tc>
          <w:tcPr>
            <w:tcW w:w="120" w:type="dxa"/>
            <w:vAlign w:val="bottom"/>
            <w:tcBorders>
              <w:top w:val="single" w:sz="8" w:color="CCEEFF"/>
            </w:tcBorders>
            <w:shd w:val="clear" w:color="auto" w:fill="CCEEFF"/>
          </w:tcPr>
          <w:p>
            <w:pPr>
              <w:spacing w:after="0"/>
              <w:rPr>
                <w:sz w:val="11"/>
                <w:szCs w:val="11"/>
                <w:color w:val="auto"/>
              </w:rPr>
            </w:pPr>
          </w:p>
        </w:tc>
        <w:tc>
          <w:tcPr>
            <w:tcW w:w="114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Software</w:t>
            </w:r>
          </w:p>
        </w:tc>
        <w:tc>
          <w:tcPr>
            <w:tcW w:w="120" w:type="dxa"/>
            <w:vAlign w:val="bottom"/>
            <w:tcBorders>
              <w:top w:val="single" w:sz="8" w:color="CCEEFF"/>
            </w:tcBorders>
            <w:shd w:val="clear" w:color="auto" w:fill="CCEEFF"/>
          </w:tcPr>
          <w:p>
            <w:pPr>
              <w:spacing w:after="0"/>
              <w:rPr>
                <w:sz w:val="11"/>
                <w:szCs w:val="11"/>
                <w:color w:val="auto"/>
              </w:rPr>
            </w:pPr>
          </w:p>
        </w:tc>
        <w:tc>
          <w:tcPr>
            <w:tcW w:w="288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288,115 Preferred Stock Warrants</w:t>
            </w: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22</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286</w:t>
            </w: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8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Metricly, Inc. (12)</w:t>
            </w:r>
          </w:p>
        </w:tc>
        <w:tc>
          <w:tcPr>
            <w:tcW w:w="11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Software</w:t>
            </w:r>
          </w:p>
        </w:tc>
        <w:tc>
          <w:tcPr>
            <w:tcW w:w="300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41,569 Common Stock Warrants</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48</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8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Riv Data Corp. (2)(12)</w:t>
            </w:r>
          </w:p>
        </w:tc>
        <w:tc>
          <w:tcPr>
            <w:tcW w:w="11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Software</w:t>
            </w:r>
          </w:p>
        </w:tc>
        <w:tc>
          <w:tcPr>
            <w:tcW w:w="300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321,428 Preferred Stock Warrants</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12</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36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8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ShopKeep.com, Inc. (2)(12)</w:t>
            </w:r>
          </w:p>
        </w:tc>
        <w:tc>
          <w:tcPr>
            <w:tcW w:w="11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Software</w:t>
            </w:r>
          </w:p>
        </w:tc>
        <w:tc>
          <w:tcPr>
            <w:tcW w:w="300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193,962 Preferred Stock Warrants</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118</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114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8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SIGNiX, Inc. (12)</w:t>
            </w:r>
          </w:p>
        </w:tc>
        <w:tc>
          <w:tcPr>
            <w:tcW w:w="11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Software</w:t>
            </w:r>
          </w:p>
        </w:tc>
        <w:tc>
          <w:tcPr>
            <w:tcW w:w="300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133,560 Preferred Stock Warrants</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225</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35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8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Skyword, Inc. (12)</w:t>
            </w:r>
          </w:p>
        </w:tc>
        <w:tc>
          <w:tcPr>
            <w:tcW w:w="11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Software</w:t>
            </w:r>
          </w:p>
        </w:tc>
        <w:tc>
          <w:tcPr>
            <w:tcW w:w="300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301,056 Preferred Stock Warrants</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48</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8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Sys-Tech Solutions, Inc. (2)(12)</w:t>
            </w:r>
          </w:p>
        </w:tc>
        <w:tc>
          <w:tcPr>
            <w:tcW w:w="11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Software</w:t>
            </w:r>
          </w:p>
        </w:tc>
        <w:tc>
          <w:tcPr>
            <w:tcW w:w="300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375,000 Preferred Stock Warrants</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242</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429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8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Weblinc Corporation (2)(12)</w:t>
            </w:r>
          </w:p>
        </w:tc>
        <w:tc>
          <w:tcPr>
            <w:tcW w:w="11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Software</w:t>
            </w:r>
          </w:p>
        </w:tc>
        <w:tc>
          <w:tcPr>
            <w:tcW w:w="300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195,122 Preferred Stock Warrants</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42</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xAd, Inc. (2)(12)</w:t>
            </w:r>
          </w:p>
        </w:tc>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Software</w:t>
            </w:r>
          </w:p>
        </w:tc>
        <w:tc>
          <w:tcPr>
            <w:tcW w:w="30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4,343,350 Preferred Stock Warrants</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177</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251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880" w:type="dxa"/>
            <w:vAlign w:val="bottom"/>
            <w:tcBorders>
              <w:bottom w:val="single" w:sz="8" w:color="CCEEFF"/>
            </w:tcBorders>
            <w:gridSpan w:val="2"/>
          </w:tcPr>
          <w:p>
            <w:pPr>
              <w:spacing w:after="0" w:line="129" w:lineRule="exact"/>
              <w:rPr>
                <w:sz w:val="20"/>
                <w:szCs w:val="20"/>
                <w:color w:val="auto"/>
              </w:rPr>
            </w:pPr>
            <w:r>
              <w:rPr>
                <w:rFonts w:ascii="Times New Roman" w:cs="Times New Roman" w:eastAsia="Times New Roman" w:hAnsi="Times New Roman"/>
                <w:sz w:val="13"/>
                <w:szCs w:val="13"/>
                <w:color w:val="auto"/>
              </w:rPr>
              <w:t>Total Non-Affiliate Warrants — Technology</w:t>
            </w:r>
          </w:p>
        </w:tc>
        <w:tc>
          <w:tcPr>
            <w:tcW w:w="114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288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800" w:type="dxa"/>
            <w:vAlign w:val="bottom"/>
            <w:tcBorders>
              <w:bottom w:val="single" w:sz="8" w:color="CCEEFF"/>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7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4,289</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6,634</w:t>
            </w: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880" w:type="dxa"/>
            <w:vAlign w:val="bottom"/>
            <w:gridSpan w:val="2"/>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Non-Affiliate Warrants — Sustainability — 0.1% (8)</w:t>
            </w: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8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Renmatix, Inc. (2)(12)</w:t>
            </w:r>
          </w:p>
        </w:tc>
        <w:tc>
          <w:tcPr>
            <w:tcW w:w="11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Alternative Energy</w:t>
            </w:r>
          </w:p>
        </w:tc>
        <w:tc>
          <w:tcPr>
            <w:tcW w:w="300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53,022 Preferred Stock Warrants</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68</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Tigo Energy, Inc. (2)(12)</w:t>
            </w:r>
          </w:p>
        </w:tc>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Energy Efficiency</w:t>
            </w:r>
          </w:p>
        </w:tc>
        <w:tc>
          <w:tcPr>
            <w:tcW w:w="30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804,604 Preferred Stock Warrants</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100</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112</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880" w:type="dxa"/>
            <w:vAlign w:val="bottom"/>
            <w:tcBorders>
              <w:bottom w:val="single" w:sz="8" w:color="CCEEFF"/>
            </w:tcBorders>
            <w:gridSpan w:val="2"/>
          </w:tcPr>
          <w:p>
            <w:pPr>
              <w:spacing w:after="0" w:line="129" w:lineRule="exact"/>
              <w:rPr>
                <w:sz w:val="20"/>
                <w:szCs w:val="20"/>
                <w:color w:val="auto"/>
              </w:rPr>
            </w:pPr>
            <w:r>
              <w:rPr>
                <w:rFonts w:ascii="Times New Roman" w:cs="Times New Roman" w:eastAsia="Times New Roman" w:hAnsi="Times New Roman"/>
                <w:sz w:val="13"/>
                <w:szCs w:val="13"/>
                <w:color w:val="auto"/>
              </w:rPr>
              <w:t>Total Non-Affiliate Warrants — Sustainability</w:t>
            </w:r>
          </w:p>
        </w:tc>
        <w:tc>
          <w:tcPr>
            <w:tcW w:w="114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288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800" w:type="dxa"/>
            <w:vAlign w:val="bottom"/>
            <w:tcBorders>
              <w:bottom w:val="single" w:sz="8" w:color="CCEEFF"/>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7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168</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112</w:t>
            </w: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020" w:type="dxa"/>
            <w:vAlign w:val="bottom"/>
            <w:gridSpan w:val="3"/>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Non-Affiliate Warrants — Healthcare information and services — 0.5% (8)</w:t>
            </w:r>
          </w:p>
        </w:tc>
        <w:tc>
          <w:tcPr>
            <w:tcW w:w="120" w:type="dxa"/>
            <w:vAlign w:val="bottom"/>
            <w:shd w:val="clear" w:color="auto" w:fill="CCEEFF"/>
          </w:tcPr>
          <w:p>
            <w:pPr>
              <w:spacing w:after="0"/>
              <w:rPr>
                <w:sz w:val="11"/>
                <w:szCs w:val="11"/>
                <w:color w:val="auto"/>
              </w:rPr>
            </w:pPr>
          </w:p>
        </w:tc>
        <w:tc>
          <w:tcPr>
            <w:tcW w:w="2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8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LifePrint Group, Inc. (2)(12)</w:t>
            </w:r>
          </w:p>
        </w:tc>
        <w:tc>
          <w:tcPr>
            <w:tcW w:w="11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Diagnostics</w:t>
            </w:r>
          </w:p>
        </w:tc>
        <w:tc>
          <w:tcPr>
            <w:tcW w:w="300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49,000 Preferred Stock Warrants</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29</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8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ProterixBio, Inc. (2)(12)</w:t>
            </w:r>
          </w:p>
        </w:tc>
        <w:tc>
          <w:tcPr>
            <w:tcW w:w="11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Diagnostics</w:t>
            </w:r>
          </w:p>
        </w:tc>
        <w:tc>
          <w:tcPr>
            <w:tcW w:w="300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2,676 Common Stock Warrants</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42</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8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Singulex, Inc. (12)</w:t>
            </w:r>
          </w:p>
        </w:tc>
        <w:tc>
          <w:tcPr>
            <w:tcW w:w="11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Other Healthcare</w:t>
            </w:r>
          </w:p>
        </w:tc>
        <w:tc>
          <w:tcPr>
            <w:tcW w:w="300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294,231 Preferred Stock Warrants</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44</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45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8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Verity Solutions Group, Inc. (12)</w:t>
            </w:r>
          </w:p>
        </w:tc>
        <w:tc>
          <w:tcPr>
            <w:tcW w:w="11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Other Healthcare</w:t>
            </w:r>
          </w:p>
        </w:tc>
        <w:tc>
          <w:tcPr>
            <w:tcW w:w="300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300,360 Preferred Stock Warrants</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100</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65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8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Watermark Medical, Inc. (2)(12)</w:t>
            </w:r>
          </w:p>
        </w:tc>
        <w:tc>
          <w:tcPr>
            <w:tcW w:w="11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Other Healthcare</w:t>
            </w:r>
          </w:p>
        </w:tc>
        <w:tc>
          <w:tcPr>
            <w:tcW w:w="300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27,373 Preferred Stock Warrants</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74</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62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8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HealthEdge Software, Inc. (2)(12)</w:t>
            </w:r>
          </w:p>
        </w:tc>
        <w:tc>
          <w:tcPr>
            <w:tcW w:w="11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Software</w:t>
            </w:r>
          </w:p>
        </w:tc>
        <w:tc>
          <w:tcPr>
            <w:tcW w:w="300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205,481 Preferred Stock Warrants</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83</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71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8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Medsphere Systems Corporation (2)(12)</w:t>
            </w:r>
          </w:p>
        </w:tc>
        <w:tc>
          <w:tcPr>
            <w:tcW w:w="11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Software</w:t>
            </w:r>
          </w:p>
        </w:tc>
        <w:tc>
          <w:tcPr>
            <w:tcW w:w="300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7,097,792 Preferred Stock Warrants</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60</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212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Recondo Technology, Inc. (2)(12)</w:t>
            </w:r>
          </w:p>
        </w:tc>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Software</w:t>
            </w:r>
          </w:p>
        </w:tc>
        <w:tc>
          <w:tcPr>
            <w:tcW w:w="30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556,796 Preferred Stock Warrants</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95</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212</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880" w:type="dxa"/>
            <w:vAlign w:val="bottom"/>
            <w:tcBorders>
              <w:bottom w:val="single" w:sz="8" w:color="CCEEFF"/>
            </w:tcBorders>
            <w:gridSpan w:val="2"/>
          </w:tcPr>
          <w:p>
            <w:pPr>
              <w:spacing w:after="0" w:line="129" w:lineRule="exact"/>
              <w:rPr>
                <w:sz w:val="20"/>
                <w:szCs w:val="20"/>
                <w:color w:val="auto"/>
              </w:rPr>
            </w:pPr>
            <w:r>
              <w:rPr>
                <w:rFonts w:ascii="Times New Roman" w:cs="Times New Roman" w:eastAsia="Times New Roman" w:hAnsi="Times New Roman"/>
                <w:sz w:val="13"/>
                <w:szCs w:val="13"/>
                <w:color w:val="auto"/>
              </w:rPr>
              <w:t>Total Non-Affiliate Warrants — Healthcare information and services</w:t>
            </w:r>
          </w:p>
        </w:tc>
        <w:tc>
          <w:tcPr>
            <w:tcW w:w="114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288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800" w:type="dxa"/>
            <w:vAlign w:val="bottom"/>
            <w:tcBorders>
              <w:bottom w:val="single" w:sz="8" w:color="CCEEFF"/>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7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527</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669</w:t>
            </w: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880" w:type="dxa"/>
            <w:vAlign w:val="bottom"/>
            <w:gridSpan w:val="2"/>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Non-Affiliate Warrants</w:t>
            </w: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6,986</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9,324</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3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88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Non-Affiliate Other Investments — 5.7% (8)</w:t>
            </w: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8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Espero Pharmaceuticals, Inc. (12)</w:t>
            </w:r>
          </w:p>
        </w:tc>
        <w:tc>
          <w:tcPr>
            <w:tcW w:w="11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Biotechnology</w:t>
            </w:r>
          </w:p>
        </w:tc>
        <w:tc>
          <w:tcPr>
            <w:tcW w:w="300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Royalty Agreement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5,300</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4,700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8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ZetrOZ, Inc. (12)</w:t>
            </w:r>
          </w:p>
        </w:tc>
        <w:tc>
          <w:tcPr>
            <w:tcW w:w="11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Medical Device</w:t>
            </w:r>
          </w:p>
        </w:tc>
        <w:tc>
          <w:tcPr>
            <w:tcW w:w="300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Royalty Agreement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142</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700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8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Vette Technology, LLC (12)</w:t>
            </w:r>
          </w:p>
        </w:tc>
        <w:tc>
          <w:tcPr>
            <w:tcW w:w="11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Data Storage</w:t>
            </w:r>
          </w:p>
        </w:tc>
        <w:tc>
          <w:tcPr>
            <w:tcW w:w="300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Royalty Agreement Due 4/18/2019</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4,173</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Triple Double Holdings, LLC (12)</w:t>
            </w:r>
          </w:p>
        </w:tc>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Software</w:t>
            </w:r>
          </w:p>
        </w:tc>
        <w:tc>
          <w:tcPr>
            <w:tcW w:w="30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License Agreement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2,200</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2,200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880" w:type="dxa"/>
            <w:vAlign w:val="bottom"/>
            <w:tcBorders>
              <w:bottom w:val="single" w:sz="8" w:color="CCEEFF"/>
            </w:tcBorders>
            <w:gridSpan w:val="2"/>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Non-Affiliate Other Investments</w:t>
            </w:r>
          </w:p>
        </w:tc>
        <w:tc>
          <w:tcPr>
            <w:tcW w:w="114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288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800" w:type="dxa"/>
            <w:vAlign w:val="bottom"/>
            <w:tcBorders>
              <w:bottom w:val="single" w:sz="8" w:color="CCEEFF"/>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7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11,815</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7,640</w:t>
            </w: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3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88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Non-Affiliate Equity — 0.7% (8)</w:t>
            </w: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8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Insmed Incorporated (5)</w:t>
            </w:r>
          </w:p>
        </w:tc>
        <w:tc>
          <w:tcPr>
            <w:tcW w:w="11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Biotechnology</w:t>
            </w:r>
          </w:p>
        </w:tc>
        <w:tc>
          <w:tcPr>
            <w:tcW w:w="300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33,208 Common Stock</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238</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436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8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Revance Therapeutics, Inc.(5)</w:t>
            </w:r>
          </w:p>
        </w:tc>
        <w:tc>
          <w:tcPr>
            <w:tcW w:w="11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Biotechnology</w:t>
            </w:r>
          </w:p>
        </w:tc>
        <w:tc>
          <w:tcPr>
            <w:tcW w:w="300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5,125 Common Stock</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73</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103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8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Sunesis Pharmaceuticals, Inc. (5)</w:t>
            </w:r>
          </w:p>
        </w:tc>
        <w:tc>
          <w:tcPr>
            <w:tcW w:w="11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Biotechnology</w:t>
            </w:r>
          </w:p>
        </w:tc>
        <w:tc>
          <w:tcPr>
            <w:tcW w:w="300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13,082 Common Stock</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83</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5</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Consumer-related</w:t>
            </w:r>
          </w:p>
        </w:tc>
        <w:tc>
          <w:tcPr>
            <w:tcW w:w="120" w:type="dxa"/>
            <w:vAlign w:val="bottom"/>
          </w:tcPr>
          <w:p>
            <w:pPr>
              <w:spacing w:after="0"/>
              <w:rPr>
                <w:sz w:val="10"/>
                <w:szCs w:val="10"/>
                <w:color w:val="auto"/>
              </w:rPr>
            </w:pPr>
          </w:p>
        </w:tc>
        <w:tc>
          <w:tcPr>
            <w:tcW w:w="2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90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SnagAJob.com, Inc. (12)</w:t>
            </w:r>
          </w:p>
        </w:tc>
        <w:tc>
          <w:tcPr>
            <w:tcW w:w="1140" w:type="dxa"/>
            <w:vAlign w:val="bottom"/>
          </w:tcPr>
          <w:p>
            <w:pPr>
              <w:spacing w:after="0"/>
              <w:rPr>
                <w:sz w:val="20"/>
                <w:szCs w:val="20"/>
                <w:color w:val="auto"/>
              </w:rPr>
            </w:pPr>
            <w:r>
              <w:rPr>
                <w:rFonts w:ascii="Times New Roman" w:cs="Times New Roman" w:eastAsia="Times New Roman" w:hAnsi="Times New Roman"/>
                <w:sz w:val="13"/>
                <w:szCs w:val="13"/>
                <w:color w:val="auto"/>
              </w:rPr>
              <w:t>Technologies</w:t>
            </w:r>
          </w:p>
        </w:tc>
        <w:tc>
          <w:tcPr>
            <w:tcW w:w="300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82,974 Common Stock</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83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8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Verve Wireless, Inc. (2)(12)</w:t>
            </w:r>
          </w:p>
        </w:tc>
        <w:tc>
          <w:tcPr>
            <w:tcW w:w="11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Internet and Media</w:t>
            </w:r>
          </w:p>
        </w:tc>
        <w:tc>
          <w:tcPr>
            <w:tcW w:w="300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100,598 Preferred Stock</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225</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225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8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Formetrix, Inc. (2)(12)</w:t>
            </w:r>
          </w:p>
        </w:tc>
        <w:tc>
          <w:tcPr>
            <w:tcW w:w="11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Materials</w:t>
            </w:r>
          </w:p>
        </w:tc>
        <w:tc>
          <w:tcPr>
            <w:tcW w:w="300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74,286 Common Stock</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74</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74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TruSignal, Inc. (12)</w:t>
            </w:r>
          </w:p>
        </w:tc>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Software</w:t>
            </w:r>
          </w:p>
        </w:tc>
        <w:tc>
          <w:tcPr>
            <w:tcW w:w="30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32,637 Common Stock</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41</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880" w:type="dxa"/>
            <w:vAlign w:val="bottom"/>
            <w:tcBorders>
              <w:bottom w:val="single" w:sz="8" w:color="CCEEFF"/>
            </w:tcBorders>
            <w:gridSpan w:val="2"/>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Non-Affiliate Equity</w:t>
            </w:r>
          </w:p>
        </w:tc>
        <w:tc>
          <w:tcPr>
            <w:tcW w:w="114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288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800" w:type="dxa"/>
            <w:vAlign w:val="bottom"/>
            <w:tcBorders>
              <w:bottom w:val="single" w:sz="8" w:color="CCEEFF"/>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7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743</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967</w:t>
            </w: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80" w:type="dxa"/>
            <w:vAlign w:val="bottom"/>
            <w:tcBorders>
              <w:bottom w:val="single" w:sz="8" w:color="CCEEFF"/>
            </w:tcBorders>
            <w:gridSpan w:val="2"/>
            <w:shd w:val="clear" w:color="auto" w:fill="CCEEFF"/>
          </w:tcPr>
          <w:p>
            <w:pPr>
              <w:spacing w:after="0" w:line="143" w:lineRule="exact"/>
              <w:rPr>
                <w:sz w:val="20"/>
                <w:szCs w:val="20"/>
                <w:color w:val="auto"/>
              </w:rPr>
            </w:pPr>
            <w:r>
              <w:rPr>
                <w:rFonts w:ascii="Times New Roman" w:cs="Times New Roman" w:eastAsia="Times New Roman" w:hAnsi="Times New Roman"/>
                <w:sz w:val="13"/>
                <w:szCs w:val="13"/>
                <w:b w:val="1"/>
                <w:bCs w:val="1"/>
                <w:color w:val="auto"/>
              </w:rPr>
              <w:t>Total Non-Affiliate Portfolio Investment Assets</w:t>
            </w:r>
          </w:p>
        </w:tc>
        <w:tc>
          <w:tcPr>
            <w:tcW w:w="11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28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shd w:val="clear" w:color="auto" w:fill="CCEEFF"/>
          </w:tcPr>
          <w:p>
            <w:pPr>
              <w:jc w:val="right"/>
              <w:spacing w:after="0" w:line="143" w:lineRule="exact"/>
              <w:rPr>
                <w:sz w:val="20"/>
                <w:szCs w:val="20"/>
                <w:color w:val="auto"/>
              </w:rPr>
            </w:pPr>
            <w:r>
              <w:rPr>
                <w:rFonts w:ascii="Times New Roman" w:cs="Times New Roman" w:eastAsia="Times New Roman" w:hAnsi="Times New Roman"/>
                <w:sz w:val="13"/>
                <w:szCs w:val="13"/>
                <w:color w:val="auto"/>
              </w:rPr>
              <w:t>229,772</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37"/>
              <w:spacing w:after="0" w:line="143" w:lineRule="exact"/>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auto"/>
            </w:tcBorders>
            <w:shd w:val="clear" w:color="auto" w:fill="CCEEFF"/>
          </w:tcPr>
          <w:p>
            <w:pPr>
              <w:jc w:val="right"/>
              <w:spacing w:after="0" w:line="143" w:lineRule="exact"/>
              <w:rPr>
                <w:sz w:val="20"/>
                <w:szCs w:val="20"/>
                <w:color w:val="auto"/>
              </w:rPr>
            </w:pPr>
            <w:r>
              <w:rPr>
                <w:rFonts w:ascii="Times New Roman" w:cs="Times New Roman" w:eastAsia="Times New Roman" w:hAnsi="Times New Roman"/>
                <w:sz w:val="13"/>
                <w:szCs w:val="13"/>
                <w:color w:val="auto"/>
              </w:rPr>
              <w:t>227,624</w:t>
            </w:r>
          </w:p>
        </w:tc>
        <w:tc>
          <w:tcPr>
            <w:tcW w:w="10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90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b w:val="1"/>
                <w:bCs w:val="1"/>
                <w:color w:val="auto"/>
              </w:rPr>
              <w:t>Non-controlled Affiliate Investments — 5.6% (8)</w:t>
            </w: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3900" w:type="dxa"/>
            <w:vAlign w:val="bottom"/>
            <w:gridSpan w:val="3"/>
            <w:vMerge w:val="continue"/>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8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Non-controlled Affiliate Debt Investments — Technology — 5.0% (8)</w:t>
            </w: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3000" w:type="dxa"/>
            <w:vAlign w:val="bottom"/>
            <w:gridSpan w:val="2"/>
          </w:tcPr>
          <w:p>
            <w:pPr>
              <w:ind w:left="120"/>
              <w:spacing w:after="0" w:line="117" w:lineRule="exact"/>
              <w:rPr>
                <w:sz w:val="20"/>
                <w:szCs w:val="20"/>
                <w:color w:val="auto"/>
              </w:rPr>
            </w:pPr>
            <w:r>
              <w:rPr>
                <w:rFonts w:ascii="Times New Roman" w:cs="Times New Roman" w:eastAsia="Times New Roman" w:hAnsi="Times New Roman"/>
                <w:sz w:val="13"/>
                <w:szCs w:val="13"/>
                <w:color w:val="auto"/>
              </w:rPr>
              <w:t>Term Loan (14.66% cash (Libor + 12.31%; Floor</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90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Decisyon, Inc. (12)</w:t>
            </w:r>
          </w:p>
        </w:tc>
        <w:tc>
          <w:tcPr>
            <w:tcW w:w="1140" w:type="dxa"/>
            <w:vAlign w:val="bottom"/>
          </w:tcPr>
          <w:p>
            <w:pPr>
              <w:spacing w:after="0"/>
              <w:rPr>
                <w:sz w:val="20"/>
                <w:szCs w:val="20"/>
                <w:color w:val="auto"/>
              </w:rPr>
            </w:pPr>
            <w:r>
              <w:rPr>
                <w:rFonts w:ascii="Times New Roman" w:cs="Times New Roman" w:eastAsia="Times New Roman" w:hAnsi="Times New Roman"/>
                <w:sz w:val="13"/>
                <w:szCs w:val="13"/>
                <w:color w:val="auto"/>
              </w:rPr>
              <w:t>Software</w:t>
            </w:r>
          </w:p>
        </w:tc>
        <w:tc>
          <w:tcPr>
            <w:tcW w:w="300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12.50%), 8.00% ETP, Due 12/1/20)</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1,523</w:t>
            </w:r>
          </w:p>
        </w:tc>
        <w:tc>
          <w:tcPr>
            <w:tcW w:w="16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1,522</w:t>
            </w:r>
          </w:p>
        </w:tc>
        <w:tc>
          <w:tcPr>
            <w:tcW w:w="280" w:type="dxa"/>
            <w:vAlign w:val="bottom"/>
            <w:gridSpan w:val="2"/>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1,464</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3000" w:type="dxa"/>
            <w:vAlign w:val="bottom"/>
            <w:gridSpan w:val="2"/>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Term Loan (14.66% cash (Libor + 12.31%; Floor</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30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12.50%), 8.00% ETP, Due 12/1/20)</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833</w:t>
            </w:r>
          </w:p>
        </w:tc>
        <w:tc>
          <w:tcPr>
            <w:tcW w:w="1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795</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764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00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Term Loan (12.02% cash, Due 12/31/19)</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250</w:t>
            </w:r>
          </w:p>
        </w:tc>
        <w:tc>
          <w:tcPr>
            <w:tcW w:w="160" w:type="dxa"/>
            <w:vAlign w:val="bottom"/>
          </w:tcPr>
          <w:p>
            <w:pPr>
              <w:spacing w:after="0"/>
              <w:rPr>
                <w:sz w:val="11"/>
                <w:szCs w:val="11"/>
                <w:color w:val="auto"/>
              </w:rPr>
            </w:pPr>
          </w:p>
        </w:tc>
        <w:tc>
          <w:tcPr>
            <w:tcW w:w="8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250</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240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300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Term Loan (12.03% cash, Due 12/31/19)</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250</w:t>
            </w:r>
          </w:p>
        </w:tc>
        <w:tc>
          <w:tcPr>
            <w:tcW w:w="1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250</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240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00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Term Loan (12.24% cash, Due 12/31/19)</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750</w:t>
            </w:r>
          </w:p>
        </w:tc>
        <w:tc>
          <w:tcPr>
            <w:tcW w:w="160" w:type="dxa"/>
            <w:vAlign w:val="bottom"/>
          </w:tcPr>
          <w:p>
            <w:pPr>
              <w:spacing w:after="0"/>
              <w:rPr>
                <w:sz w:val="11"/>
                <w:szCs w:val="11"/>
                <w:color w:val="auto"/>
              </w:rPr>
            </w:pPr>
          </w:p>
        </w:tc>
        <w:tc>
          <w:tcPr>
            <w:tcW w:w="8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750</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721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300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Term Loan (13.08% cash, Due 12/31/19)</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300</w:t>
            </w:r>
          </w:p>
        </w:tc>
        <w:tc>
          <w:tcPr>
            <w:tcW w:w="1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300</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289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00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Term Loan (13.10% cash, Due 12/31/19)</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200</w:t>
            </w:r>
          </w:p>
        </w:tc>
        <w:tc>
          <w:tcPr>
            <w:tcW w:w="160" w:type="dxa"/>
            <w:vAlign w:val="bottom"/>
          </w:tcPr>
          <w:p>
            <w:pPr>
              <w:spacing w:after="0"/>
              <w:rPr>
                <w:sz w:val="11"/>
                <w:szCs w:val="11"/>
                <w:color w:val="auto"/>
              </w:rPr>
            </w:pPr>
          </w:p>
        </w:tc>
        <w:tc>
          <w:tcPr>
            <w:tcW w:w="8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200</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192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8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StereoVision Imaging, Inc. (12)</w:t>
            </w:r>
          </w:p>
        </w:tc>
        <w:tc>
          <w:tcPr>
            <w:tcW w:w="11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Software</w:t>
            </w:r>
          </w:p>
        </w:tc>
        <w:tc>
          <w:tcPr>
            <w:tcW w:w="300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Term Loan (9.38% Cash (Libor + 7.03%; Floor</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3,200</w:t>
            </w:r>
          </w:p>
        </w:tc>
        <w:tc>
          <w:tcPr>
            <w:tcW w:w="1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2,798</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2,798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140" w:type="dxa"/>
            <w:vAlign w:val="bottom"/>
            <w:tcBorders>
              <w:bottom w:val="single" w:sz="8" w:color="CCEEFF"/>
            </w:tcBorders>
          </w:tcPr>
          <w:p>
            <w:pPr>
              <w:spacing w:after="0"/>
              <w:rPr>
                <w:sz w:val="12"/>
                <w:szCs w:val="12"/>
                <w:color w:val="auto"/>
              </w:rPr>
            </w:pPr>
          </w:p>
        </w:tc>
        <w:tc>
          <w:tcPr>
            <w:tcW w:w="300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3"/>
                <w:szCs w:val="13"/>
                <w:color w:val="auto"/>
              </w:rPr>
              <w:t>8.50%), 8.50% ETP, Due 9/1/21) (11)</w:t>
            </w: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880" w:type="dxa"/>
            <w:vAlign w:val="bottom"/>
            <w:gridSpan w:val="2"/>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Total Non-controlled Affiliate Debt Investments — Technology</w:t>
            </w: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6,865</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6,708</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3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88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Non-controlled Affiliate Warrants — Technology — 0.0% (8)</w:t>
            </w: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Decisyon, Inc. (12)</w:t>
            </w:r>
          </w:p>
        </w:tc>
        <w:tc>
          <w:tcPr>
            <w:tcW w:w="1140" w:type="dxa"/>
            <w:vAlign w:val="bottom"/>
          </w:tcPr>
          <w:p>
            <w:pPr>
              <w:spacing w:after="0"/>
              <w:rPr>
                <w:sz w:val="20"/>
                <w:szCs w:val="20"/>
                <w:color w:val="auto"/>
              </w:rPr>
            </w:pPr>
            <w:r>
              <w:rPr>
                <w:rFonts w:ascii="Times New Roman" w:cs="Times New Roman" w:eastAsia="Times New Roman" w:hAnsi="Times New Roman"/>
                <w:sz w:val="13"/>
                <w:szCs w:val="13"/>
                <w:color w:val="auto"/>
              </w:rPr>
              <w:t>Software</w:t>
            </w:r>
          </w:p>
        </w:tc>
        <w:tc>
          <w:tcPr>
            <w:tcW w:w="300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82,967 Common Stock Warrants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46</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880" w:type="dxa"/>
            <w:vAlign w:val="bottom"/>
            <w:tcBorders>
              <w:top w:val="single" w:sz="8" w:color="CCEEFF"/>
            </w:tcBorders>
            <w:gridSpan w:val="2"/>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Total Non-controlled Affiliate Warrants — Technology</w:t>
            </w:r>
          </w:p>
        </w:tc>
        <w:tc>
          <w:tcPr>
            <w:tcW w:w="1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8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7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46</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spacing w:after="0"/>
              <w:rPr>
                <w:sz w:val="11"/>
                <w:szCs w:val="11"/>
                <w:color w:val="auto"/>
              </w:rPr>
            </w:pPr>
          </w:p>
        </w:tc>
        <w:tc>
          <w:tcPr>
            <w:tcW w:w="7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Schedule of Investments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Principal</w:t>
            </w:r>
          </w:p>
        </w:tc>
        <w:tc>
          <w:tcPr>
            <w:tcW w:w="160" w:type="dxa"/>
            <w:vAlign w:val="bottom"/>
          </w:tcPr>
          <w:p>
            <w:pPr>
              <w:spacing w:after="0"/>
              <w:rPr>
                <w:sz w:val="12"/>
                <w:szCs w:val="12"/>
                <w:color w:val="auto"/>
              </w:rPr>
            </w:pPr>
          </w:p>
        </w:tc>
        <w:tc>
          <w:tcPr>
            <w:tcW w:w="96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w w:val="96"/>
              </w:rPr>
              <w:t>Cost of</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3"/>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Fair</w:t>
            </w:r>
          </w:p>
        </w:tc>
        <w:tc>
          <w:tcPr>
            <w:tcW w:w="0" w:type="dxa"/>
            <w:vAlign w:val="bottom"/>
          </w:tcPr>
          <w:p>
            <w:pPr>
              <w:spacing w:after="0"/>
              <w:rPr>
                <w:sz w:val="1"/>
                <w:szCs w:val="1"/>
                <w:color w:val="auto"/>
              </w:rPr>
            </w:pPr>
          </w:p>
        </w:tc>
      </w:tr>
      <w:tr>
        <w:trPr>
          <w:trHeight w:val="155"/>
        </w:trPr>
        <w:tc>
          <w:tcPr>
            <w:tcW w:w="35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Portfolio Company (1)(3)</w:t>
            </w:r>
          </w:p>
        </w:tc>
        <w:tc>
          <w:tcPr>
            <w:tcW w:w="1520" w:type="dxa"/>
            <w:vAlign w:val="bottom"/>
          </w:tcPr>
          <w:p>
            <w:pPr>
              <w:ind w:left="780"/>
              <w:spacing w:after="0"/>
              <w:rPr>
                <w:sz w:val="20"/>
                <w:szCs w:val="20"/>
                <w:color w:val="auto"/>
              </w:rPr>
            </w:pPr>
            <w:r>
              <w:rPr>
                <w:rFonts w:ascii="Times New Roman" w:cs="Times New Roman" w:eastAsia="Times New Roman" w:hAnsi="Times New Roman"/>
                <w:sz w:val="13"/>
                <w:szCs w:val="13"/>
                <w:b w:val="1"/>
                <w:bCs w:val="1"/>
                <w:color w:val="auto"/>
              </w:rPr>
              <w:t>Sector</w:t>
            </w:r>
          </w:p>
        </w:tc>
        <w:tc>
          <w:tcPr>
            <w:tcW w:w="120" w:type="dxa"/>
            <w:vAlign w:val="bottom"/>
          </w:tcPr>
          <w:p>
            <w:pPr>
              <w:spacing w:after="0"/>
              <w:rPr>
                <w:sz w:val="13"/>
                <w:szCs w:val="13"/>
                <w:color w:val="auto"/>
              </w:rPr>
            </w:pPr>
          </w:p>
        </w:tc>
        <w:tc>
          <w:tcPr>
            <w:tcW w:w="3000" w:type="dxa"/>
            <w:vAlign w:val="bottom"/>
            <w:gridSpan w:val="2"/>
          </w:tcPr>
          <w:p>
            <w:pPr>
              <w:ind w:left="580"/>
              <w:spacing w:after="0"/>
              <w:rPr>
                <w:sz w:val="20"/>
                <w:szCs w:val="20"/>
                <w:color w:val="auto"/>
              </w:rPr>
            </w:pPr>
            <w:r>
              <w:rPr>
                <w:rFonts w:ascii="Times New Roman" w:cs="Times New Roman" w:eastAsia="Times New Roman" w:hAnsi="Times New Roman"/>
                <w:sz w:val="13"/>
                <w:szCs w:val="13"/>
                <w:b w:val="1"/>
                <w:bCs w:val="1"/>
                <w:color w:val="auto"/>
              </w:rPr>
              <w:t>Type of Investment (4)(7)(9)(10)</w:t>
            </w: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1120" w:type="dxa"/>
            <w:vAlign w:val="bottom"/>
            <w:gridSpan w:val="3"/>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8"/>
              </w:rPr>
              <w:t>Investments (6)</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3"/>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8"/>
              </w:rPr>
              <w:t>Value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50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Non-controlled Affiliate Equity — Technology — 0.6% (8)</w:t>
            </w:r>
          </w:p>
        </w:tc>
        <w:tc>
          <w:tcPr>
            <w:tcW w:w="15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8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Decisyon, Inc. (12)</w:t>
            </w:r>
          </w:p>
        </w:tc>
        <w:tc>
          <w:tcPr>
            <w:tcW w:w="1520" w:type="dxa"/>
            <w:vAlign w:val="bottom"/>
          </w:tcPr>
          <w:p>
            <w:pPr>
              <w:ind w:left="380"/>
              <w:spacing w:after="0" w:line="135" w:lineRule="exact"/>
              <w:rPr>
                <w:sz w:val="20"/>
                <w:szCs w:val="20"/>
                <w:color w:val="auto"/>
              </w:rPr>
            </w:pPr>
            <w:r>
              <w:rPr>
                <w:rFonts w:ascii="Times New Roman" w:cs="Times New Roman" w:eastAsia="Times New Roman" w:hAnsi="Times New Roman"/>
                <w:sz w:val="13"/>
                <w:szCs w:val="13"/>
                <w:color w:val="auto"/>
              </w:rPr>
              <w:t>Software</w:t>
            </w:r>
          </w:p>
        </w:tc>
        <w:tc>
          <w:tcPr>
            <w:tcW w:w="3120" w:type="dxa"/>
            <w:vAlign w:val="bottom"/>
            <w:gridSpan w:val="3"/>
          </w:tcPr>
          <w:p>
            <w:pPr>
              <w:ind w:left="120"/>
              <w:spacing w:after="0" w:line="135" w:lineRule="exact"/>
              <w:rPr>
                <w:sz w:val="20"/>
                <w:szCs w:val="20"/>
                <w:color w:val="auto"/>
              </w:rPr>
            </w:pPr>
            <w:r>
              <w:rPr>
                <w:rFonts w:ascii="Times New Roman" w:cs="Times New Roman" w:eastAsia="Times New Roman" w:hAnsi="Times New Roman"/>
                <w:sz w:val="13"/>
                <w:szCs w:val="13"/>
                <w:color w:val="auto"/>
              </w:rPr>
              <w:t>45,365,936 Common Stock</w:t>
            </w: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185</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75</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StereoVision Imaging, Inc. (12)</w:t>
            </w:r>
          </w:p>
        </w:tc>
        <w:tc>
          <w:tcPr>
            <w:tcW w:w="15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Software</w:t>
            </w:r>
          </w:p>
        </w:tc>
        <w:tc>
          <w:tcPr>
            <w:tcW w:w="31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1,943,572 Common Stock</w:t>
            </w: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791</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791</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500" w:type="dxa"/>
            <w:vAlign w:val="bottom"/>
            <w:tcBorders>
              <w:bottom w:val="single" w:sz="8" w:color="CCEEFF"/>
            </w:tcBorders>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Non-controlled Affiliate Equity</w:t>
            </w:r>
          </w:p>
        </w:tc>
        <w:tc>
          <w:tcPr>
            <w:tcW w:w="152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288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920" w:type="dxa"/>
            <w:vAlign w:val="bottom"/>
            <w:tcBorders>
              <w:bottom w:val="single" w:sz="8" w:color="CCEEFF"/>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7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976</w:t>
            </w:r>
          </w:p>
        </w:tc>
        <w:tc>
          <w:tcPr>
            <w:tcW w:w="20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866</w:t>
            </w:r>
          </w:p>
        </w:tc>
        <w:tc>
          <w:tcPr>
            <w:tcW w:w="2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50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Non-controlled Affiliate Portfolio Investment Assets</w:t>
            </w:r>
          </w:p>
        </w:tc>
        <w:tc>
          <w:tcPr>
            <w:tcW w:w="1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7,887</w:t>
            </w: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7,574</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5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350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50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Controlled Affiliate Investments — 9.9% (8)</w:t>
            </w:r>
          </w:p>
        </w:tc>
        <w:tc>
          <w:tcPr>
            <w:tcW w:w="1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Controlled Affiliate Equity — Financial — 9.9% (8)</w:t>
            </w:r>
          </w:p>
        </w:tc>
        <w:tc>
          <w:tcPr>
            <w:tcW w:w="1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13"/>
                <w:szCs w:val="13"/>
                <w:color w:val="auto"/>
              </w:rPr>
              <w:t>Horizon Secured Loan Fund I LLC (12)(14)</w:t>
            </w:r>
          </w:p>
        </w:tc>
        <w:tc>
          <w:tcPr>
            <w:tcW w:w="152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Investment funds</w:t>
            </w:r>
          </w:p>
        </w:tc>
        <w:tc>
          <w:tcPr>
            <w:tcW w:w="1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13,262</w:t>
            </w:r>
          </w:p>
        </w:tc>
        <w:tc>
          <w:tcPr>
            <w:tcW w:w="180" w:type="dxa"/>
            <w:vAlign w:val="bottom"/>
            <w:gridSpan w:val="2"/>
          </w:tcPr>
          <w:p>
            <w:pPr>
              <w:jc w:val="right"/>
              <w:ind w:right="47"/>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13,243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50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Controlled Affiliate Equity</w:t>
            </w:r>
          </w:p>
        </w:tc>
        <w:tc>
          <w:tcPr>
            <w:tcW w:w="15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8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9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7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13,262</w:t>
            </w:r>
          </w:p>
        </w:tc>
        <w:tc>
          <w:tcPr>
            <w:tcW w:w="20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7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13,243</w:t>
            </w: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500" w:type="dxa"/>
            <w:vAlign w:val="bottom"/>
            <w:tcBorders>
              <w:bottom w:val="single" w:sz="8" w:color="CCEEFF"/>
            </w:tcBorders>
          </w:tcPr>
          <w:p>
            <w:pPr>
              <w:spacing w:after="0" w:line="143" w:lineRule="exact"/>
              <w:rPr>
                <w:sz w:val="20"/>
                <w:szCs w:val="20"/>
                <w:color w:val="auto"/>
              </w:rPr>
            </w:pPr>
            <w:r>
              <w:rPr>
                <w:rFonts w:ascii="Times New Roman" w:cs="Times New Roman" w:eastAsia="Times New Roman" w:hAnsi="Times New Roman"/>
                <w:sz w:val="13"/>
                <w:szCs w:val="13"/>
                <w:b w:val="1"/>
                <w:bCs w:val="1"/>
                <w:color w:val="auto"/>
              </w:rPr>
              <w:t>Total Controlled Affiliate Portfolio Investment Assets</w:t>
            </w:r>
          </w:p>
        </w:tc>
        <w:tc>
          <w:tcPr>
            <w:tcW w:w="15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8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92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13,262</w:t>
            </w:r>
          </w:p>
        </w:tc>
        <w:tc>
          <w:tcPr>
            <w:tcW w:w="2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13,243</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3500" w:type="dxa"/>
            <w:vAlign w:val="bottom"/>
            <w:shd w:val="clear" w:color="auto" w:fill="CCEEFF"/>
          </w:tcPr>
          <w:p>
            <w:pPr>
              <w:spacing w:after="0"/>
              <w:rPr>
                <w:sz w:val="10"/>
                <w:szCs w:val="10"/>
                <w:color w:val="auto"/>
              </w:rPr>
            </w:pPr>
          </w:p>
        </w:tc>
        <w:tc>
          <w:tcPr>
            <w:tcW w:w="1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8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60" w:type="dxa"/>
            <w:vAlign w:val="bottom"/>
            <w:tcBorders>
              <w:bottom w:val="single" w:sz="8" w:color="auto"/>
            </w:tcBorders>
            <w:shd w:val="clear" w:color="auto" w:fill="CCEEFF"/>
          </w:tcPr>
          <w:p>
            <w:pPr>
              <w:spacing w:after="0"/>
              <w:rPr>
                <w:sz w:val="10"/>
                <w:szCs w:val="10"/>
                <w:color w:val="auto"/>
              </w:rPr>
            </w:pPr>
          </w:p>
        </w:tc>
        <w:tc>
          <w:tcPr>
            <w:tcW w:w="760" w:type="dxa"/>
            <w:vAlign w:val="bottom"/>
            <w:tcBorders>
              <w:bottom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60" w:type="dxa"/>
            <w:vAlign w:val="bottom"/>
            <w:tcBorders>
              <w:bottom w:val="single" w:sz="8" w:color="auto"/>
            </w:tcBorders>
            <w:shd w:val="clear" w:color="auto" w:fill="CCEEFF"/>
          </w:tcPr>
          <w:p>
            <w:pPr>
              <w:spacing w:after="0"/>
              <w:rPr>
                <w:sz w:val="10"/>
                <w:szCs w:val="10"/>
                <w:color w:val="auto"/>
              </w:rPr>
            </w:pPr>
          </w:p>
        </w:tc>
        <w:tc>
          <w:tcPr>
            <w:tcW w:w="740" w:type="dxa"/>
            <w:vAlign w:val="bottom"/>
            <w:tcBorders>
              <w:bottom w:val="single" w:sz="8" w:color="auto"/>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00" w:type="dxa"/>
            <w:vAlign w:val="bottom"/>
          </w:tcPr>
          <w:p>
            <w:pPr>
              <w:spacing w:after="0" w:line="143" w:lineRule="exact"/>
              <w:rPr>
                <w:sz w:val="20"/>
                <w:szCs w:val="20"/>
                <w:color w:val="auto"/>
              </w:rPr>
            </w:pPr>
            <w:r>
              <w:rPr>
                <w:rFonts w:ascii="Times New Roman" w:cs="Times New Roman" w:eastAsia="Times New Roman" w:hAnsi="Times New Roman"/>
                <w:sz w:val="13"/>
                <w:szCs w:val="13"/>
                <w:b w:val="1"/>
                <w:bCs w:val="1"/>
                <w:color w:val="auto"/>
              </w:rPr>
              <w:t>Total Portfolio Investment Assets — 185.1% (8)</w:t>
            </w:r>
          </w:p>
        </w:tc>
        <w:tc>
          <w:tcPr>
            <w:tcW w:w="1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250,921</w:t>
            </w:r>
          </w:p>
        </w:tc>
        <w:tc>
          <w:tcPr>
            <w:tcW w:w="20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248,441</w:t>
            </w:r>
          </w:p>
        </w:tc>
        <w:tc>
          <w:tcPr>
            <w:tcW w:w="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1513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715135" cy="8890"/>
                    </a:xfrm>
                    <a:prstGeom prst="rect">
                      <a:avLst/>
                    </a:prstGeom>
                    <a:noFill/>
                  </pic:spPr>
                </pic:pic>
              </a:graphicData>
            </a:graphic>
          </wp:anchor>
        </w:drawing>
      </w:r>
    </w:p>
    <w:p>
      <w:pPr>
        <w:spacing w:after="0" w:line="204" w:lineRule="exact"/>
        <w:rPr>
          <w:sz w:val="20"/>
          <w:szCs w:val="20"/>
          <w:color w:val="auto"/>
        </w:rPr>
      </w:pPr>
    </w:p>
    <w:p>
      <w:pPr>
        <w:ind w:left="360" w:hanging="352"/>
        <w:spacing w:after="0"/>
        <w:tabs>
          <w:tab w:leader="none" w:pos="36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investments of the Company are in entities which are organized under the laws of the United States and have a principal place of business in the United States.</w:t>
      </w:r>
    </w:p>
    <w:p>
      <w:pPr>
        <w:ind w:left="360" w:hanging="352"/>
        <w:spacing w:after="0" w:line="216" w:lineRule="auto"/>
        <w:tabs>
          <w:tab w:leader="none" w:pos="36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Has been pledged as collateral under the Key Facility.</w:t>
      </w:r>
    </w:p>
    <w:p>
      <w:pPr>
        <w:jc w:val="both"/>
        <w:ind w:left="360" w:hanging="352"/>
        <w:spacing w:after="0" w:line="234" w:lineRule="auto"/>
        <w:tabs>
          <w:tab w:leader="none" w:pos="36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non-affiliate investments are investments in which the Company owns less than 5% of the voting securities of the portfolio company. All non-controlled affiliate investments are investments in which the Company owns 5% or more of the voting securities of the portfolio company but not more than 25% of the voting securities of the portfolio company. All controlled affiliate investments are investments in which the Company owns more than 25% of the portfolio company’s outstanding voting securities or has the power to exercise control over management or policies of such portfolio company (including through a management agreement).</w:t>
      </w:r>
    </w:p>
    <w:p>
      <w:pPr>
        <w:spacing w:after="0" w:line="1" w:lineRule="exact"/>
        <w:rPr>
          <w:rFonts w:ascii="Times New Roman" w:cs="Times New Roman" w:eastAsia="Times New Roman" w:hAnsi="Times New Roman"/>
          <w:sz w:val="12"/>
          <w:szCs w:val="12"/>
          <w:color w:val="auto"/>
        </w:rPr>
      </w:pPr>
    </w:p>
    <w:p>
      <w:pPr>
        <w:jc w:val="both"/>
        <w:ind w:left="360" w:hanging="352"/>
        <w:spacing w:after="0" w:line="216" w:lineRule="auto"/>
        <w:tabs>
          <w:tab w:leader="none" w:pos="36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interest is payable in cash due monthly in arrears, unless otherwise indicated, and applies only to the Company’s debt investments. Interest rate is the annual interest rate on the debt investment and does not include ETPs, and any additional fees related to the investments, such as deferred interest, commitment fees or prepayment fees. Debt investments are at variable rates for the term of the debt investment, unless otherwise indicated. All debt investments based on LIBOR are based on one-month LIBOR. For each debt investment, the current interest rate in effect as of December 31, 2018 is provided.</w:t>
      </w:r>
    </w:p>
    <w:p>
      <w:pPr>
        <w:spacing w:after="0" w:line="1" w:lineRule="exact"/>
        <w:rPr>
          <w:rFonts w:ascii="Times New Roman" w:cs="Times New Roman" w:eastAsia="Times New Roman" w:hAnsi="Times New Roman"/>
          <w:sz w:val="13"/>
          <w:szCs w:val="13"/>
          <w:color w:val="auto"/>
        </w:rPr>
      </w:pPr>
    </w:p>
    <w:p>
      <w:pPr>
        <w:ind w:left="360" w:hanging="352"/>
        <w:spacing w:after="0" w:line="216" w:lineRule="auto"/>
        <w:tabs>
          <w:tab w:leader="none" w:pos="36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Portfolio company is a public company.</w:t>
      </w:r>
    </w:p>
    <w:p>
      <w:pPr>
        <w:ind w:left="360" w:hanging="352"/>
        <w:spacing w:after="0" w:line="216" w:lineRule="auto"/>
        <w:tabs>
          <w:tab w:leader="none" w:pos="36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debt investments, represents principal balance less unearned income.</w:t>
      </w:r>
    </w:p>
    <w:p>
      <w:pPr>
        <w:ind w:left="360" w:hanging="352"/>
        <w:spacing w:after="0" w:line="216" w:lineRule="auto"/>
        <w:tabs>
          <w:tab w:leader="none" w:pos="36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Warrants, Equity and Other Investments are non-income producing.</w:t>
      </w:r>
    </w:p>
    <w:p>
      <w:pPr>
        <w:ind w:left="360" w:hanging="352"/>
        <w:spacing w:after="0" w:line="216" w:lineRule="auto"/>
        <w:tabs>
          <w:tab w:leader="none" w:pos="36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Value as a percent of net assets.</w:t>
      </w:r>
    </w:p>
    <w:p>
      <w:pPr>
        <w:ind w:left="360" w:right="20" w:hanging="352"/>
        <w:spacing w:after="0" w:line="216" w:lineRule="auto"/>
        <w:tabs>
          <w:tab w:leader="none" w:pos="36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of December 31, 2018, 5.0% of the Company’s total assets on a cost and fair value basis are in non-qualifying assets. Under the 1940 Act, the Company may not acquire any non-qualifying assets unless, at the time the acquisition is made, qualifying assets represent at least 70% of the Company’s total assets.</w:t>
      </w:r>
    </w:p>
    <w:p>
      <w:pPr>
        <w:spacing w:after="0" w:line="1" w:lineRule="exact"/>
        <w:rPr>
          <w:rFonts w:ascii="Times New Roman" w:cs="Times New Roman" w:eastAsia="Times New Roman" w:hAnsi="Times New Roman"/>
          <w:sz w:val="13"/>
          <w:szCs w:val="13"/>
          <w:color w:val="auto"/>
        </w:rPr>
      </w:pPr>
    </w:p>
    <w:p>
      <w:pPr>
        <w:jc w:val="both"/>
        <w:ind w:left="360" w:hanging="352"/>
        <w:spacing w:after="0" w:line="216" w:lineRule="auto"/>
        <w:tabs>
          <w:tab w:leader="none" w:pos="36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ETPs are contractual fixed-interest payments due in cash at the maturity date of the applicable debt investment, including upon any prepayment, and are a fixed percentage of the original principal balance of the debt investments unless otherwise noted. Interest will accrue during the life of the debt investment on each ETP and will be recognized as non-cash income until it is actually paid. Therefore, a portion of the incentive fee the Company may pay its Advisor will be based on income that the Company has not yet received in cash.</w:t>
      </w:r>
    </w:p>
    <w:p>
      <w:pPr>
        <w:spacing w:after="0" w:line="1" w:lineRule="exact"/>
        <w:rPr>
          <w:rFonts w:ascii="Times New Roman" w:cs="Times New Roman" w:eastAsia="Times New Roman" w:hAnsi="Times New Roman"/>
          <w:sz w:val="13"/>
          <w:szCs w:val="13"/>
          <w:color w:val="auto"/>
        </w:rPr>
      </w:pPr>
    </w:p>
    <w:p>
      <w:pPr>
        <w:ind w:left="360" w:hanging="352"/>
        <w:spacing w:after="0" w:line="216" w:lineRule="auto"/>
        <w:tabs>
          <w:tab w:leader="none" w:pos="36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Debt investment has a PIK feature.</w:t>
      </w:r>
    </w:p>
    <w:p>
      <w:pPr>
        <w:ind w:left="360" w:hanging="352"/>
        <w:spacing w:after="0" w:line="216" w:lineRule="auto"/>
        <w:tabs>
          <w:tab w:leader="none" w:pos="36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fair value of the investment was valued using significant unobservable inputs.</w:t>
      </w:r>
    </w:p>
    <w:p>
      <w:pPr>
        <w:ind w:left="360" w:hanging="352"/>
        <w:spacing w:after="0" w:line="216" w:lineRule="auto"/>
        <w:tabs>
          <w:tab w:leader="none" w:pos="36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New Signature US, Inc. is a subsidiary of BSI Platform Holdings, LLC.</w:t>
      </w:r>
    </w:p>
    <w:p>
      <w:pPr>
        <w:jc w:val="both"/>
        <w:ind w:left="360" w:hanging="352"/>
        <w:spacing w:after="0" w:line="222" w:lineRule="auto"/>
        <w:tabs>
          <w:tab w:leader="none" w:pos="36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On June 1, 2018, the Company entered into an agreement with Arena to co-invest through HSLFI, a joint venture, which is expected to make investments, either directly or indirectly through subsidiaries, primarily in the form of secured loans to development-stage companies in the technology, life science, healthcare information and services and sustainability industries. All HSLFI investment decisions require unanimous approval of a quorum of HSLFI’s board of managers, which consists of two representatives of the Company and Arena. Although the Company owns more than 25% of the voting securities of HSLFI, the Company does not have sole control over significant actions of HSLFI for purposes of the 1940 Act or otherwise.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Organization</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Horizon Technology Finance Corporation (the “Company”) was organized as a Delaware corporation on March 16, 2010 and is an externally managed, non-diversified, closed-end investment company. The Company has elected to be regulated as a business development company (“BDC”) under the 1940 Act. In addition, for tax purposes, the Company has elected to be treated as a regulated investment company (“RIC”) as defined under Subchapter M of the Internal Revenue Code of 1986, as amended (the “Code”). As a RIC, the Company generally is not subject to corporate-level federal income tax on the portion of its taxable income (including net capital gains) the Company distributes to its stockholders. The Company primarily makes secured debt investments to development-stage companies in the technology, life science, healthcare information and services and sustainability industries. All of the Company’s debt investments consist of loans secured by all of, or a portion of, the applicable debtor company’s tangible and intangible assets.</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October 28, 2010, the Company completed an initial public offering (“IPO”) and its common stock trades on the Nasdaq Global Select Market under the symbol “HRZN”. The Company was formed to continue and expand the business of Compass Horizon Funding Company LLC, a Delaware limited liability company, which commenced operations in March 2008 and became the Company’s wholly owned subsidiary upon the completion of the Company’s IPO.</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Horizon Credit II LLC (“Credit II”) was formed as a Delaware limited liability company on June 28, 2011, with the Company as its sole equity member. Credit II is a special purpose bankruptcy-remote entity and is a separate legal entity from the Company. Any assets conveyed to Credit II are not available to creditors of the Company or any other entity other than Credit II’s lenders.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formed Horizon Funding 2019-1 LLC (“2019-1 LLC”) as a Delaware limited liability company on May 2, 2019 and Horizon Funding Trust 2019-1 on May 15, 2019 (“2019-1 Trust” and, together with the 2019-1 LLC, the “2019-1 Entities”). The 2019-1 Entities are special purpose bankruptcy remote entities and are separate legal entities from the Company. The Company formed the 2019-1 Entities for purposes of securitizing $160.0 million of secured loans and issuing fixed-rate asset-backed notes in an aggregate principal amount of $100.0 million (the “Asset-Backed Notes”).</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has also established an additional wholly owned subsidiary, which is structured as a Delaware limited liability company, to hold the assets of a portfolio company acquired in connection with foreclosure or bankruptcy, which is a separate legal entity from the Company.</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Company’s investment strategy is to maximize the investment portfolio’s return by generating current income from the debt investments the Company makes and capital appreciation from the warrants the Company receives when making such debt investments. The Company has entered into an investment management agreement (the “Investment Management Agreement”) with Horizon Technology Finance Management LLC (the “Advisor”) under which the Advisor manages the day-to-day operations of, and provides investment advisory services to, the Company.</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March 26, 2019, the Company completed a follow-on public offering of 2,000,000 shares of its common stock at a public offering price of $12.14 per share, for total net proceeds to the Company of $23.1 million, after deducting underwriting commission and discounts and other offering expenses.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Basis of presentation and significant accounting policies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consolidated financial statements of the Company have been prepared in accordance with U.S. generally accepted accounting principles (“GAAP”) and pursuant to the requirements for reporting on Form 10-Q and Articles 6 and 10 of Regulation S-X (“Regulation S-X”) under the Securities Act of 1933, as amended (the “Securities Act”). In the opinion of management, the consolidated financial statements reflect all adjustments and reclassifications that are necessary for the fair presentation of financial results as of and for the periods presented. All intercompany balances and transactions have been eliminated. The current period’s results of operations are not necessarily indicative of results that ultimately may be achieved for the year. Therefore, the unaudited financial statements and notes should be read in conjunction with the audited financial statements and notes thereto for the year ended December 31, 2018.</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required under GAAP and Regulation S-X, the Company will generally consolidate its investment in a company that is an investment company subsidiary or a controlled operating company whose business consists of providing services to the Company. Accordingly, the Company consolidated the results of the Company’s wholly-owned subsidiaries in its consolidated financial statements. Although the Company owns more than 25% of the voting securities of HSLFI, the Company does not have sole control over significant actions of HSLFI for purposes of the 1940 Act or otherwise, and thus does not consolidate its interest.</w:t>
      </w:r>
    </w:p>
    <w:p>
      <w:pPr>
        <w:spacing w:after="0" w:line="18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Assets related to transactions that do not meet ASC Topic 860 requirements for accounting sale treatment are reflected in the Company’s Consolidated Statements of Financial Condition as investments. Those assets are owned by special purpose entities, including 2019-1 Entities that are consolidated in the Company’s consolidated financial statements. The creditors of the special purpose entities have received security interests in such assets and such assets are not intended to be available to the creditors of the Company (or any affiliate of the Company).</w:t>
      </w:r>
    </w:p>
    <w:p>
      <w:pPr>
        <w:spacing w:after="0" w:line="17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preparing the consolidated financial statements in accordance with GAAP, management is required to make estimates and assumptions that affect the reported amounts of assets and liabilities, and disclosures of contingent assets and liabilities, as of the date of the balance sheet and income and expenses for the period. Actual results could differ from those estimates. Material estimates that are particularly susceptible to significant change in the near term relate to the valuation of investments.</w:t>
      </w:r>
    </w:p>
    <w:p>
      <w:pPr>
        <w:spacing w:after="0" w:line="17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Fair value</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records all of its investments at fair value in accordance with relevant GAAP, which establishes a framework used to measure fair value and requires disclosures for fair value measurements. The Company has categorized its investments carried at fair value, based on the priority of the valuation technique, into a three-level fair value hierarchy as more fully described in Note 6. Fair value is a market-based measure considered from the perspective of the market participant who holds the financial instrument rather than an entity specific measure. Therefore, when market assumptions are not readily available, the Company’s own assumptions are set to reflect those that management believes market participants would use in pricing the financial instrument at the measurement date.</w:t>
      </w:r>
    </w:p>
    <w:p>
      <w:pPr>
        <w:spacing w:after="0" w:line="18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availability of observable inputs can vary depending on the financial instrument and is affected by a wide variety of factors, including, for example, the type of product, whether the product is new, whether the product is traded on an active exchange or in the secondary market and the current market conditions. To the extent that the valuation is based on models or inputs that are less observable or unobservable in the market, the determination of fair value requires more judgment. Accordingly, the degree of judgment exercised by the Company in determining fair value is greatest for financial instruments classified as Level 3.</w:t>
      </w:r>
    </w:p>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Note 6 for additional information regarding fair value.</w:t>
      </w:r>
    </w:p>
    <w:p>
      <w:pPr>
        <w:spacing w:after="0" w:line="22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Segments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has determined that it has a single reporting segment and operating unit structure. The Company lends to and invests in portfolio companies in various technology, life science, healthcare information and services and sustainability industries. The Company separately evaluates the performance of each of its lending and investment relationships. However, because each of these debt investments and investment relationships has similar business and economic characteristics, they have been aggregated into a single lending and investment segment.</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Investments are recorded at fair value. The Company’s board of directors (the “Board”) determines the fair value of the Company’s portfolio investments.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the intent to hold its debt investments for the foreseeable future or until maturity or payoff.</w:t>
      </w:r>
    </w:p>
    <w:p>
      <w:pPr>
        <w:spacing w:after="0" w:line="20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Interest on debt investments is accrued and included in income based on contractual rates applied to principal amounts outstanding. Interest income is determined using a method that results in a level rate of return on principal amounts outstanding. Generally, when a debt investment becomes 90 days or more past due, or if the Company otherwise does not expect to receive interest and principal repayments, the debt investment is placed on non-accrual status and the recognition of interest income may be discontinued. Interest payments received on non-accrual debt investments may be recognized as income, on a cash basis, or applied to principal depending upon management’s judgment at the time the debt investment is placed on non-accrual status. As of September 30, 2019, there was one debt investment on non-accrual status with a cost of $3.7 million and a fair value of $1.5 million. As of December 31, 2018, there were no debt investments on non-accrual status. For the three and nine months ended September 30, 2019 and 2018, the Company did not recognize any interest income from debt investments on non-accrual status.</w:t>
      </w:r>
    </w:p>
    <w:p>
      <w:pPr>
        <w:spacing w:after="0" w:line="18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receives a variety of fees from borrowers in the ordinary course of conducting its business, including advisory fees, commitment fees, amendment fees, non-utilization fees, success fees and prepayment fees. In a limited number of cases, the Company may also receive a non-refundable deposit earned upon the termination of a transaction. Debt investment origination fees, net of certain direct origination costs, are deferred and, along with unearned income, are amortized as a level-yield adjustment over the respective term of the debt investment. All other income is recognized when earned. Fees for counterparty debt investment commitments with multiple debt investments are allocated to each debt investment based upon each debt investment’s relative fair value. When a debt investment is placed on non-accrual status, the amortization of the related fees and unearned income is discontinued until the debt investment is returned to accrual status.</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Certain debt investment agreements also require the borrower to make an ETP, that is accrued into interest receivable and taken into income over the life of the debt investment to the extent such amounts are expected to be collected. The Company will generally cease accruing the income if there is insufficient value to support the accrual or the Company does not expect the borrower to be able to pay the ETP when due. The proportion of the Company’s total investment income that resulted from the portion of ETPs not received in cash for the three months ended September 30, 2019 and 2018 was 4.5% and 7.6%, respectively. The proportion of the Company’s total investment income that resulted from the portion of ETPs not received in cash for the nine months ended September 30, 2019 and 2018 was 5.9% and 7.3%, respectively.</w:t>
      </w:r>
    </w:p>
    <w:p>
      <w:pPr>
        <w:spacing w:after="0" w:line="18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connection with substantially all lending arrangements, the Company receives warrants to purchase shares of stock from the borrower. The warrants are recorded as assets at estimated fair value on the grant date using the Black-Scholes valuation model. The warrants are considered loan fees and are recorded as unearned income on the grant date. The unearned income is recognized as interest income over the contractual life of the related debt investment in accordance with the Company’s income recognition policy. Subsequent to debt investment origination, the fair value of the warrants is determined using the Black-Scholes valuation model. Any adjustment to fair value is recorded through earnings as net unrealized appreciation or depreciation on investments. Gains and losses from the disposition of the warrants or stock acquired from the exercise of warrants are recognized as realized gains and losses on investments.</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Distributions from HSLFI are evaluated at the time of distribution to determine if the distribution should be recorded as dividend income or a return of capital. Generally, the Company will not record distributions from HSLFI as dividend income unless there are sufficient accumulated tax-basis earnings and profit in HSLFI prior to distribution. Distributions that are classified as a return of capital are recorded as a reduction in the cost basis of the investment. For the three and nine months ended September 30, 2019, HSLFI distributed $0.2 million and $0.7 million, respectively, classified as dividend income to the Company. For the period June 1, 2018 (the commencement of HSLFI’s operations) through September 30, 2018, HSLFI distributed $0.1 million as dividend income to the Company.</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Realized gains or losses on the sale of investments, or upon the determination that an investment balance, or portion thereof, is not recoverable, are calculated using the specific identification method. The Company measures realized gains or losses by calculating the difference between the net proceeds from the repayment or sale and the amortized cost basis of the investment. Net change in unrealized appreciation or depreciation reflects the change in the fair values of the Company’s portfolio investments during the reporting period, including any reversal of previously recorded unrealized appreciation or depreciation when gains or losses are realized.</w:t>
      </w:r>
    </w:p>
    <w:p>
      <w:pPr>
        <w:spacing w:after="0" w:line="1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Debt issuance costs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Debt issuance costs are fees and other direct incremental costs incurred by the Company in obtaining debt financing from its lenders and issuing debt securities. The unamortized balance of debt issuance costs as of September 30, 2019 and December 31, 2018 was $3.5 million and $2.2 million, respectively. These amounts are amortized and included in interest expense in the consolidated statements of operations over the life of the borrowings. The accumulated amortization balances as of September 30, 2019 and December 31, 2018 were $2.9 million and $2.4 million, respectively. The amortization expense for the three months ended September 30, 2019 and 2018 was $0.2 million and $0.1 million, respectively. The amortization expense for the nine months ended September 30, 2019 and 2018 was $0.5 million and $0.4 million, respectively.</w:t>
      </w:r>
    </w:p>
    <w:p>
      <w:pPr>
        <w:spacing w:after="0" w:line="18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As a BDC, the Company has elected to be treated as a RIC under Subchapter M of the Code and operates in a manner so as to qualify for the tax treatment applicable to RICs. In order to qualify as a RIC and to avoid the imposition of corporate-level income tax on the portion of its taxable income distributed to stockholders, among other things, the Company is required to meet certain source of income and asset diversification requirements and to timely distribute dividends out of assets legally available for distribution to its stockholders of an amount generally at least equal to 90% of its investment company taxable income, as defined by the Code and determined without regard to any deduction for dividends paid, for each tax year. The Company, among other things, has made and intends to continue to make the requisite distributions to its stockholders, which generally relieves the Company from corporate-level U.S. federal income taxes. Accordingly, no provision for federal income tax has been recorded in the financial statements. Differences between taxable income and net increase in net assets resulting from operations either can be temporary, meaning they will reverse in the future, or permanent. In accordance with Topic 946, </w:t>
      </w:r>
      <w:r>
        <w:rPr>
          <w:rFonts w:ascii="Times New Roman" w:cs="Times New Roman" w:eastAsia="Times New Roman" w:hAnsi="Times New Roman"/>
          <w:sz w:val="18"/>
          <w:szCs w:val="18"/>
          <w:i w:val="1"/>
          <w:iCs w:val="1"/>
          <w:color w:val="auto"/>
        </w:rPr>
        <w:t>Financial Services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Investment Companies</w:t>
      </w:r>
      <w:r>
        <w:rPr>
          <w:rFonts w:ascii="Times New Roman" w:cs="Times New Roman" w:eastAsia="Times New Roman" w:hAnsi="Times New Roman"/>
          <w:sz w:val="18"/>
          <w:szCs w:val="18"/>
          <w:color w:val="auto"/>
        </w:rPr>
        <w:t>, of the Financial Accounting Standards Board’s (“FASB’s”), Accounting Standards Codification, as amended (“ASC”), permanent tax differences, such as non-deductible excise taxes paid, are reclassified from distributions in excess of net investment income and net realized loss on investments to paid-in-capital at the end of each fiscal year. These permanent book-to-tax differences are reclassified on the consolidated statements of changes in net assets to reflect their tax character but have no impact on total net assets. For the year ended December 31, 2018, the Company reclassified $0.03 million to paid-in capital from distributions in excess of net investment income, which related to excise taxes payable.</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Depending on the level of taxable income earned in a tax year, the Company may choose to carry forward taxable income in excess of current year distributions into the next tax year and incur a 4% U.S. federal excise tax on such income, as required. To the extent that the Company determines that its estimated current year annual taxable income will be in excess of estimated current year distributions, the Company accrues excise tax, if any, on estimated excess taxable income as taxable income is earned. For the three and nine months ended September 30, 2019 and 2018, there was no U.S. federal excise tax recorded.</w:t>
      </w:r>
    </w:p>
    <w:p>
      <w:pPr>
        <w:spacing w:after="0" w:line="18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The Company evaluates tax positions taken in the course of preparing the Company’s tax returns to determine whether the tax positions are “more-likely-than-not” to be sustained by the applicable tax authority in accordance with ASC Topic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as modified by ASC Topic 946. Tax benefits of positions not deemed to meet the more-likely-than-not threshold, or uncertain tax positions, would be recorded as a tax expense in the current year. It is the Company’s policy to recognize accrued interest and penalties related to uncertain tax benefits in income tax expense. The Company had no material uncertain tax positions at September 30, 2019 and December 31, 2018. The Company’s income tax returns for the 2017, 2016 and 2015 tax years remain subject to examination by U.S. federal and state tax authorities.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Distributions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Distributions to common stockholders are recorded on the declaration date. The amount to be paid out as distributions is determined by the Board. Net realized capital gains, if any, may be distributed, although the Company may decide to retain such net realized gains for investment.</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has adopted a dividend reinvestment plan that provides for reinvestment of cash distributions on behalf of its stockholders, unless a stockholder elects to receive cash. As a result, if the Board declares a cash distribution, then stockholders who have not “opted out” of the dividend reinvestment plan will have their cash distributions automatically reinvested in additional shares of the Company’s common stock, rather than receiving the cash distribution. The Company may issue new shares or purchase shares in the open market to fulfill its obligations under the plan.</w:t>
      </w:r>
    </w:p>
    <w:p>
      <w:pPr>
        <w:spacing w:after="0" w:line="17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Stockholders’ Equity</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August 2, 2019 the Company entered into an At-The-Market (“ATM”) sales agreement (the “Equity Distribution Agreement”), with Goldman Sachs &amp; Co. LLC and B. Riley FBR, Inc. (each a “Sales Agent” and, collectively, the “Sales Agents”). The Equity Distribution Agreement provides that Horizon may offer and sell its shares from time to time through the Sales Agents up to $50.0 million worth of its common stock, in amounts and at times to be determined by the Company. Sales of the Company’s common stock, if any, may be made in negotiated transactions or transactions that are deemed to be “at-the-market,” as defined in Rule 415 under the Securities Act, including sales made directly on the NASDAQ or similar securities exchange or sales made to or through a market maker other than on an exchange, at prices related to the prevailing market prices or at negotiated prices.</w:t>
      </w:r>
    </w:p>
    <w:p>
      <w:pPr>
        <w:spacing w:after="0" w:line="18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three and nine months ended September 30, 2019, the Company sold approximately 0.9 million shares of common stock under the Equity Distribution Agreement. For the same period, the Company received total accumulated proceeds of approximately $10.4 million, including $0.2 million of offering expenses, from these sales.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generally uses net proceeds from these offerings to make investments, to pay down liabilities and for general corporate purposes. As of September 30, 2019, shares representing approximately $39.6 million of its common stock remain available for issuance and sale under the Equity Distribution Agreement. See “Note 12 – Subsequent Events”.</w:t>
      </w:r>
    </w:p>
    <w:p>
      <w:pPr>
        <w:spacing w:after="0" w:line="17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Program</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April 26, 2019, the Board extended a previously authorized stock repurchase program which allows the Company to repurchase up to $5.0 million of its common stock at prices below the Company’s net asset value per share as reported in its most recent consolidated financial statements. Under the repurchase program, the Company may, but is not obligated to, repurchase shares of its outstanding common stock in the open market or in privately negotiated transactions from time to time. Any repurchases by the Company will comply with the requirements of Rule 10b-18 under the Securities Exchange Act of 1934, as amended (the “Exchange Act”), and any applicable requirements of the 1940 Act. Unless extended by the Board, the repurchase program will terminate on the earlier of June 30, 2020 or the repurchase of $5.0 million of the Company’s common stock. During the three and nine months ended September 30, 2019 and 2018, the Company did not make any repurchases of its common stock. From the inception of the stock repurchase program through September 30, 2019, the Company repurchased 167,465 shares of its common stock at an average price of $11.22 on the open market at a total cost of $1.9 million.</w:t>
      </w:r>
    </w:p>
    <w:p>
      <w:pPr>
        <w:spacing w:after="0" w:line="18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Transfers of financial assets</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Assets related to transactions that do not meet the requirements under ASC Topic 860, </w:t>
      </w:r>
      <w:r>
        <w:rPr>
          <w:rFonts w:ascii="Times New Roman" w:cs="Times New Roman" w:eastAsia="Times New Roman" w:hAnsi="Times New Roman"/>
          <w:sz w:val="18"/>
          <w:szCs w:val="18"/>
          <w:i w:val="1"/>
          <w:iCs w:val="1"/>
          <w:color w:val="auto"/>
        </w:rPr>
        <w:t>Transfers and Servicing</w:t>
      </w:r>
      <w:r>
        <w:rPr>
          <w:rFonts w:ascii="Times New Roman" w:cs="Times New Roman" w:eastAsia="Times New Roman" w:hAnsi="Times New Roman"/>
          <w:sz w:val="18"/>
          <w:szCs w:val="18"/>
          <w:color w:val="auto"/>
        </w:rPr>
        <w:t xml:space="preserve"> for sale treatment under GAAP are reflected in the Company’s consolidated statements of assets and liabilities as investments. Those assets are owned by special purpose entities that are consolidated in the Company’s financial statements. The creditors of the special purpose entities have received security interests in such assets and such assets are not intended to be available to the creditors of the Company (or any other affiliate of the Company).</w:t>
      </w:r>
    </w:p>
    <w:p>
      <w:pPr>
        <w:spacing w:after="0" w:line="18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Transfers of financial assets are accounted for as sales when control over the assets has been surrendered. Control over transferred assets is deemed to be surrendered when (1) the assets have been isolated from the Company — put presumptively beyond the reach of the transferor and its creditors, even in bankruptcy or other receivership, (2) the transferee obtains the right (free of conditions that constrain it from taking advantage of that right) to pledge or exchange the transferred assets and (3) the transferor does not maintain effective control over the transferred assets through either (a) an agreement that both entitles and obligates the transferor to repurchase or redeem the assets before maturity or (b) the ability to unilaterally cause the holder to return specific assets, other than through a cleanup call.</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April 2014, the FASB issued Accounting Standards Update 2014-09, Revenue from Contracts with Customers (Topic 606) (“ASU 2014-09”), which amends existing revenue recognition guidance to depict the transfer of promised goods or services to customers in an amount that reflects the consideration to which the entity expects to be entitled in exchange for those goods or services. ASU 2014-09 is effective for annual and interim periods beginning after December 15, 2017. As required, the Company adopted ASU 2014-09 effective January 1, 2018, and such adoption did not have an impact on the Company’s consolidated financial statements and disclosures.</w:t>
      </w:r>
    </w:p>
    <w:p>
      <w:pPr>
        <w:spacing w:after="0" w:line="18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August 2018, the FASB issued ASU 2018-13, Fair Value Measurement (Topic 820): Disclosure Framework — Changes to the Disclosure Requirements for Fair Value Measurement (“ASU 2018-13”), which modifies disclosure requirements for the fair value measurement of Level 3 securities of public companies. This guidance is effective for annual and interim periods beginning on or after December 15, 2019 and early adoption is permitted. The Company elected to early adopt ASU 2018-13 for the year ended December 31, 2018. As a result, no significant changes were made to the Company’s disclosures in the notes to the consolidated financial statements.</w:t>
      </w:r>
    </w:p>
    <w:p>
      <w:pPr>
        <w:spacing w:after="0" w:line="1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Securities and Exchange Commission Disclosure Update and Simplification</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August 2018, the Securities and Exchange Commission (the “SEC”) adopted the final rule under SEC Release No. 33-10532, Disclosure Update and Simplification (the “SEC Release”), amending certain disclosure requirements that were redundant, duplicative, overlapping, outdated or superseded. The SEC Release is effective for all filings on or after November 5, 2018. As required, the Company adopted the SEC Release for the year ended December 31, 2018. The SEC Release required changes to the presentation of the Company's Consolidated Statements of Assets and Liabilities and the Consolidated Statements of Changes in Net Assets. Prior to adoption, the Company presented distributable earnings on the Consolidated Statements of Assets and Liabilities and the Consolidated Statement of Net Assets as three components: 1) distributions in excess of net investment income; 2) net unrealized depreciation on investments; and 3) net realized loss on investments. Upon adoption, the Company presents distributable earnings in total on the Consolidated Statements of Assets and Liabilities and the Consolidated Statements of Changes in Net Assets. The changes in presentation have been retrospectively applied to the Consolidated Statements of Changes in Net Assets for the nine months ended September 30, 2018.</w:t>
      </w:r>
    </w:p>
    <w:p>
      <w:pPr>
        <w:spacing w:after="0" w:line="189"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provides a reconciliation of previously disclosed components of distributable earnings on the Consolidated Statement of Changes in Net Assets as of September 30, 2018 to currently disclosed total distributable earnings on the Consolidated Statement of Assets and Liabilities as of September 30, 2018:</w:t>
      </w:r>
    </w:p>
    <w:p>
      <w:pPr>
        <w:sectPr>
          <w:pgSz w:w="11900" w:h="16838" w:orient="portrait"/>
          <w:cols w:equalWidth="0" w:num="1">
            <w:col w:w="11420"/>
          </w:cols>
          <w:pgMar w:left="240" w:top="90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investment income, net of excise tax</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unrealized appreciation on investments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realized loss on investments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increase in net assets resulting from operations</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 2018</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0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center"/>
              <w:ind w:right="1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2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2"/>
          </w:tcPr>
          <w:p>
            <w:pPr>
              <w:jc w:val="center"/>
              <w:ind w:right="220"/>
              <w:spacing w:after="0" w:line="188" w:lineRule="exact"/>
              <w:rPr>
                <w:sz w:val="20"/>
                <w:szCs w:val="20"/>
                <w:color w:val="auto"/>
              </w:rPr>
            </w:pPr>
            <w:r>
              <w:rPr>
                <w:rFonts w:ascii="Times New Roman" w:cs="Times New Roman" w:eastAsia="Times New Roman" w:hAnsi="Times New Roman"/>
                <w:sz w:val="18"/>
                <w:szCs w:val="18"/>
                <w:b w:val="1"/>
                <w:bCs w:val="1"/>
                <w:color w:val="auto"/>
              </w:rPr>
              <w:t>Net</w:t>
            </w: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216"/>
        </w:trPr>
        <w:tc>
          <w:tcPr>
            <w:tcW w:w="10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Undistributed</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14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(Distributions in</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Depreciation</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Net Realized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Excess of) Net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on</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Loss on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7"/>
              </w:rPr>
              <w:t>Distributable</w:t>
            </w:r>
          </w:p>
        </w:tc>
      </w:tr>
      <w:tr>
        <w:trPr>
          <w:trHeight w:val="238"/>
        </w:trPr>
        <w:tc>
          <w:tcPr>
            <w:tcW w:w="15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Investment Income</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Investments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Investments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Earnings</w:t>
            </w:r>
          </w:p>
        </w:tc>
      </w:tr>
      <w:tr>
        <w:trPr>
          <w:trHeight w:val="191"/>
        </w:trPr>
        <w:tc>
          <w:tcPr>
            <w:tcW w:w="10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820" w:type="dxa"/>
            <w:vAlign w:val="bottom"/>
            <w:tcBorders>
              <w:top w:val="single" w:sz="8" w:color="auto"/>
            </w:tcBorders>
            <w:gridSpan w:val="6"/>
          </w:tcPr>
          <w:p>
            <w:pPr>
              <w:jc w:val="right"/>
              <w:ind w:right="1080"/>
              <w:spacing w:after="0" w:line="191"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216"/>
        </w:trPr>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9,902</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9,902</w:t>
            </w:r>
          </w:p>
        </w:tc>
        <w:tc>
          <w:tcPr>
            <w:tcW w:w="6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60" w:type="dxa"/>
            <w:vAlign w:val="bottom"/>
          </w:tcPr>
          <w:p>
            <w:pPr>
              <w:spacing w:after="0"/>
              <w:rPr>
                <w:sz w:val="18"/>
                <w:szCs w:val="18"/>
                <w:color w:val="auto"/>
              </w:rPr>
            </w:pPr>
          </w:p>
        </w:tc>
      </w:tr>
      <w:tr>
        <w:trPr>
          <w:trHeight w:val="248"/>
        </w:trPr>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(237)</w:t>
            </w:r>
          </w:p>
        </w:tc>
      </w:tr>
      <w:tr>
        <w:trPr>
          <w:trHeight w:val="223"/>
        </w:trPr>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9,902</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20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9,792</w:t>
            </w:r>
          </w:p>
        </w:tc>
        <w:tc>
          <w:tcPr>
            <w:tcW w:w="60" w:type="dxa"/>
            <w:vAlign w:val="bottom"/>
          </w:tcPr>
          <w:p>
            <w:pPr>
              <w:spacing w:after="0"/>
              <w:rPr>
                <w:sz w:val="19"/>
                <w:szCs w:val="19"/>
                <w:color w:val="auto"/>
              </w:rPr>
            </w:pP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-3410585</wp:posOffset>
            </wp:positionH>
            <wp:positionV relativeFrom="paragraph">
              <wp:posOffset>-599440</wp:posOffset>
            </wp:positionV>
            <wp:extent cx="724662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-3410585</wp:posOffset>
            </wp:positionH>
            <wp:positionV relativeFrom="paragraph">
              <wp:posOffset>-325120</wp:posOffset>
            </wp:positionV>
            <wp:extent cx="7246620" cy="146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660" w:space="720"/>
            <w:col w:w="6040"/>
          </w:cols>
          <w:pgMar w:left="240" w:top="900" w:right="239" w:bottom="1440" w:gutter="0" w:footer="0" w:header="0"/>
          <w:type w:val="continuous"/>
        </w:sectPr>
      </w:pPr>
    </w:p>
    <w:p>
      <w:pPr>
        <w:spacing w:after="0" w:line="2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type w:val="continuous"/>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Related party transactions</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Investment Management Agreement</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At a special meeting of the stockholders on October 30, 2018, the stockholders approved a new Investment Management Agreement which became effective on March 7, 2019 upon a change of control of the Advisor. The new Investment Management Agreement replaced the previously effective Amended and Restated Investment Management Agreement dated as of October 28, 2010 and amended effective July 1, 2014. Under the terms of the Investment Management Agreement, the Advisor determines the composition of the Company’s investment portfolio, the nature and timing of the changes to the investment portfolio and the manner of implementing such changes; identifies, evaluates and negotiates the structure of the investments the Company makes (including performing due diligence on the Company’s prospective portfolio companies); and closes, monitors and administers the investments the Company makes, including the exercise of any voting or consent rights.</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Advisor’s services under the Investment Management Agreement are not exclusive to the Company, and the Advisor is free to furnish similar services to other entities so long as its services to the Company are not impaired. The Advisor is a registered investment adviser with the SEC. The Advisor receives fees for providing services to the Company under the Investment Management Agreement, consisting of two components, a base management fee and an incentive fee.</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Through October 30, 2018, the base management fee was calculated at an annual rate of 2.00% of the Company’s gross assets (less cash and cash equivalents) including any assets acquired with the proceeds of leverage. From and after October 31, 2018, the first date on which the reduced asset coverage requirements in Section 61(a)(2) of the 1940 Act applied to the Company, the base management fee was and will be calculated at an annual rate of 2.00% of the Company’s gross assets (less cash and cash equivalents) including any assets acquired with the proceeds of leverage; provided, that, to the extent the Company’s gross assets (less cash and cash equivalents) exceed $250 million, the base management fee on the amount of such excess over $250 million will be calculated at an annual rate of 1.60% of the Company’s gross assets (less cash and cash equivalents) including any assets acquired with the proceeds of leverage. The base management fee is payable monthly in arrears and is prorated for any partial month.</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base management fee payable at September 30, 2019 and December 31, 2018 was $0.5 million and $0.4 million, respectively. The base management fee expense was $1.4 million and $1.2 million for the three months ended September 30, 2019 and 2018, respectively. The base management fee expense was $4.1 million and $3.4 million for the nine months ended September 30, 2019 and 2018, respectively.</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incentive fee has two parts, as follows:</w:t>
      </w:r>
    </w:p>
    <w:p>
      <w:pPr>
        <w:spacing w:after="0" w:line="225" w:lineRule="exact"/>
        <w:rPr>
          <w:sz w:val="20"/>
          <w:szCs w:val="20"/>
          <w:color w:val="auto"/>
        </w:rPr>
      </w:pPr>
    </w:p>
    <w:p>
      <w:pPr>
        <w:jc w:val="both"/>
        <w:ind w:left="340" w:firstLine="324"/>
        <w:spacing w:after="0" w:line="252" w:lineRule="auto"/>
        <w:rPr>
          <w:sz w:val="20"/>
          <w:szCs w:val="20"/>
          <w:color w:val="auto"/>
        </w:rPr>
      </w:pPr>
      <w:r>
        <w:rPr>
          <w:rFonts w:ascii="Times New Roman" w:cs="Times New Roman" w:eastAsia="Times New Roman" w:hAnsi="Times New Roman"/>
          <w:sz w:val="18"/>
          <w:szCs w:val="18"/>
          <w:color w:val="auto"/>
        </w:rPr>
        <w:t>The first part, which is subject to the Incentive Fee Cap and Deferral Mechanism, as defined below, is calculated and payable quarterly in arrears based on the Company’s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commitment, origination, structuring, diligence and consulting fees or other fees received from portfolio companies) accrued during the calendar quarter, minus expenses for the quarter (including the base management fee, expenses payable under the Administration Agreement (as defined below), and any interest expense and any dividends paid on any issued and outstanding preferred stock, but excluding the incentive fee). Pre-Incentive Fee Net Investment Income includes, in the case of investments with a deferred interest feature (such as original issue discount, debt instruments with PIK interest and zero coupon securities), accrued income the Company has not yet received in cash. The incentive fee with respect to the Pre-Incentive Fee Net Investment Income is 20.00% of the amount, if any, by which the Pre-Incentive Fee Net Investment Income for the immediately preceding calendar quarter exceeds a hurdle rate of 1.75% (which is 7.00% annualized) of the Company’s net assets at the end of the immediately preceding calendar quarter, subject to a “catch-up” provision measured as of the end of each calendar quarter. Under this provision, in any calendar quarter, the Advisor receives no incentive fee until the Pre-Incentive Fee Net Investment Income equals the hurdle rate of 1.75%, but then receives, as a “catch-up,” 100.00% of the Pre-Incentive Fee Net Investment Income with respect to that portion of such Pre-Incentive Fee Net Investment Income, if any, that exceeds the hurdle rate but is less than 2.1875% quarterly (which is 8.75% annualized). The effect of this “catch-up” provision is that, if Pre-Incentive Fee Net Investment Income exceeds 2.1875% in any calendar quarter, the Advisor will receive 20.00% of the Pre-Incentive Fee Net Investment Income as if the hurdle rate did not apply.</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24" w:name="page25"/>
    <w:bookmarkEnd w:id="2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Horizon Technology Finance Corporation and Subsidiaries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9" w:lineRule="exact"/>
        <w:rPr>
          <w:sz w:val="20"/>
          <w:szCs w:val="20"/>
          <w:color w:val="auto"/>
        </w:rPr>
      </w:pPr>
    </w:p>
    <w:p>
      <w:pPr>
        <w:jc w:val="both"/>
        <w:ind w:left="340" w:firstLine="324"/>
        <w:spacing w:after="0" w:line="255" w:lineRule="auto"/>
        <w:rPr>
          <w:sz w:val="20"/>
          <w:szCs w:val="20"/>
          <w:color w:val="auto"/>
        </w:rPr>
      </w:pPr>
      <w:r>
        <w:rPr>
          <w:rFonts w:ascii="Times New Roman" w:cs="Times New Roman" w:eastAsia="Times New Roman" w:hAnsi="Times New Roman"/>
          <w:sz w:val="18"/>
          <w:szCs w:val="18"/>
          <w:color w:val="auto"/>
        </w:rPr>
        <w:t>Pre-Incentive Fee Net Investment Income does not include any realized capital gains, realized capital losses or unrealized capital appreciation or depreciation. Because of the structure of the incentive fee, it is possible that the Company may pay an incentive fee in a quarter in which the Company incurs a loss. For example, if the Company receives Pre-Incentive Fee Net Investment Income in excess of the quarterly minimum hurdle rate, the Company will pay the applicable incentive fee up to the Incentive Fee Cap, defined below, even if the Company has incurred a loss in that quarter due to realized and unrealized capital losses. The Company’s net investment income used to calculate this part of the incentive fee is also included in the amount of the Company’s gross assets used to calculate the 2.00% base management fee. These calculations are appropriately prorated for any period of less than three months and adjusted for any share issuances or repurchases during the current quarter.</w:t>
      </w:r>
    </w:p>
    <w:p>
      <w:pPr>
        <w:spacing w:after="0" w:line="189" w:lineRule="exact"/>
        <w:rPr>
          <w:sz w:val="20"/>
          <w:szCs w:val="20"/>
          <w:color w:val="auto"/>
        </w:rPr>
      </w:pPr>
    </w:p>
    <w:p>
      <w:pPr>
        <w:jc w:val="both"/>
        <w:ind w:left="340" w:firstLine="324"/>
        <w:spacing w:after="0" w:line="268" w:lineRule="auto"/>
        <w:rPr>
          <w:sz w:val="20"/>
          <w:szCs w:val="20"/>
          <w:color w:val="auto"/>
        </w:rPr>
      </w:pPr>
      <w:r>
        <w:rPr>
          <w:rFonts w:ascii="Times New Roman" w:cs="Times New Roman" w:eastAsia="Times New Roman" w:hAnsi="Times New Roman"/>
          <w:sz w:val="17"/>
          <w:szCs w:val="17"/>
          <w:color w:val="auto"/>
        </w:rPr>
        <w:t>Commencing with the calendar quarter beginning July 1, 2014, the incentive fee on Pre-Incentive Fee Net Investment Income is subject to a fee cap and deferral mechanism which is determined based upon a look-back period of up to three years and is expensed when incurred. For this purpose, the look-back period for the incentive fee based on Pre-Incentive Fee Net Investment Income (the “Incentive Fee Look-back Period”) includes the relevant calendar quarter and the 11 preceding full calendar quarters. Each quarterly incentive fee payable on Pre-Incentive Fee Net Investment Income is subject to a cap (the “Incentive Fee Cap”) and a deferral mechanism through which the Advisor may recoup a portion of such deferred incentive fees (collectively, the “Incentive Fee Cap and Deferral Mechanism”). The Incentive Fee Cap is equal to (a) 20.00% of Cumulative Pre-Incentive Fee Net Return (as defined below) during the Incentive Fee Look-back Period less (b) cumulative incentive fees of any kind paid to the Advisor during the Incentive Fee Look-back Period. To the extent the Incentive Fee Cap is zero or a negative value in any calendar quarter, the Company will not pay an incentive fee on Pre-Incentive Fee Net Investment Income to the Advisor in that quarter. To the extent that the payment of incentive fees on Pre-Incentive Fee Net Investment Income is limited by the Incentive Fee Cap, the payment of such fees will be deferred and paid in subsequent calendar quarters up to three years after their date of deferment, subject to certain limitations, which are set forth in the Investment Management Agreement. The Company only pays incentive fees on Pre-Incentive Fee Net Investment Income to the extent allowed by the Incentive Fee Cap and Deferral Mechanism. “Cumulative Pre-Incentive Fee Net Return” during any Incentive Fee Look-back Period means the sum of (a) Pre-Incentive Fee Net Investment Income and the base management fee for each calendar quarter during the Incentive Fee Look-back Period and (b) the sum of cumulative realized capital gains and losses, cumulative unrealized capital appreciation and cumulative unrealized capital depreciation during the applicable Incentive Fee Look-back Period.</w:t>
      </w:r>
    </w:p>
    <w:p>
      <w:pPr>
        <w:spacing w:after="0" w:line="183" w:lineRule="exact"/>
        <w:rPr>
          <w:sz w:val="20"/>
          <w:szCs w:val="20"/>
          <w:color w:val="auto"/>
        </w:rPr>
      </w:pPr>
    </w:p>
    <w:p>
      <w:pPr>
        <w:jc w:val="both"/>
        <w:ind w:left="340" w:firstLine="324"/>
        <w:spacing w:after="0" w:line="255" w:lineRule="auto"/>
        <w:rPr>
          <w:sz w:val="20"/>
          <w:szCs w:val="20"/>
          <w:color w:val="auto"/>
        </w:rPr>
      </w:pPr>
      <w:r>
        <w:rPr>
          <w:rFonts w:ascii="Times New Roman" w:cs="Times New Roman" w:eastAsia="Times New Roman" w:hAnsi="Times New Roman"/>
          <w:sz w:val="18"/>
          <w:szCs w:val="18"/>
          <w:color w:val="auto"/>
        </w:rPr>
        <w:t>The second part of the incentive fee is determined and payable in arrears as of the end of each calendar year (or, upon termination of the Investment Management Agreement, as of the termination date), and equals 20.00% of the Company’s realized capital gains, if any, on a cumulative basis from the date of the election to be a BDC through the end of each calendar year, computed net of all realized capital losses and unrealized capital depreciation on a cumulative basis through the end of such year, less all previous amounts paid in respect of the capital gain incentive fee. However, in accordance with GAAP, the Company is required to include the aggregate unrealized capital appreciation on investments in the calculation and accrue a capital gain incentive fee on a quarterly basis, as if such unrealized capital appreciation were realized, even though such unrealized capital appreciation is not permitted to be considered in calculating the fee actually payable under the Investment Management Agreement.</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March 5, 2019, the Advisor irrevocably waived the receipt of incentive fees related to the amounts previously deferred that it may be entitled to receive under the Investment Management Agreement for the period commencing on January 1, 2019 and ending on December 31, 2019. Such waived incentive fees will not be subject to recoupment. During the three months ended September 30, 2019, the Advisor did not waive any performance based incentive fees. During the nine months ended September 30, 2019, the Advisor waived performance based incentive fees of $1.8 million which the Advisor would have otherwise been paid by the Company.</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March 6, 2018, the Advisor irrevocably waived the receipt of incentive fees related to the amounts previously deferred that it may be entitled to receive under the Investment Management Agreement for the period commencing on January 1, 2018 and ending on December 31, 2018. Such waived incentive fees are not subject to recoupment. During the three and nine months ended September 30, 2018, the Advisor waived performance based incentive fees of $0.4 million and $0.6 million, respectively, which the Advisor would have otherwise earned.</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net performance based incentive fee expense was $1.4 million and $0.9 million for the three months ended September 30, 2019 and 2018, respectively. The net performance based incentive fee expense was $3.5 million and $2.2 million for the nine months ended September 30, 2019 and 2018, respectively. The incentive fee on Pre-Incentive Fee Net Investment Income was subject to the Incentive Fee Cap and Deferral Mechanism for the nine months ended September 30, 2018, which resulted in $0.2 million of reduced expense and additional net investment income. The performance based incentive fee payable as of September 30, 2019 and December 31, 2018 was $1.4 million and $1.0 million, respectively. The entire incentive fee payable as of September 30, 2019 and December 31, 2018 represented part one of the incentive fee.</w:t>
      </w:r>
    </w:p>
    <w:p>
      <w:pPr>
        <w:spacing w:after="0" w:line="18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Administration Agreement</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entered into an administration agreement (the “Administration Agreement”) with the Advisor to provide administrative services to the Company. For providing these services, facilities and personnel, the Company reimburses the Advisor for the Company’s allocable portion of overhead and other expenses incurred by the Advisor in performing its obligations under the Administration Agreement, including rent, the fees and expenses associated with performing compliance functions and the Company’s allocable portion of the costs of compensation and related expenses of the Company’s Chief Financial Officer and Chief Compliance Officer and their respective staffs. The administrative fee expense was $0.2 million for the three months ended September 30, 2019 and 2018. The administrative fee expense was $0.6 million and $0.5 million for the nine months ended September 30, 2019 and 2018,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Investments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shows the Company’s investments as of September 30, 2019 and December 31, 2018:</w:t>
      </w:r>
    </w:p>
    <w:p>
      <w:pPr>
        <w:spacing w:after="0" w:line="235"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35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80" w:type="dxa"/>
            <w:vAlign w:val="bottom"/>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September 30, 2019</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00" w:type="dxa"/>
            <w:vAlign w:val="bottom"/>
            <w:gridSpan w:val="5"/>
          </w:tcPr>
          <w:p>
            <w:pPr>
              <w:ind w:left="260"/>
              <w:spacing w:after="0"/>
              <w:rPr>
                <w:sz w:val="20"/>
                <w:szCs w:val="20"/>
                <w:color w:val="auto"/>
              </w:rPr>
            </w:pPr>
            <w:r>
              <w:rPr>
                <w:rFonts w:ascii="Times New Roman" w:cs="Times New Roman" w:eastAsia="Times New Roman" w:hAnsi="Times New Roman"/>
                <w:sz w:val="18"/>
                <w:szCs w:val="18"/>
                <w:b w:val="1"/>
                <w:bCs w:val="1"/>
                <w:color w:val="auto"/>
              </w:rPr>
              <w:t>December 31, 2018</w:t>
            </w:r>
          </w:p>
        </w:tc>
      </w:tr>
      <w:tr>
        <w:trPr>
          <w:trHeight w:val="223"/>
        </w:trPr>
        <w:tc>
          <w:tcPr>
            <w:tcW w:w="35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20" w:type="dxa"/>
            <w:vAlign w:val="bottom"/>
            <w:tcBorders>
              <w:top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18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00" w:type="dxa"/>
            <w:vAlign w:val="bottom"/>
            <w:tcBorders>
              <w:top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100" w:type="dxa"/>
            <w:vAlign w:val="bottom"/>
          </w:tcPr>
          <w:p>
            <w:pPr>
              <w:spacing w:after="0"/>
              <w:rPr>
                <w:sz w:val="19"/>
                <w:szCs w:val="19"/>
                <w:color w:val="auto"/>
              </w:rPr>
            </w:pPr>
          </w:p>
        </w:tc>
      </w:tr>
      <w:tr>
        <w:trPr>
          <w:trHeight w:val="210"/>
        </w:trPr>
        <w:tc>
          <w:tcPr>
            <w:tcW w:w="35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20" w:type="dxa"/>
            <w:vAlign w:val="bottom"/>
            <w:gridSpan w:val="4"/>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w:t>
            </w:r>
          </w:p>
        </w:tc>
        <w:tc>
          <w:tcPr>
            <w:tcW w:w="1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Debt</w:t>
            </w:r>
          </w:p>
        </w:tc>
        <w:tc>
          <w:tcPr>
            <w:tcW w:w="176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255,480</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253,185</w:t>
            </w:r>
          </w:p>
        </w:tc>
        <w:tc>
          <w:tcPr>
            <w:tcW w:w="4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217,093</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216,401</w:t>
            </w:r>
          </w:p>
        </w:tc>
        <w:tc>
          <w:tcPr>
            <w:tcW w:w="100" w:type="dxa"/>
            <w:vAlign w:val="bottom"/>
          </w:tcPr>
          <w:p>
            <w:pPr>
              <w:spacing w:after="0"/>
              <w:rPr>
                <w:sz w:val="18"/>
                <w:szCs w:val="18"/>
                <w:color w:val="auto"/>
              </w:rPr>
            </w:pPr>
          </w:p>
        </w:tc>
      </w:tr>
      <w:tr>
        <w:trPr>
          <w:trHeight w:val="216"/>
        </w:trPr>
        <w:tc>
          <w:tcPr>
            <w:tcW w:w="3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Warrants</w:t>
            </w:r>
          </w:p>
        </w:tc>
        <w:tc>
          <w:tcPr>
            <w:tcW w:w="1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9,830</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9,324</w:t>
            </w:r>
          </w:p>
        </w:tc>
        <w:tc>
          <w:tcPr>
            <w:tcW w:w="100" w:type="dxa"/>
            <w:vAlign w:val="bottom"/>
            <w:shd w:val="clear" w:color="auto" w:fill="CCEEFF"/>
          </w:tcPr>
          <w:p>
            <w:pPr>
              <w:spacing w:after="0"/>
              <w:rPr>
                <w:sz w:val="18"/>
                <w:szCs w:val="18"/>
                <w:color w:val="auto"/>
              </w:rPr>
            </w:pPr>
          </w:p>
        </w:tc>
      </w:tr>
      <w:tr>
        <w:trPr>
          <w:trHeight w:val="216"/>
        </w:trPr>
        <w:tc>
          <w:tcPr>
            <w:tcW w:w="3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1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11,815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7,640</w:t>
            </w:r>
          </w:p>
        </w:tc>
        <w:tc>
          <w:tcPr>
            <w:tcW w:w="100" w:type="dxa"/>
            <w:vAlign w:val="bottom"/>
          </w:tcPr>
          <w:p>
            <w:pPr>
              <w:spacing w:after="0"/>
              <w:rPr>
                <w:sz w:val="18"/>
                <w:szCs w:val="18"/>
                <w:color w:val="auto"/>
              </w:rPr>
            </w:pPr>
          </w:p>
        </w:tc>
      </w:tr>
      <w:tr>
        <w:trPr>
          <w:trHeight w:val="216"/>
        </w:trPr>
        <w:tc>
          <w:tcPr>
            <w:tcW w:w="3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Equity</w:t>
            </w:r>
          </w:p>
        </w:tc>
        <w:tc>
          <w:tcPr>
            <w:tcW w:w="1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3,293</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1,833</w:t>
            </w:r>
          </w:p>
        </w:tc>
        <w:tc>
          <w:tcPr>
            <w:tcW w:w="100" w:type="dxa"/>
            <w:vAlign w:val="bottom"/>
            <w:shd w:val="clear" w:color="auto" w:fill="CCEEFF"/>
          </w:tcPr>
          <w:p>
            <w:pPr>
              <w:spacing w:after="0"/>
              <w:rPr>
                <w:sz w:val="18"/>
                <w:szCs w:val="18"/>
                <w:color w:val="auto"/>
              </w:rPr>
            </w:pPr>
          </w:p>
        </w:tc>
      </w:tr>
      <w:tr>
        <w:trPr>
          <w:trHeight w:val="230"/>
        </w:trPr>
        <w:tc>
          <w:tcPr>
            <w:tcW w:w="35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Equity interest in HSLFI</w:t>
            </w:r>
          </w:p>
        </w:tc>
        <w:tc>
          <w:tcPr>
            <w:tcW w:w="15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14,358</w:t>
            </w:r>
          </w:p>
        </w:tc>
        <w:tc>
          <w:tcPr>
            <w:tcW w:w="2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14,323</w:t>
            </w:r>
          </w:p>
        </w:tc>
        <w:tc>
          <w:tcPr>
            <w:tcW w:w="1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13,262</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13,243</w:t>
            </w:r>
          </w:p>
        </w:tc>
        <w:tc>
          <w:tcPr>
            <w:tcW w:w="100" w:type="dxa"/>
            <w:vAlign w:val="bottom"/>
            <w:tcBorders>
              <w:bottom w:val="single" w:sz="8" w:color="CCEEFF"/>
            </w:tcBorders>
          </w:tcPr>
          <w:p>
            <w:pPr>
              <w:spacing w:after="0"/>
              <w:rPr>
                <w:sz w:val="19"/>
                <w:szCs w:val="19"/>
                <w:color w:val="auto"/>
              </w:rPr>
            </w:pPr>
          </w:p>
        </w:tc>
      </w:tr>
      <w:tr>
        <w:trPr>
          <w:trHeight w:val="223"/>
        </w:trPr>
        <w:tc>
          <w:tcPr>
            <w:tcW w:w="3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investments</w:t>
            </w:r>
          </w:p>
        </w:tc>
        <w:tc>
          <w:tcPr>
            <w:tcW w:w="15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281,377</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281,519</w:t>
            </w:r>
          </w:p>
        </w:tc>
        <w:tc>
          <w:tcPr>
            <w:tcW w:w="1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250,921</w:t>
            </w: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248,441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35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shows the Company’s investments by industry sector as of September 30, 2019 and December 31, 2018:</w:t>
      </w:r>
    </w:p>
    <w:p>
      <w:pPr>
        <w:spacing w:after="0" w:line="235"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38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80" w:type="dxa"/>
            <w:vAlign w:val="bottom"/>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September 30, 2019</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00" w:type="dxa"/>
            <w:vAlign w:val="bottom"/>
            <w:gridSpan w:val="5"/>
          </w:tcPr>
          <w:p>
            <w:pPr>
              <w:ind w:left="260"/>
              <w:spacing w:after="0"/>
              <w:rPr>
                <w:sz w:val="20"/>
                <w:szCs w:val="20"/>
                <w:color w:val="auto"/>
              </w:rPr>
            </w:pPr>
            <w:r>
              <w:rPr>
                <w:rFonts w:ascii="Times New Roman" w:cs="Times New Roman" w:eastAsia="Times New Roman" w:hAnsi="Times New Roman"/>
                <w:sz w:val="18"/>
                <w:szCs w:val="18"/>
                <w:b w:val="1"/>
                <w:bCs w:val="1"/>
                <w:color w:val="auto"/>
              </w:rPr>
              <w:t>December 31, 2018</w:t>
            </w:r>
          </w:p>
        </w:tc>
      </w:tr>
      <w:tr>
        <w:trPr>
          <w:trHeight w:val="223"/>
        </w:trPr>
        <w:tc>
          <w:tcPr>
            <w:tcW w:w="38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20" w:type="dxa"/>
            <w:vAlign w:val="bottom"/>
            <w:tcBorders>
              <w:top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18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00" w:type="dxa"/>
            <w:vAlign w:val="bottom"/>
            <w:tcBorders>
              <w:top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100" w:type="dxa"/>
            <w:vAlign w:val="bottom"/>
          </w:tcPr>
          <w:p>
            <w:pPr>
              <w:spacing w:after="0"/>
              <w:rPr>
                <w:sz w:val="19"/>
                <w:szCs w:val="19"/>
                <w:color w:val="auto"/>
              </w:rPr>
            </w:pPr>
          </w:p>
        </w:tc>
      </w:tr>
      <w:tr>
        <w:trPr>
          <w:trHeight w:val="210"/>
        </w:trPr>
        <w:tc>
          <w:tcPr>
            <w:tcW w:w="38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20" w:type="dxa"/>
            <w:vAlign w:val="bottom"/>
            <w:gridSpan w:val="4"/>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Life Science</w:t>
            </w: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Biotechnology</w:t>
            </w:r>
          </w:p>
        </w:tc>
        <w:tc>
          <w:tcPr>
            <w:tcW w:w="144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43,929</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43,441</w:t>
            </w:r>
          </w:p>
        </w:tc>
        <w:tc>
          <w:tcPr>
            <w:tcW w:w="4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25,770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25,426</w:t>
            </w:r>
          </w:p>
        </w:tc>
        <w:tc>
          <w:tcPr>
            <w:tcW w:w="100" w:type="dxa"/>
            <w:vAlign w:val="bottom"/>
          </w:tcPr>
          <w:p>
            <w:pPr>
              <w:spacing w:after="0"/>
              <w:rPr>
                <w:sz w:val="18"/>
                <w:szCs w:val="18"/>
                <w:color w:val="auto"/>
              </w:rPr>
            </w:pPr>
          </w:p>
        </w:tc>
      </w:tr>
      <w:tr>
        <w:trPr>
          <w:trHeight w:val="216"/>
        </w:trPr>
        <w:tc>
          <w:tcPr>
            <w:tcW w:w="3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Drug Delivery</w:t>
            </w: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w:t>
            </w:r>
          </w:p>
        </w:tc>
        <w:tc>
          <w:tcPr>
            <w:tcW w:w="100" w:type="dxa"/>
            <w:vAlign w:val="bottom"/>
            <w:shd w:val="clear" w:color="auto" w:fill="CCEEFF"/>
          </w:tcPr>
          <w:p>
            <w:pPr>
              <w:spacing w:after="0"/>
              <w:rPr>
                <w:sz w:val="18"/>
                <w:szCs w:val="18"/>
                <w:color w:val="auto"/>
              </w:rPr>
            </w:pPr>
          </w:p>
        </w:tc>
      </w:tr>
      <w:tr>
        <w:trPr>
          <w:trHeight w:val="216"/>
        </w:trPr>
        <w:tc>
          <w:tcPr>
            <w:tcW w:w="3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Medical Device</w:t>
            </w: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68,753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69,336</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47,504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47,869</w:t>
            </w:r>
          </w:p>
        </w:tc>
        <w:tc>
          <w:tcPr>
            <w:tcW w:w="100" w:type="dxa"/>
            <w:vAlign w:val="bottom"/>
          </w:tcPr>
          <w:p>
            <w:pPr>
              <w:spacing w:after="0"/>
              <w:rPr>
                <w:sz w:val="18"/>
                <w:szCs w:val="18"/>
                <w:color w:val="auto"/>
              </w:rPr>
            </w:pP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w:t>
            </w: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Communications</w:t>
            </w: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14,718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12,352</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10,754</w:t>
            </w:r>
          </w:p>
        </w:tc>
        <w:tc>
          <w:tcPr>
            <w:tcW w:w="100" w:type="dxa"/>
            <w:vAlign w:val="bottom"/>
          </w:tcPr>
          <w:p>
            <w:pPr>
              <w:spacing w:after="0"/>
              <w:rPr>
                <w:sz w:val="18"/>
                <w:szCs w:val="18"/>
                <w:color w:val="auto"/>
              </w:rPr>
            </w:pPr>
          </w:p>
        </w:tc>
      </w:tr>
      <w:tr>
        <w:trPr>
          <w:trHeight w:val="216"/>
        </w:trPr>
        <w:tc>
          <w:tcPr>
            <w:tcW w:w="3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Consumer-Related</w:t>
            </w: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23,608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24,385</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21,094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22,061</w:t>
            </w:r>
          </w:p>
        </w:tc>
        <w:tc>
          <w:tcPr>
            <w:tcW w:w="100" w:type="dxa"/>
            <w:vAlign w:val="bottom"/>
            <w:shd w:val="clear" w:color="auto" w:fill="CCEEFF"/>
          </w:tcPr>
          <w:p>
            <w:pPr>
              <w:spacing w:after="0"/>
              <w:rPr>
                <w:sz w:val="18"/>
                <w:szCs w:val="18"/>
                <w:color w:val="auto"/>
              </w:rPr>
            </w:pPr>
          </w:p>
        </w:tc>
      </w:tr>
      <w:tr>
        <w:trPr>
          <w:trHeight w:val="216"/>
        </w:trPr>
        <w:tc>
          <w:tcPr>
            <w:tcW w:w="3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Data Storage</w:t>
            </w: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19,948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19,968</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14,132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10,036</w:t>
            </w:r>
          </w:p>
        </w:tc>
        <w:tc>
          <w:tcPr>
            <w:tcW w:w="100" w:type="dxa"/>
            <w:vAlign w:val="bottom"/>
          </w:tcPr>
          <w:p>
            <w:pPr>
              <w:spacing w:after="0"/>
              <w:rPr>
                <w:sz w:val="18"/>
                <w:szCs w:val="18"/>
                <w:color w:val="auto"/>
              </w:rPr>
            </w:pPr>
          </w:p>
        </w:tc>
      </w:tr>
      <w:tr>
        <w:trPr>
          <w:trHeight w:val="216"/>
        </w:trPr>
        <w:tc>
          <w:tcPr>
            <w:tcW w:w="3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Internet and Media</w:t>
            </w: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14,207</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38,132</w:t>
            </w:r>
          </w:p>
        </w:tc>
        <w:tc>
          <w:tcPr>
            <w:tcW w:w="100" w:type="dxa"/>
            <w:vAlign w:val="bottom"/>
            <w:shd w:val="clear" w:color="auto" w:fill="CCEEFF"/>
          </w:tcPr>
          <w:p>
            <w:pPr>
              <w:spacing w:after="0"/>
              <w:rPr>
                <w:sz w:val="18"/>
                <w:szCs w:val="18"/>
                <w:color w:val="auto"/>
              </w:rPr>
            </w:pPr>
          </w:p>
        </w:tc>
      </w:tr>
      <w:tr>
        <w:trPr>
          <w:trHeight w:val="216"/>
        </w:trPr>
        <w:tc>
          <w:tcPr>
            <w:tcW w:w="3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Materials</w:t>
            </w: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8,998</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9,013</w:t>
            </w:r>
          </w:p>
        </w:tc>
        <w:tc>
          <w:tcPr>
            <w:tcW w:w="100" w:type="dxa"/>
            <w:vAlign w:val="bottom"/>
          </w:tcPr>
          <w:p>
            <w:pPr>
              <w:spacing w:after="0"/>
              <w:rPr>
                <w:sz w:val="18"/>
                <w:szCs w:val="18"/>
                <w:color w:val="auto"/>
              </w:rPr>
            </w:pPr>
          </w:p>
        </w:tc>
      </w:tr>
      <w:tr>
        <w:trPr>
          <w:trHeight w:val="216"/>
        </w:trPr>
        <w:tc>
          <w:tcPr>
            <w:tcW w:w="3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Power Management</w:t>
            </w: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100" w:type="dxa"/>
            <w:vAlign w:val="bottom"/>
            <w:shd w:val="clear" w:color="auto" w:fill="CCEEFF"/>
          </w:tcPr>
          <w:p>
            <w:pPr>
              <w:spacing w:after="0"/>
              <w:rPr>
                <w:sz w:val="18"/>
                <w:szCs w:val="18"/>
                <w:color w:val="auto"/>
              </w:rPr>
            </w:pPr>
          </w:p>
        </w:tc>
      </w:tr>
      <w:tr>
        <w:trPr>
          <w:trHeight w:val="216"/>
        </w:trPr>
        <w:tc>
          <w:tcPr>
            <w:tcW w:w="3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Semiconductors</w:t>
            </w: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4,636</w:t>
            </w:r>
          </w:p>
        </w:tc>
        <w:tc>
          <w:tcPr>
            <w:tcW w:w="100" w:type="dxa"/>
            <w:vAlign w:val="bottom"/>
          </w:tcPr>
          <w:p>
            <w:pPr>
              <w:spacing w:after="0"/>
              <w:rPr>
                <w:sz w:val="18"/>
                <w:szCs w:val="18"/>
                <w:color w:val="auto"/>
              </w:rPr>
            </w:pPr>
          </w:p>
        </w:tc>
      </w:tr>
      <w:tr>
        <w:trPr>
          <w:trHeight w:val="216"/>
        </w:trPr>
        <w:tc>
          <w:tcPr>
            <w:tcW w:w="3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Software</w:t>
            </w: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54,714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55,258</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40,942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40,912</w:t>
            </w:r>
          </w:p>
        </w:tc>
        <w:tc>
          <w:tcPr>
            <w:tcW w:w="100" w:type="dxa"/>
            <w:vAlign w:val="bottom"/>
            <w:shd w:val="clear" w:color="auto" w:fill="CCEEFF"/>
          </w:tcPr>
          <w:p>
            <w:pPr>
              <w:spacing w:after="0"/>
              <w:rPr>
                <w:sz w:val="18"/>
                <w:szCs w:val="18"/>
                <w:color w:val="auto"/>
              </w:rPr>
            </w:pPr>
          </w:p>
        </w:tc>
      </w:tr>
      <w:tr>
        <w:trPr>
          <w:trHeight w:val="216"/>
        </w:trPr>
        <w:tc>
          <w:tcPr>
            <w:tcW w:w="3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Sustainability</w:t>
            </w: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Alternative Energy</w:t>
            </w: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Energy Efficiency</w:t>
            </w: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18"/>
                <w:szCs w:val="18"/>
                <w:color w:val="auto"/>
              </w:rPr>
            </w:pP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Healthcare Information and Services</w:t>
            </w: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Diagnostics</w:t>
            </w: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r>
      <w:tr>
        <w:trPr>
          <w:trHeight w:val="216"/>
        </w:trPr>
        <w:tc>
          <w:tcPr>
            <w:tcW w:w="3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1,736</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shd w:val="clear" w:color="auto" w:fill="CCEEFF"/>
          </w:tcPr>
          <w:p>
            <w:pPr>
              <w:spacing w:after="0"/>
              <w:rPr>
                <w:sz w:val="18"/>
                <w:szCs w:val="18"/>
                <w:color w:val="auto"/>
              </w:rPr>
            </w:pPr>
          </w:p>
        </w:tc>
      </w:tr>
      <w:tr>
        <w:trPr>
          <w:trHeight w:val="216"/>
        </w:trPr>
        <w:tc>
          <w:tcPr>
            <w:tcW w:w="3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Software</w:t>
            </w: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15,384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15,710</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23,720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23,977</w:t>
            </w:r>
          </w:p>
        </w:tc>
        <w:tc>
          <w:tcPr>
            <w:tcW w:w="100" w:type="dxa"/>
            <w:vAlign w:val="bottom"/>
          </w:tcPr>
          <w:p>
            <w:pPr>
              <w:spacing w:after="0"/>
              <w:rPr>
                <w:sz w:val="18"/>
                <w:szCs w:val="18"/>
                <w:color w:val="auto"/>
              </w:rPr>
            </w:pPr>
          </w:p>
        </w:tc>
      </w:tr>
      <w:tr>
        <w:trPr>
          <w:trHeight w:val="216"/>
        </w:trPr>
        <w:tc>
          <w:tcPr>
            <w:tcW w:w="38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Investment funds</w:t>
            </w: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384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HSLFI</w:t>
            </w:r>
          </w:p>
        </w:tc>
        <w:tc>
          <w:tcPr>
            <w:tcW w:w="12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14,358</w:t>
            </w:r>
          </w:p>
        </w:tc>
        <w:tc>
          <w:tcPr>
            <w:tcW w:w="2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14,323</w:t>
            </w:r>
          </w:p>
        </w:tc>
        <w:tc>
          <w:tcPr>
            <w:tcW w:w="1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13,262</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13,243</w:t>
            </w:r>
          </w:p>
        </w:tc>
        <w:tc>
          <w:tcPr>
            <w:tcW w:w="100" w:type="dxa"/>
            <w:vAlign w:val="bottom"/>
            <w:tcBorders>
              <w:bottom w:val="single" w:sz="8" w:color="CCEEFF"/>
            </w:tcBorders>
          </w:tcPr>
          <w:p>
            <w:pPr>
              <w:spacing w:after="0"/>
              <w:rPr>
                <w:sz w:val="19"/>
                <w:szCs w:val="19"/>
                <w:color w:val="auto"/>
              </w:rPr>
            </w:pPr>
          </w:p>
        </w:tc>
      </w:tr>
      <w:tr>
        <w:trPr>
          <w:trHeight w:val="223"/>
        </w:trPr>
        <w:tc>
          <w:tcPr>
            <w:tcW w:w="3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investments</w:t>
            </w:r>
          </w:p>
        </w:tc>
        <w:tc>
          <w:tcPr>
            <w:tcW w:w="1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281,377</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281,519</w:t>
            </w:r>
          </w:p>
        </w:tc>
        <w:tc>
          <w:tcPr>
            <w:tcW w:w="1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250,921</w:t>
            </w: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248,441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38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ectPr>
          <w:pgSz w:w="11900" w:h="16838" w:orient="portrait"/>
          <w:cols w:equalWidth="0" w:num="1">
            <w:col w:w="11420"/>
          </w:cols>
          <w:pgMar w:left="240" w:top="900" w:right="239" w:bottom="171" w:gutter="0" w:footer="0" w:header="0"/>
        </w:sectPr>
      </w:pPr>
    </w:p>
    <w:bookmarkStart w:id="26" w:name="page27"/>
    <w:bookmarkEnd w:id="26"/>
    <w:p>
      <w:pPr>
        <w:jc w:val="center"/>
        <w:ind w:right="-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17145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Horizon Secured Loan Fund I LLC</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June 1, 2018, the Company and Arena formed a joint venture, HSLFI, to make investments, either directly or indirectly through subsidiaries, primarily in secured loans to development-stage companies in the technology, life science, healthcare information and services and sustainability industries. HSLFI was formed as a Delaware limited liability company and is not consolidated by either the Company or Arena for financial reporting purposes. Investments held by HSLFI are measured at fair value using the same valuation methodology as described in Note 6. As of September 30, 2019 and December 31, 2018, HSLFI had total assets of $47.1 million and $26.4 million, respectively. HSLFI’s portfolio consisted of debt investments in seven and four portfolio companies as of September 30, 2019 and December 31, 2018, respectively. As of September 30, 2019, the largest investment in a single portfolio company in the HSLFI’s portfolio in aggregate principal amount was $11.3 million, and the five largest investments in portfolio companies in the HSLFI totaled $35.5 million. As of December 31, 2018, the largest investment in a single portfolio company in the HSLFI’s portfolio in aggregate principal amount was $8.3 million, and the four largest investments in portfolio companies in the HSLFI totaled $25.0 million. As of September 30, 2019 and December 31, 2018, HSLFI had no investments on non-accrual status. HSLFI invests in portfolio companies in the same industries in which the Company may directly invest.</w:t>
      </w:r>
    </w:p>
    <w:p>
      <w:pPr>
        <w:spacing w:after="0" w:line="19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invests cash or securities in portfolio companies in HSLFI in exchange for limited liability company equity interests in HSLFI. As of September 30, 2019 and December 31, 2018, the Company and Arena each owned 50.0% of the equity interests of HSLFI. The Company had an original commitment to fund $25.0 million of equity interests in HSLFI. As of September 30, 2019 and December 31, 2018, $11.1 and $11.7 million, respectively, was unfunded. The Company’s investment in HSLFI consisted of an equity contribution of $13.9 and $13.3 million as of September 30, 2019 and December 31, 2018, respectively. During the three and nine months ended September 30, 2019, HSLFI distributed $0.4 million and $1.4 million, respectively. For the period September 1, 2018 (the commencement of HSLFI’s operations) through September 30, 2018, there were no distributions from HSLFI.</w:t>
      </w:r>
    </w:p>
    <w:p>
      <w:pPr>
        <w:spacing w:after="0" w:line="18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and Arena each appointed two members to HSLFI’s four-person board of managers. All material decisions with respect to HSLFI, including those involving its investment portfolio, require unanimous approval of a quorum of the board of managers. Quorum is defined as (i) the presence of two members of the board of managers; provided that at least one individual is present that was elected, designated or appointed by each member; (ii) the presence of three members of the board of managers, provided that the individual that was elected, designated or appointed by the member with only one individual present will be entitled to cast two votes on each matter; or (iii) the presence of all four members of the board of managers.</w:t>
      </w:r>
    </w:p>
    <w:p>
      <w:pPr>
        <w:spacing w:after="0" w:line="18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Horizon Funding I, LLC (“HFI”) was formed as a Delaware limited liability company on May 9, 2018, with HSLFI as its sole member. HFI is a special purpose bankruptcy-remote entity and is a separate legal entity from HSLFI. Any assets conveyed to HFI are not available to creditors of HSLFI or any other entity other than HFI’s lenders.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on June 1, 2018, HSLFI entered into a sale and servicing agreement with HFI, as Issuer, and the Company, as Servicer, pursuant to which HSLFI will sell or contribute to HFI certain secured loans made to certain portfolio companies. HFI entered into a Note Funding Agreement (the “NYL Facility”) with several entities owned or affiliated with New York Life Insurance Company (“Noteholders”) for an aggregate purchase price of up to $100.0 million, with an accordion feature of up to $200.0 million at the mutual discretion and agreement of HSLFI and the Noteholders. The Note Funding Agreement has an investment period that ends on June 1, 2020, if not extended, followed by a five year amortization period and a scheduled final payment date of June 10, 2025, subject to any extension of the investment period. Any notes issued by HFI will be collateralized by all investments held by HFI and permit an advance rate of up to 67% of the aggregate principal amount of eligible debt investments. The interest rate on the notes issued under the NYL Facility is based on the three year USD mid-market swap rate plus a margin of between 2.75% and 3.25% depending on the rating of such notes at the time of issuance. There were $18.4 million in advances made by the Noteholders as of September 30, 2019 at an interest rate of 4.98%. There were no advances made by the Noteholders as of December 31, 2018.</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shows HSLFI’s investments as of September 30, 2019:</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00" w:type="dxa"/>
            <w:vAlign w:val="bottom"/>
          </w:tcPr>
          <w:p>
            <w:pPr>
              <w:spacing w:after="0"/>
              <w:rPr>
                <w:sz w:val="13"/>
                <w:szCs w:val="13"/>
                <w:color w:val="auto"/>
              </w:rPr>
            </w:pPr>
          </w:p>
        </w:tc>
        <w:tc>
          <w:tcPr>
            <w:tcW w:w="11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Cost of</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204"/>
        </w:trPr>
        <w:tc>
          <w:tcPr>
            <w:tcW w:w="3020" w:type="dxa"/>
            <w:vAlign w:val="bottom"/>
            <w:gridSpan w:val="2"/>
          </w:tcPr>
          <w:p>
            <w:pPr>
              <w:spacing w:after="0" w:line="204" w:lineRule="exact"/>
              <w:rPr>
                <w:sz w:val="20"/>
                <w:szCs w:val="20"/>
                <w:color w:val="auto"/>
              </w:rPr>
            </w:pPr>
            <w:r>
              <w:rPr>
                <w:rFonts w:ascii="Times New Roman" w:cs="Times New Roman" w:eastAsia="Times New Roman" w:hAnsi="Times New Roman"/>
                <w:sz w:val="14"/>
                <w:szCs w:val="14"/>
                <w:b w:val="1"/>
                <w:bCs w:val="1"/>
                <w:color w:val="auto"/>
              </w:rPr>
              <w:t xml:space="preserve">Portfolio Company </w:t>
            </w:r>
            <w:r>
              <w:rPr>
                <w:rFonts w:ascii="Times New Roman" w:cs="Times New Roman" w:eastAsia="Times New Roman" w:hAnsi="Times New Roman"/>
                <w:sz w:val="23"/>
                <w:szCs w:val="23"/>
                <w:b w:val="1"/>
                <w:bCs w:val="1"/>
                <w:color w:val="auto"/>
                <w:vertAlign w:val="superscript"/>
              </w:rPr>
              <w:t>(1)</w:t>
            </w:r>
          </w:p>
        </w:tc>
        <w:tc>
          <w:tcPr>
            <w:tcW w:w="1340" w:type="dxa"/>
            <w:vAlign w:val="bottom"/>
          </w:tcPr>
          <w:p>
            <w:pPr>
              <w:ind w:left="460"/>
              <w:spacing w:after="0"/>
              <w:rPr>
                <w:sz w:val="20"/>
                <w:szCs w:val="20"/>
                <w:color w:val="auto"/>
              </w:rPr>
            </w:pPr>
            <w:r>
              <w:rPr>
                <w:rFonts w:ascii="Times New Roman" w:cs="Times New Roman" w:eastAsia="Times New Roman" w:hAnsi="Times New Roman"/>
                <w:sz w:val="14"/>
                <w:szCs w:val="14"/>
                <w:b w:val="1"/>
                <w:bCs w:val="1"/>
                <w:color w:val="auto"/>
              </w:rPr>
              <w:t>Sector</w:t>
            </w:r>
          </w:p>
        </w:tc>
        <w:tc>
          <w:tcPr>
            <w:tcW w:w="2980" w:type="dxa"/>
            <w:vAlign w:val="bottom"/>
          </w:tcPr>
          <w:p>
            <w:pPr>
              <w:ind w:left="700"/>
              <w:spacing w:after="0" w:line="204" w:lineRule="exact"/>
              <w:rPr>
                <w:sz w:val="20"/>
                <w:szCs w:val="20"/>
                <w:color w:val="auto"/>
              </w:rPr>
            </w:pPr>
            <w:r>
              <w:rPr>
                <w:rFonts w:ascii="Times New Roman" w:cs="Times New Roman" w:eastAsia="Times New Roman" w:hAnsi="Times New Roman"/>
                <w:sz w:val="14"/>
                <w:szCs w:val="14"/>
                <w:b w:val="1"/>
                <w:bCs w:val="1"/>
                <w:color w:val="auto"/>
              </w:rPr>
              <w:t xml:space="preserve">Type of Investment </w:t>
            </w:r>
            <w:r>
              <w:rPr>
                <w:rFonts w:ascii="Times New Roman" w:cs="Times New Roman" w:eastAsia="Times New Roman" w:hAnsi="Times New Roman"/>
                <w:sz w:val="23"/>
                <w:szCs w:val="23"/>
                <w:b w:val="1"/>
                <w:bCs w:val="1"/>
                <w:color w:val="auto"/>
                <w:vertAlign w:val="superscript"/>
              </w:rPr>
              <w:t>(2)(3)(4)</w:t>
            </w:r>
          </w:p>
        </w:tc>
        <w:tc>
          <w:tcPr>
            <w:tcW w:w="320" w:type="dxa"/>
            <w:vAlign w:val="bottom"/>
          </w:tcPr>
          <w:p>
            <w:pPr>
              <w:spacing w:after="0"/>
              <w:rPr>
                <w:sz w:val="17"/>
                <w:szCs w:val="17"/>
                <w:color w:val="auto"/>
              </w:rPr>
            </w:pPr>
          </w:p>
        </w:tc>
        <w:tc>
          <w:tcPr>
            <w:tcW w:w="116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7"/>
                <w:szCs w:val="17"/>
                <w:color w:val="auto"/>
              </w:rPr>
            </w:pPr>
          </w:p>
        </w:tc>
        <w:tc>
          <w:tcPr>
            <w:tcW w:w="1140" w:type="dxa"/>
            <w:vAlign w:val="bottom"/>
            <w:gridSpan w:val="2"/>
          </w:tcPr>
          <w:p>
            <w:pPr>
              <w:jc w:val="right"/>
              <w:ind w:right="220"/>
              <w:spacing w:after="0" w:line="204" w:lineRule="exact"/>
              <w:rPr>
                <w:sz w:val="20"/>
                <w:szCs w:val="20"/>
                <w:color w:val="auto"/>
              </w:rPr>
            </w:pPr>
            <w:r>
              <w:rPr>
                <w:rFonts w:ascii="Times New Roman" w:cs="Times New Roman" w:eastAsia="Times New Roman" w:hAnsi="Times New Roman"/>
                <w:sz w:val="14"/>
                <w:szCs w:val="14"/>
                <w:b w:val="1"/>
                <w:bCs w:val="1"/>
                <w:color w:val="auto"/>
                <w:w w:val="99"/>
              </w:rPr>
              <w:t>Investments</w:t>
            </w:r>
            <w:r>
              <w:rPr>
                <w:rFonts w:ascii="Times New Roman" w:cs="Times New Roman" w:eastAsia="Times New Roman" w:hAnsi="Times New Roman"/>
                <w:sz w:val="23"/>
                <w:szCs w:val="23"/>
                <w:b w:val="1"/>
                <w:bCs w:val="1"/>
                <w:color w:val="auto"/>
                <w:w w:val="99"/>
                <w:vertAlign w:val="superscript"/>
              </w:rPr>
              <w:t>(5)</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00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c>
          <w:tcPr>
            <w:tcW w:w="2980" w:type="dxa"/>
            <w:vAlign w:val="bottom"/>
            <w:tcBorders>
              <w:top w:val="single" w:sz="8" w:color="auto"/>
            </w:tcBorders>
          </w:tcPr>
          <w:p>
            <w:pPr>
              <w:ind w:left="68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2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Debt Investments — Life science</w:t>
            </w:r>
          </w:p>
        </w:tc>
        <w:tc>
          <w:tcPr>
            <w:tcW w:w="1340" w:type="dxa"/>
            <w:vAlign w:val="bottom"/>
            <w:shd w:val="clear" w:color="auto" w:fill="CCEEFF"/>
          </w:tcPr>
          <w:p>
            <w:pPr>
              <w:spacing w:after="0"/>
              <w:rPr>
                <w:sz w:val="12"/>
                <w:szCs w:val="12"/>
                <w:color w:val="auto"/>
              </w:rPr>
            </w:pPr>
          </w:p>
        </w:tc>
        <w:tc>
          <w:tcPr>
            <w:tcW w:w="29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0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Celsion Corporation (6)(7)(8)</w:t>
            </w:r>
          </w:p>
        </w:tc>
        <w:tc>
          <w:tcPr>
            <w:tcW w:w="1340" w:type="dxa"/>
            <w:vAlign w:val="bottom"/>
          </w:tcPr>
          <w:p>
            <w:pPr>
              <w:ind w:left="200"/>
              <w:spacing w:after="0" w:line="126" w:lineRule="exact"/>
              <w:rPr>
                <w:sz w:val="20"/>
                <w:szCs w:val="20"/>
                <w:color w:val="auto"/>
              </w:rPr>
            </w:pPr>
            <w:r>
              <w:rPr>
                <w:rFonts w:ascii="Times New Roman" w:cs="Times New Roman" w:eastAsia="Times New Roman" w:hAnsi="Times New Roman"/>
                <w:sz w:val="14"/>
                <w:szCs w:val="14"/>
                <w:color w:val="auto"/>
              </w:rPr>
              <w:t>Biotechnology</w:t>
            </w:r>
          </w:p>
        </w:tc>
        <w:tc>
          <w:tcPr>
            <w:tcW w:w="2980" w:type="dxa"/>
            <w:vAlign w:val="bottom"/>
          </w:tcPr>
          <w:p>
            <w:pPr>
              <w:ind w:left="140"/>
              <w:spacing w:after="0" w:line="126" w:lineRule="exact"/>
              <w:rPr>
                <w:sz w:val="20"/>
                <w:szCs w:val="20"/>
                <w:color w:val="auto"/>
              </w:rPr>
            </w:pPr>
            <w:r>
              <w:rPr>
                <w:rFonts w:ascii="Times New Roman" w:cs="Times New Roman" w:eastAsia="Times New Roman" w:hAnsi="Times New Roman"/>
                <w:sz w:val="14"/>
                <w:szCs w:val="14"/>
                <w:color w:val="auto"/>
              </w:rPr>
              <w:t>Term Loan (9.73% cash (Libor + 7.63%; Floor</w:t>
            </w:r>
          </w:p>
        </w:tc>
        <w:tc>
          <w:tcPr>
            <w:tcW w:w="320" w:type="dxa"/>
            <w:vAlign w:val="bottom"/>
          </w:tcPr>
          <w:p>
            <w:pPr>
              <w:jc w:val="right"/>
              <w:ind w:right="48"/>
              <w:spacing w:after="0" w:line="126"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ind w:right="128"/>
              <w:spacing w:after="0" w:line="126" w:lineRule="exact"/>
              <w:rPr>
                <w:sz w:val="20"/>
                <w:szCs w:val="20"/>
                <w:color w:val="auto"/>
              </w:rPr>
            </w:pPr>
            <w:r>
              <w:rPr>
                <w:rFonts w:ascii="Times New Roman" w:cs="Times New Roman" w:eastAsia="Times New Roman" w:hAnsi="Times New Roman"/>
                <w:sz w:val="14"/>
                <w:szCs w:val="14"/>
                <w:color w:val="auto"/>
              </w:rPr>
              <w:t>2,500</w:t>
            </w:r>
          </w:p>
        </w:tc>
        <w:tc>
          <w:tcPr>
            <w:tcW w:w="10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2,461</w:t>
            </w:r>
          </w:p>
        </w:tc>
        <w:tc>
          <w:tcPr>
            <w:tcW w:w="360" w:type="dxa"/>
            <w:vAlign w:val="bottom"/>
            <w:gridSpan w:val="2"/>
          </w:tcPr>
          <w:p>
            <w:pPr>
              <w:jc w:val="right"/>
              <w:ind w:right="123"/>
              <w:spacing w:after="0" w:line="126"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2,461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9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9.63%), 4.00% ETP, Due 7/1/22)</w:t>
            </w: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00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2980" w:type="dxa"/>
            <w:vAlign w:val="bottom"/>
            <w:shd w:val="clear" w:color="auto" w:fill="CCEEFF"/>
          </w:tcPr>
          <w:p>
            <w:pPr>
              <w:ind w:left="140"/>
              <w:spacing w:after="0" w:line="126" w:lineRule="exact"/>
              <w:rPr>
                <w:sz w:val="20"/>
                <w:szCs w:val="20"/>
                <w:color w:val="auto"/>
              </w:rPr>
            </w:pPr>
            <w:r>
              <w:rPr>
                <w:rFonts w:ascii="Times New Roman" w:cs="Times New Roman" w:eastAsia="Times New Roman" w:hAnsi="Times New Roman"/>
                <w:sz w:val="14"/>
                <w:szCs w:val="14"/>
                <w:color w:val="auto"/>
              </w:rPr>
              <w:t>Term Loan (9.73% cash (Libor + 7.63%; Floor</w:t>
            </w:r>
          </w:p>
        </w:tc>
        <w:tc>
          <w:tcPr>
            <w:tcW w:w="320" w:type="dxa"/>
            <w:vAlign w:val="bottom"/>
            <w:shd w:val="clear" w:color="auto" w:fill="CCEEFF"/>
          </w:tcPr>
          <w:p>
            <w:pPr>
              <w:spacing w:after="0"/>
              <w:rPr>
                <w:sz w:val="10"/>
                <w:szCs w:val="10"/>
                <w:color w:val="auto"/>
              </w:rPr>
            </w:pPr>
          </w:p>
        </w:tc>
        <w:tc>
          <w:tcPr>
            <w:tcW w:w="1160" w:type="dxa"/>
            <w:vAlign w:val="bottom"/>
            <w:shd w:val="clear" w:color="auto" w:fill="CCEEFF"/>
          </w:tcPr>
          <w:p>
            <w:pPr>
              <w:jc w:val="right"/>
              <w:ind w:right="128"/>
              <w:spacing w:after="0" w:line="126" w:lineRule="exact"/>
              <w:rPr>
                <w:sz w:val="20"/>
                <w:szCs w:val="20"/>
                <w:color w:val="auto"/>
              </w:rPr>
            </w:pPr>
            <w:r>
              <w:rPr>
                <w:rFonts w:ascii="Times New Roman" w:cs="Times New Roman" w:eastAsia="Times New Roman" w:hAnsi="Times New Roman"/>
                <w:sz w:val="14"/>
                <w:szCs w:val="14"/>
                <w:color w:val="auto"/>
              </w:rPr>
              <w:t>2,500</w:t>
            </w:r>
          </w:p>
        </w:tc>
        <w:tc>
          <w:tcPr>
            <w:tcW w:w="10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2,461</w:t>
            </w:r>
          </w:p>
        </w:tc>
        <w:tc>
          <w:tcPr>
            <w:tcW w:w="360" w:type="dxa"/>
            <w:vAlign w:val="bottom"/>
            <w:gridSpan w:val="2"/>
            <w:shd w:val="clear" w:color="auto" w:fill="CCEEFF"/>
          </w:tcPr>
          <w:p>
            <w:pPr>
              <w:jc w:val="right"/>
              <w:ind w:right="123"/>
              <w:spacing w:after="0" w:line="126"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2,461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2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9.63%), 4.00% ETP, Due 7/1/22)</w:t>
            </w:r>
          </w:p>
        </w:tc>
        <w:tc>
          <w:tcPr>
            <w:tcW w:w="3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0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Encore Dermatology, Inc. (6)(7)</w:t>
            </w:r>
          </w:p>
        </w:tc>
        <w:tc>
          <w:tcPr>
            <w:tcW w:w="1340" w:type="dxa"/>
            <w:vAlign w:val="bottom"/>
          </w:tcPr>
          <w:p>
            <w:pPr>
              <w:ind w:left="200"/>
              <w:spacing w:after="0" w:line="126" w:lineRule="exact"/>
              <w:rPr>
                <w:sz w:val="20"/>
                <w:szCs w:val="20"/>
                <w:color w:val="auto"/>
              </w:rPr>
            </w:pPr>
            <w:r>
              <w:rPr>
                <w:rFonts w:ascii="Times New Roman" w:cs="Times New Roman" w:eastAsia="Times New Roman" w:hAnsi="Times New Roman"/>
                <w:sz w:val="14"/>
                <w:szCs w:val="14"/>
                <w:color w:val="auto"/>
              </w:rPr>
              <w:t>Biotechnology</w:t>
            </w:r>
          </w:p>
        </w:tc>
        <w:tc>
          <w:tcPr>
            <w:tcW w:w="2980" w:type="dxa"/>
            <w:vAlign w:val="bottom"/>
          </w:tcPr>
          <w:p>
            <w:pPr>
              <w:ind w:left="140"/>
              <w:spacing w:after="0" w:line="126" w:lineRule="exact"/>
              <w:rPr>
                <w:sz w:val="20"/>
                <w:szCs w:val="20"/>
                <w:color w:val="auto"/>
              </w:rPr>
            </w:pPr>
            <w:r>
              <w:rPr>
                <w:rFonts w:ascii="Times New Roman" w:cs="Times New Roman" w:eastAsia="Times New Roman" w:hAnsi="Times New Roman"/>
                <w:sz w:val="14"/>
                <w:szCs w:val="14"/>
                <w:color w:val="auto"/>
              </w:rPr>
              <w:t>Term Loan (10.00% cash (Libor + 7.50%;</w:t>
            </w:r>
          </w:p>
        </w:tc>
        <w:tc>
          <w:tcPr>
            <w:tcW w:w="320" w:type="dxa"/>
            <w:vAlign w:val="bottom"/>
          </w:tcPr>
          <w:p>
            <w:pPr>
              <w:spacing w:after="0"/>
              <w:rPr>
                <w:sz w:val="10"/>
                <w:szCs w:val="10"/>
                <w:color w:val="auto"/>
              </w:rPr>
            </w:pPr>
          </w:p>
        </w:tc>
        <w:tc>
          <w:tcPr>
            <w:tcW w:w="1160" w:type="dxa"/>
            <w:vAlign w:val="bottom"/>
          </w:tcPr>
          <w:p>
            <w:pPr>
              <w:jc w:val="right"/>
              <w:ind w:right="128"/>
              <w:spacing w:after="0" w:line="126" w:lineRule="exact"/>
              <w:rPr>
                <w:sz w:val="20"/>
                <w:szCs w:val="20"/>
                <w:color w:val="auto"/>
              </w:rPr>
            </w:pPr>
            <w:r>
              <w:rPr>
                <w:rFonts w:ascii="Times New Roman" w:cs="Times New Roman" w:eastAsia="Times New Roman" w:hAnsi="Times New Roman"/>
                <w:sz w:val="14"/>
                <w:szCs w:val="14"/>
                <w:color w:val="auto"/>
              </w:rPr>
              <w:t>5,000</w:t>
            </w:r>
          </w:p>
        </w:tc>
        <w:tc>
          <w:tcPr>
            <w:tcW w:w="100" w:type="dxa"/>
            <w:vAlign w:val="bottom"/>
          </w:tcPr>
          <w:p>
            <w:pPr>
              <w:spacing w:after="0"/>
              <w:rPr>
                <w:sz w:val="10"/>
                <w:szCs w:val="10"/>
                <w:color w:val="auto"/>
              </w:rPr>
            </w:pPr>
          </w:p>
        </w:tc>
        <w:tc>
          <w:tcPr>
            <w:tcW w:w="114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4,923</w:t>
            </w: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4,923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9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Floor 10.00%), 3.00% ETP, Due 4/1/23)</w:t>
            </w: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0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Mustang Bio, Inc. (6)(7)(8)</w:t>
            </w:r>
          </w:p>
        </w:tc>
        <w:tc>
          <w:tcPr>
            <w:tcW w:w="1340" w:type="dxa"/>
            <w:vAlign w:val="bottom"/>
            <w:shd w:val="clear" w:color="auto" w:fill="CCEEFF"/>
          </w:tcPr>
          <w:p>
            <w:pPr>
              <w:ind w:left="200"/>
              <w:spacing w:after="0" w:line="126" w:lineRule="exact"/>
              <w:rPr>
                <w:sz w:val="20"/>
                <w:szCs w:val="20"/>
                <w:color w:val="auto"/>
              </w:rPr>
            </w:pPr>
            <w:r>
              <w:rPr>
                <w:rFonts w:ascii="Times New Roman" w:cs="Times New Roman" w:eastAsia="Times New Roman" w:hAnsi="Times New Roman"/>
                <w:sz w:val="14"/>
                <w:szCs w:val="14"/>
                <w:color w:val="auto"/>
              </w:rPr>
              <w:t>Biotechnology</w:t>
            </w:r>
          </w:p>
        </w:tc>
        <w:tc>
          <w:tcPr>
            <w:tcW w:w="2980" w:type="dxa"/>
            <w:vAlign w:val="bottom"/>
            <w:shd w:val="clear" w:color="auto" w:fill="CCEEFF"/>
          </w:tcPr>
          <w:p>
            <w:pPr>
              <w:ind w:left="140"/>
              <w:spacing w:after="0" w:line="126" w:lineRule="exact"/>
              <w:rPr>
                <w:sz w:val="20"/>
                <w:szCs w:val="20"/>
                <w:color w:val="auto"/>
              </w:rPr>
            </w:pPr>
            <w:r>
              <w:rPr>
                <w:rFonts w:ascii="Times New Roman" w:cs="Times New Roman" w:eastAsia="Times New Roman" w:hAnsi="Times New Roman"/>
                <w:sz w:val="14"/>
                <w:szCs w:val="14"/>
                <w:color w:val="auto"/>
              </w:rPr>
              <w:t>Term Loan (9.00% cash (Libor + 6.50%; Floor</w:t>
            </w:r>
          </w:p>
        </w:tc>
        <w:tc>
          <w:tcPr>
            <w:tcW w:w="320" w:type="dxa"/>
            <w:vAlign w:val="bottom"/>
            <w:shd w:val="clear" w:color="auto" w:fill="CCEEFF"/>
          </w:tcPr>
          <w:p>
            <w:pPr>
              <w:spacing w:after="0"/>
              <w:rPr>
                <w:sz w:val="10"/>
                <w:szCs w:val="10"/>
                <w:color w:val="auto"/>
              </w:rPr>
            </w:pPr>
          </w:p>
        </w:tc>
        <w:tc>
          <w:tcPr>
            <w:tcW w:w="1160" w:type="dxa"/>
            <w:vAlign w:val="bottom"/>
            <w:shd w:val="clear" w:color="auto" w:fill="CCEEFF"/>
          </w:tcPr>
          <w:p>
            <w:pPr>
              <w:jc w:val="right"/>
              <w:ind w:right="128"/>
              <w:spacing w:after="0" w:line="126" w:lineRule="exact"/>
              <w:rPr>
                <w:sz w:val="20"/>
                <w:szCs w:val="20"/>
                <w:color w:val="auto"/>
              </w:rPr>
            </w:pPr>
            <w:r>
              <w:rPr>
                <w:rFonts w:ascii="Times New Roman" w:cs="Times New Roman" w:eastAsia="Times New Roman" w:hAnsi="Times New Roman"/>
                <w:sz w:val="14"/>
                <w:szCs w:val="14"/>
                <w:color w:val="auto"/>
              </w:rPr>
              <w:t>5,000</w:t>
            </w:r>
          </w:p>
        </w:tc>
        <w:tc>
          <w:tcPr>
            <w:tcW w:w="100" w:type="dxa"/>
            <w:vAlign w:val="bottom"/>
            <w:shd w:val="clear" w:color="auto" w:fill="CCEEFF"/>
          </w:tcPr>
          <w:p>
            <w:pPr>
              <w:spacing w:after="0"/>
              <w:rPr>
                <w:sz w:val="10"/>
                <w:szCs w:val="10"/>
                <w:color w:val="auto"/>
              </w:rPr>
            </w:pPr>
          </w:p>
        </w:tc>
        <w:tc>
          <w:tcPr>
            <w:tcW w:w="114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4,917</w:t>
            </w: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4,917</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2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9.00%), 5.00% ETP, Due 10/1/22)</w:t>
            </w:r>
          </w:p>
        </w:tc>
        <w:tc>
          <w:tcPr>
            <w:tcW w:w="3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0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color w:val="auto"/>
              </w:rPr>
              <w:t>Total Debt Investments — Life science</w:t>
            </w:r>
          </w:p>
        </w:tc>
        <w:tc>
          <w:tcPr>
            <w:tcW w:w="1340" w:type="dxa"/>
            <w:vAlign w:val="bottom"/>
            <w:tcBorders>
              <w:bottom w:val="single" w:sz="8" w:color="CCEEFF"/>
            </w:tcBorders>
          </w:tcPr>
          <w:p>
            <w:pPr>
              <w:spacing w:after="0"/>
              <w:rPr>
                <w:sz w:val="12"/>
                <w:szCs w:val="12"/>
                <w:color w:val="auto"/>
              </w:rPr>
            </w:pPr>
          </w:p>
        </w:tc>
        <w:tc>
          <w:tcPr>
            <w:tcW w:w="298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1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14,762</w:t>
            </w: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14,762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Debt Investments — Technology</w:t>
            </w:r>
          </w:p>
        </w:tc>
        <w:tc>
          <w:tcPr>
            <w:tcW w:w="1340" w:type="dxa"/>
            <w:vAlign w:val="bottom"/>
            <w:shd w:val="clear" w:color="auto" w:fill="CCEEFF"/>
          </w:tcPr>
          <w:p>
            <w:pPr>
              <w:spacing w:after="0"/>
              <w:rPr>
                <w:sz w:val="12"/>
                <w:szCs w:val="12"/>
                <w:color w:val="auto"/>
              </w:rPr>
            </w:pPr>
          </w:p>
        </w:tc>
        <w:tc>
          <w:tcPr>
            <w:tcW w:w="29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0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Intelepeer Holdings, Inc. (6)(7)</w:t>
            </w:r>
          </w:p>
        </w:tc>
        <w:tc>
          <w:tcPr>
            <w:tcW w:w="1340" w:type="dxa"/>
            <w:vAlign w:val="bottom"/>
          </w:tcPr>
          <w:p>
            <w:pPr>
              <w:ind w:left="200"/>
              <w:spacing w:after="0" w:line="126" w:lineRule="exact"/>
              <w:rPr>
                <w:sz w:val="20"/>
                <w:szCs w:val="20"/>
                <w:color w:val="auto"/>
              </w:rPr>
            </w:pPr>
            <w:r>
              <w:rPr>
                <w:rFonts w:ascii="Times New Roman" w:cs="Times New Roman" w:eastAsia="Times New Roman" w:hAnsi="Times New Roman"/>
                <w:sz w:val="14"/>
                <w:szCs w:val="14"/>
                <w:color w:val="auto"/>
              </w:rPr>
              <w:t>Communications</w:t>
            </w:r>
          </w:p>
        </w:tc>
        <w:tc>
          <w:tcPr>
            <w:tcW w:w="2980" w:type="dxa"/>
            <w:vAlign w:val="bottom"/>
          </w:tcPr>
          <w:p>
            <w:pPr>
              <w:ind w:left="140"/>
              <w:spacing w:after="0" w:line="126" w:lineRule="exact"/>
              <w:rPr>
                <w:sz w:val="20"/>
                <w:szCs w:val="20"/>
                <w:color w:val="auto"/>
              </w:rPr>
            </w:pPr>
            <w:r>
              <w:rPr>
                <w:rFonts w:ascii="Times New Roman" w:cs="Times New Roman" w:eastAsia="Times New Roman" w:hAnsi="Times New Roman"/>
                <w:sz w:val="14"/>
                <w:szCs w:val="14"/>
                <w:color w:val="auto"/>
              </w:rPr>
              <w:t>Term Loan (12.05% cash (Libor + 9.95%;</w:t>
            </w:r>
          </w:p>
        </w:tc>
        <w:tc>
          <w:tcPr>
            <w:tcW w:w="320" w:type="dxa"/>
            <w:vAlign w:val="bottom"/>
          </w:tcPr>
          <w:p>
            <w:pPr>
              <w:spacing w:after="0"/>
              <w:rPr>
                <w:sz w:val="10"/>
                <w:szCs w:val="10"/>
                <w:color w:val="auto"/>
              </w:rPr>
            </w:pPr>
          </w:p>
        </w:tc>
        <w:tc>
          <w:tcPr>
            <w:tcW w:w="1160" w:type="dxa"/>
            <w:vAlign w:val="bottom"/>
          </w:tcPr>
          <w:p>
            <w:pPr>
              <w:jc w:val="right"/>
              <w:ind w:right="128"/>
              <w:spacing w:after="0" w:line="126" w:lineRule="exact"/>
              <w:rPr>
                <w:sz w:val="20"/>
                <w:szCs w:val="20"/>
                <w:color w:val="auto"/>
              </w:rPr>
            </w:pPr>
            <w:r>
              <w:rPr>
                <w:rFonts w:ascii="Times New Roman" w:cs="Times New Roman" w:eastAsia="Times New Roman" w:hAnsi="Times New Roman"/>
                <w:sz w:val="14"/>
                <w:szCs w:val="14"/>
                <w:color w:val="auto"/>
              </w:rPr>
              <w:t>4,000</w:t>
            </w:r>
          </w:p>
        </w:tc>
        <w:tc>
          <w:tcPr>
            <w:tcW w:w="100" w:type="dxa"/>
            <w:vAlign w:val="bottom"/>
          </w:tcPr>
          <w:p>
            <w:pPr>
              <w:spacing w:after="0"/>
              <w:rPr>
                <w:sz w:val="10"/>
                <w:szCs w:val="10"/>
                <w:color w:val="auto"/>
              </w:rPr>
            </w:pPr>
          </w:p>
        </w:tc>
        <w:tc>
          <w:tcPr>
            <w:tcW w:w="114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3,942</w:t>
            </w: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3,942</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9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Floor 11.25%), 3.30% ETP, Due 1/1/22)</w:t>
            </w: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00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2980" w:type="dxa"/>
            <w:vAlign w:val="bottom"/>
            <w:shd w:val="clear" w:color="auto" w:fill="CCEEFF"/>
          </w:tcPr>
          <w:p>
            <w:pPr>
              <w:ind w:left="140"/>
              <w:spacing w:after="0" w:line="126" w:lineRule="exact"/>
              <w:rPr>
                <w:sz w:val="20"/>
                <w:szCs w:val="20"/>
                <w:color w:val="auto"/>
              </w:rPr>
            </w:pPr>
            <w:r>
              <w:rPr>
                <w:rFonts w:ascii="Times New Roman" w:cs="Times New Roman" w:eastAsia="Times New Roman" w:hAnsi="Times New Roman"/>
                <w:sz w:val="14"/>
                <w:szCs w:val="14"/>
                <w:color w:val="auto"/>
              </w:rPr>
              <w:t>Term Loan (12.05% cash (Libor + 9.95%;</w:t>
            </w:r>
          </w:p>
        </w:tc>
        <w:tc>
          <w:tcPr>
            <w:tcW w:w="320" w:type="dxa"/>
            <w:vAlign w:val="bottom"/>
            <w:shd w:val="clear" w:color="auto" w:fill="CCEEFF"/>
          </w:tcPr>
          <w:p>
            <w:pPr>
              <w:spacing w:after="0"/>
              <w:rPr>
                <w:sz w:val="10"/>
                <w:szCs w:val="10"/>
                <w:color w:val="auto"/>
              </w:rPr>
            </w:pPr>
          </w:p>
        </w:tc>
        <w:tc>
          <w:tcPr>
            <w:tcW w:w="1160" w:type="dxa"/>
            <w:vAlign w:val="bottom"/>
            <w:shd w:val="clear" w:color="auto" w:fill="CCEEFF"/>
          </w:tcPr>
          <w:p>
            <w:pPr>
              <w:jc w:val="right"/>
              <w:ind w:right="128"/>
              <w:spacing w:after="0" w:line="126" w:lineRule="exact"/>
              <w:rPr>
                <w:sz w:val="20"/>
                <w:szCs w:val="20"/>
                <w:color w:val="auto"/>
              </w:rPr>
            </w:pPr>
            <w:r>
              <w:rPr>
                <w:rFonts w:ascii="Times New Roman" w:cs="Times New Roman" w:eastAsia="Times New Roman" w:hAnsi="Times New Roman"/>
                <w:sz w:val="14"/>
                <w:szCs w:val="14"/>
                <w:color w:val="auto"/>
              </w:rPr>
              <w:t>4,000</w:t>
            </w:r>
          </w:p>
        </w:tc>
        <w:tc>
          <w:tcPr>
            <w:tcW w:w="100" w:type="dxa"/>
            <w:vAlign w:val="bottom"/>
            <w:shd w:val="clear" w:color="auto" w:fill="CCEEFF"/>
          </w:tcPr>
          <w:p>
            <w:pPr>
              <w:spacing w:after="0"/>
              <w:rPr>
                <w:sz w:val="10"/>
                <w:szCs w:val="10"/>
                <w:color w:val="auto"/>
              </w:rPr>
            </w:pPr>
          </w:p>
        </w:tc>
        <w:tc>
          <w:tcPr>
            <w:tcW w:w="114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3,942</w:t>
            </w: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3,942</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2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Floor 11.25%), 3.30% ETP, Due 1/1/22)</w:t>
            </w:r>
          </w:p>
        </w:tc>
        <w:tc>
          <w:tcPr>
            <w:tcW w:w="3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980" w:type="dxa"/>
            <w:vAlign w:val="bottom"/>
          </w:tcPr>
          <w:p>
            <w:pPr>
              <w:ind w:left="140"/>
              <w:spacing w:after="0" w:line="126" w:lineRule="exact"/>
              <w:rPr>
                <w:sz w:val="20"/>
                <w:szCs w:val="20"/>
                <w:color w:val="auto"/>
              </w:rPr>
            </w:pPr>
            <w:r>
              <w:rPr>
                <w:rFonts w:ascii="Times New Roman" w:cs="Times New Roman" w:eastAsia="Times New Roman" w:hAnsi="Times New Roman"/>
                <w:sz w:val="14"/>
                <w:szCs w:val="14"/>
                <w:color w:val="auto"/>
              </w:rPr>
              <w:t>Term Loan (12.45% cash (Libor + 9.95%;</w:t>
            </w:r>
          </w:p>
        </w:tc>
        <w:tc>
          <w:tcPr>
            <w:tcW w:w="320" w:type="dxa"/>
            <w:vAlign w:val="bottom"/>
          </w:tcPr>
          <w:p>
            <w:pPr>
              <w:spacing w:after="0"/>
              <w:rPr>
                <w:sz w:val="10"/>
                <w:szCs w:val="10"/>
                <w:color w:val="auto"/>
              </w:rPr>
            </w:pPr>
          </w:p>
        </w:tc>
        <w:tc>
          <w:tcPr>
            <w:tcW w:w="1160" w:type="dxa"/>
            <w:vAlign w:val="bottom"/>
          </w:tcPr>
          <w:p>
            <w:pPr>
              <w:jc w:val="right"/>
              <w:ind w:right="128"/>
              <w:spacing w:after="0" w:line="126" w:lineRule="exact"/>
              <w:rPr>
                <w:sz w:val="20"/>
                <w:szCs w:val="20"/>
                <w:color w:val="auto"/>
              </w:rPr>
            </w:pPr>
            <w:r>
              <w:rPr>
                <w:rFonts w:ascii="Times New Roman" w:cs="Times New Roman" w:eastAsia="Times New Roman" w:hAnsi="Times New Roman"/>
                <w:sz w:val="14"/>
                <w:szCs w:val="14"/>
                <w:color w:val="auto"/>
              </w:rPr>
              <w:t>1,227</w:t>
            </w:r>
          </w:p>
        </w:tc>
        <w:tc>
          <w:tcPr>
            <w:tcW w:w="100" w:type="dxa"/>
            <w:vAlign w:val="bottom"/>
          </w:tcPr>
          <w:p>
            <w:pPr>
              <w:spacing w:after="0"/>
              <w:rPr>
                <w:sz w:val="10"/>
                <w:szCs w:val="10"/>
                <w:color w:val="auto"/>
              </w:rPr>
            </w:pPr>
          </w:p>
        </w:tc>
        <w:tc>
          <w:tcPr>
            <w:tcW w:w="114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1,207</w:t>
            </w: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1,207</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9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Floor 12.45%), 2.50% ETP, Due 10/1/22)</w:t>
            </w: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0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New Signature US, Inc. (6)(7)(9)</w:t>
            </w:r>
          </w:p>
        </w:tc>
        <w:tc>
          <w:tcPr>
            <w:tcW w:w="1340" w:type="dxa"/>
            <w:vAlign w:val="bottom"/>
            <w:shd w:val="clear" w:color="auto" w:fill="CCEEFF"/>
          </w:tcPr>
          <w:p>
            <w:pPr>
              <w:ind w:left="200"/>
              <w:spacing w:after="0" w:line="126" w:lineRule="exact"/>
              <w:rPr>
                <w:sz w:val="20"/>
                <w:szCs w:val="20"/>
                <w:color w:val="auto"/>
              </w:rPr>
            </w:pPr>
            <w:r>
              <w:rPr>
                <w:rFonts w:ascii="Times New Roman" w:cs="Times New Roman" w:eastAsia="Times New Roman" w:hAnsi="Times New Roman"/>
                <w:sz w:val="14"/>
                <w:szCs w:val="14"/>
                <w:color w:val="auto"/>
              </w:rPr>
              <w:t>Software</w:t>
            </w:r>
          </w:p>
        </w:tc>
        <w:tc>
          <w:tcPr>
            <w:tcW w:w="2980" w:type="dxa"/>
            <w:vAlign w:val="bottom"/>
            <w:shd w:val="clear" w:color="auto" w:fill="CCEEFF"/>
          </w:tcPr>
          <w:p>
            <w:pPr>
              <w:ind w:left="140"/>
              <w:spacing w:after="0" w:line="126" w:lineRule="exact"/>
              <w:rPr>
                <w:sz w:val="20"/>
                <w:szCs w:val="20"/>
                <w:color w:val="auto"/>
              </w:rPr>
            </w:pPr>
            <w:r>
              <w:rPr>
                <w:rFonts w:ascii="Times New Roman" w:cs="Times New Roman" w:eastAsia="Times New Roman" w:hAnsi="Times New Roman"/>
                <w:sz w:val="14"/>
                <w:szCs w:val="14"/>
                <w:color w:val="auto"/>
              </w:rPr>
              <w:t>Term Loan (10.60% cash (Libor + 8.50%;</w:t>
            </w:r>
          </w:p>
        </w:tc>
        <w:tc>
          <w:tcPr>
            <w:tcW w:w="320" w:type="dxa"/>
            <w:vAlign w:val="bottom"/>
            <w:shd w:val="clear" w:color="auto" w:fill="CCEEFF"/>
          </w:tcPr>
          <w:p>
            <w:pPr>
              <w:spacing w:after="0"/>
              <w:rPr>
                <w:sz w:val="10"/>
                <w:szCs w:val="10"/>
                <w:color w:val="auto"/>
              </w:rPr>
            </w:pPr>
          </w:p>
        </w:tc>
        <w:tc>
          <w:tcPr>
            <w:tcW w:w="1160" w:type="dxa"/>
            <w:vAlign w:val="bottom"/>
            <w:shd w:val="clear" w:color="auto" w:fill="CCEEFF"/>
          </w:tcPr>
          <w:p>
            <w:pPr>
              <w:jc w:val="right"/>
              <w:ind w:right="128"/>
              <w:spacing w:after="0" w:line="126" w:lineRule="exact"/>
              <w:rPr>
                <w:sz w:val="20"/>
                <w:szCs w:val="20"/>
                <w:color w:val="auto"/>
              </w:rPr>
            </w:pPr>
            <w:r>
              <w:rPr>
                <w:rFonts w:ascii="Times New Roman" w:cs="Times New Roman" w:eastAsia="Times New Roman" w:hAnsi="Times New Roman"/>
                <w:sz w:val="14"/>
                <w:szCs w:val="14"/>
                <w:color w:val="auto"/>
              </w:rPr>
              <w:t>8,250</w:t>
            </w:r>
          </w:p>
        </w:tc>
        <w:tc>
          <w:tcPr>
            <w:tcW w:w="100" w:type="dxa"/>
            <w:vAlign w:val="bottom"/>
            <w:shd w:val="clear" w:color="auto" w:fill="CCEEFF"/>
          </w:tcPr>
          <w:p>
            <w:pPr>
              <w:spacing w:after="0"/>
              <w:rPr>
                <w:sz w:val="10"/>
                <w:szCs w:val="10"/>
                <w:color w:val="auto"/>
              </w:rPr>
            </w:pPr>
          </w:p>
        </w:tc>
        <w:tc>
          <w:tcPr>
            <w:tcW w:w="114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8,154</w:t>
            </w: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8,154</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2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Floor 10.50%), 3.50% ETP, Due 7/1/22)</w:t>
            </w:r>
          </w:p>
        </w:tc>
        <w:tc>
          <w:tcPr>
            <w:tcW w:w="3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980" w:type="dxa"/>
            <w:vAlign w:val="bottom"/>
          </w:tcPr>
          <w:p>
            <w:pPr>
              <w:ind w:left="140"/>
              <w:spacing w:after="0" w:line="126" w:lineRule="exact"/>
              <w:rPr>
                <w:sz w:val="20"/>
                <w:szCs w:val="20"/>
                <w:color w:val="auto"/>
              </w:rPr>
            </w:pPr>
            <w:r>
              <w:rPr>
                <w:rFonts w:ascii="Times New Roman" w:cs="Times New Roman" w:eastAsia="Times New Roman" w:hAnsi="Times New Roman"/>
                <w:sz w:val="14"/>
                <w:szCs w:val="14"/>
                <w:color w:val="auto"/>
              </w:rPr>
              <w:t>Term Loan (10.60% cash (Libor + 8.50%;</w:t>
            </w:r>
          </w:p>
        </w:tc>
        <w:tc>
          <w:tcPr>
            <w:tcW w:w="320" w:type="dxa"/>
            <w:vAlign w:val="bottom"/>
          </w:tcPr>
          <w:p>
            <w:pPr>
              <w:spacing w:after="0"/>
              <w:rPr>
                <w:sz w:val="10"/>
                <w:szCs w:val="10"/>
                <w:color w:val="auto"/>
              </w:rPr>
            </w:pPr>
          </w:p>
        </w:tc>
        <w:tc>
          <w:tcPr>
            <w:tcW w:w="1160" w:type="dxa"/>
            <w:vAlign w:val="bottom"/>
          </w:tcPr>
          <w:p>
            <w:pPr>
              <w:jc w:val="right"/>
              <w:ind w:right="128"/>
              <w:spacing w:after="0" w:line="126" w:lineRule="exact"/>
              <w:rPr>
                <w:sz w:val="20"/>
                <w:szCs w:val="20"/>
                <w:color w:val="auto"/>
              </w:rPr>
            </w:pPr>
            <w:r>
              <w:rPr>
                <w:rFonts w:ascii="Times New Roman" w:cs="Times New Roman" w:eastAsia="Times New Roman" w:hAnsi="Times New Roman"/>
                <w:sz w:val="14"/>
                <w:szCs w:val="14"/>
                <w:color w:val="auto"/>
              </w:rPr>
              <w:t>3,000</w:t>
            </w:r>
          </w:p>
        </w:tc>
        <w:tc>
          <w:tcPr>
            <w:tcW w:w="100" w:type="dxa"/>
            <w:vAlign w:val="bottom"/>
          </w:tcPr>
          <w:p>
            <w:pPr>
              <w:spacing w:after="0"/>
              <w:rPr>
                <w:sz w:val="10"/>
                <w:szCs w:val="10"/>
                <w:color w:val="auto"/>
              </w:rPr>
            </w:pPr>
          </w:p>
        </w:tc>
        <w:tc>
          <w:tcPr>
            <w:tcW w:w="114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2,958</w:t>
            </w: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2,958</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9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Floor 10.50%), 3.50% ETP, Due 2/1/23)</w:t>
            </w: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0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Revinate, Inc. (6)(7)</w:t>
            </w:r>
          </w:p>
        </w:tc>
        <w:tc>
          <w:tcPr>
            <w:tcW w:w="1340" w:type="dxa"/>
            <w:vAlign w:val="bottom"/>
            <w:shd w:val="clear" w:color="auto" w:fill="CCEEFF"/>
          </w:tcPr>
          <w:p>
            <w:pPr>
              <w:ind w:left="200"/>
              <w:spacing w:after="0" w:line="126" w:lineRule="exact"/>
              <w:rPr>
                <w:sz w:val="20"/>
                <w:szCs w:val="20"/>
                <w:color w:val="auto"/>
              </w:rPr>
            </w:pPr>
            <w:r>
              <w:rPr>
                <w:rFonts w:ascii="Times New Roman" w:cs="Times New Roman" w:eastAsia="Times New Roman" w:hAnsi="Times New Roman"/>
                <w:sz w:val="14"/>
                <w:szCs w:val="14"/>
                <w:color w:val="auto"/>
              </w:rPr>
              <w:t>Software</w:t>
            </w:r>
          </w:p>
        </w:tc>
        <w:tc>
          <w:tcPr>
            <w:tcW w:w="2980" w:type="dxa"/>
            <w:vAlign w:val="bottom"/>
            <w:shd w:val="clear" w:color="auto" w:fill="CCEEFF"/>
          </w:tcPr>
          <w:p>
            <w:pPr>
              <w:ind w:left="140"/>
              <w:spacing w:after="0" w:line="126" w:lineRule="exact"/>
              <w:rPr>
                <w:sz w:val="20"/>
                <w:szCs w:val="20"/>
                <w:color w:val="auto"/>
              </w:rPr>
            </w:pPr>
            <w:r>
              <w:rPr>
                <w:rFonts w:ascii="Times New Roman" w:cs="Times New Roman" w:eastAsia="Times New Roman" w:hAnsi="Times New Roman"/>
                <w:sz w:val="14"/>
                <w:szCs w:val="14"/>
                <w:color w:val="auto"/>
              </w:rPr>
              <w:t>Term Loan (9.50% cash (Libor + 7.00%; Floor</w:t>
            </w:r>
          </w:p>
        </w:tc>
        <w:tc>
          <w:tcPr>
            <w:tcW w:w="320" w:type="dxa"/>
            <w:vAlign w:val="bottom"/>
            <w:shd w:val="clear" w:color="auto" w:fill="CCEEFF"/>
          </w:tcPr>
          <w:p>
            <w:pPr>
              <w:spacing w:after="0"/>
              <w:rPr>
                <w:sz w:val="10"/>
                <w:szCs w:val="10"/>
                <w:color w:val="auto"/>
              </w:rPr>
            </w:pPr>
          </w:p>
        </w:tc>
        <w:tc>
          <w:tcPr>
            <w:tcW w:w="1160" w:type="dxa"/>
            <w:vAlign w:val="bottom"/>
            <w:shd w:val="clear" w:color="auto" w:fill="CCEEFF"/>
          </w:tcPr>
          <w:p>
            <w:pPr>
              <w:jc w:val="right"/>
              <w:ind w:right="128"/>
              <w:spacing w:after="0" w:line="126" w:lineRule="exact"/>
              <w:rPr>
                <w:sz w:val="20"/>
                <w:szCs w:val="20"/>
                <w:color w:val="auto"/>
              </w:rPr>
            </w:pPr>
            <w:r>
              <w:rPr>
                <w:rFonts w:ascii="Times New Roman" w:cs="Times New Roman" w:eastAsia="Times New Roman" w:hAnsi="Times New Roman"/>
                <w:sz w:val="14"/>
                <w:szCs w:val="14"/>
                <w:color w:val="auto"/>
              </w:rPr>
              <w:t>4,000</w:t>
            </w:r>
          </w:p>
        </w:tc>
        <w:tc>
          <w:tcPr>
            <w:tcW w:w="100" w:type="dxa"/>
            <w:vAlign w:val="bottom"/>
            <w:shd w:val="clear" w:color="auto" w:fill="CCEEFF"/>
          </w:tcPr>
          <w:p>
            <w:pPr>
              <w:spacing w:after="0"/>
              <w:rPr>
                <w:sz w:val="10"/>
                <w:szCs w:val="10"/>
                <w:color w:val="auto"/>
              </w:rPr>
            </w:pPr>
          </w:p>
        </w:tc>
        <w:tc>
          <w:tcPr>
            <w:tcW w:w="114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3,948</w:t>
            </w: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3,948</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2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9.50%), 3.00% ETP, Due 6/1/23)</w:t>
            </w:r>
          </w:p>
        </w:tc>
        <w:tc>
          <w:tcPr>
            <w:tcW w:w="3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0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color w:val="auto"/>
              </w:rPr>
              <w:t>Total Debt Investments — Technology</w:t>
            </w:r>
          </w:p>
        </w:tc>
        <w:tc>
          <w:tcPr>
            <w:tcW w:w="1340" w:type="dxa"/>
            <w:vAlign w:val="bottom"/>
            <w:tcBorders>
              <w:bottom w:val="single" w:sz="8" w:color="CCEEFF"/>
            </w:tcBorders>
          </w:tcPr>
          <w:p>
            <w:pPr>
              <w:spacing w:after="0"/>
              <w:rPr>
                <w:sz w:val="12"/>
                <w:szCs w:val="12"/>
                <w:color w:val="auto"/>
              </w:rPr>
            </w:pPr>
          </w:p>
        </w:tc>
        <w:tc>
          <w:tcPr>
            <w:tcW w:w="298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1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24,151</w:t>
            </w: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24,151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3000" w:type="dxa"/>
            <w:vAlign w:val="bottom"/>
            <w:shd w:val="clear" w:color="auto" w:fill="CCEEFF"/>
          </w:tcPr>
          <w:p>
            <w:pPr>
              <w:spacing w:after="0" w:line="104" w:lineRule="exact"/>
              <w:rPr>
                <w:sz w:val="20"/>
                <w:szCs w:val="20"/>
                <w:color w:val="auto"/>
              </w:rPr>
            </w:pPr>
            <w:r>
              <w:rPr>
                <w:rFonts w:ascii="Times New Roman" w:cs="Times New Roman" w:eastAsia="Times New Roman" w:hAnsi="Times New Roman"/>
                <w:sz w:val="12"/>
                <w:szCs w:val="12"/>
                <w:b w:val="1"/>
                <w:bCs w:val="1"/>
                <w:color w:val="auto"/>
              </w:rPr>
              <w:t>Debt Investments — Healthcare information</w:t>
            </w:r>
          </w:p>
        </w:tc>
        <w:tc>
          <w:tcPr>
            <w:tcW w:w="1340" w:type="dxa"/>
            <w:vAlign w:val="bottom"/>
            <w:shd w:val="clear" w:color="auto" w:fill="CCEEFF"/>
          </w:tcPr>
          <w:p>
            <w:pPr>
              <w:spacing w:after="0"/>
              <w:rPr>
                <w:sz w:val="9"/>
                <w:szCs w:val="9"/>
                <w:color w:val="auto"/>
              </w:rPr>
            </w:pPr>
          </w:p>
        </w:tc>
        <w:tc>
          <w:tcPr>
            <w:tcW w:w="29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b w:val="1"/>
                <w:bCs w:val="1"/>
                <w:color w:val="auto"/>
              </w:rPr>
              <w:t>and services</w:t>
            </w:r>
          </w:p>
        </w:tc>
        <w:tc>
          <w:tcPr>
            <w:tcW w:w="1340" w:type="dxa"/>
            <w:vAlign w:val="bottom"/>
            <w:shd w:val="clear" w:color="auto" w:fill="CCEEFF"/>
          </w:tcPr>
          <w:p>
            <w:pPr>
              <w:spacing w:after="0"/>
              <w:rPr>
                <w:sz w:val="15"/>
                <w:szCs w:val="15"/>
                <w:color w:val="auto"/>
              </w:rPr>
            </w:pPr>
          </w:p>
        </w:tc>
        <w:tc>
          <w:tcPr>
            <w:tcW w:w="29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0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HealthEdge Software, Inc. (6)(7)</w:t>
            </w:r>
          </w:p>
        </w:tc>
        <w:tc>
          <w:tcPr>
            <w:tcW w:w="1340" w:type="dxa"/>
            <w:vAlign w:val="bottom"/>
          </w:tcPr>
          <w:p>
            <w:pPr>
              <w:ind w:left="200"/>
              <w:spacing w:after="0" w:line="126" w:lineRule="exact"/>
              <w:rPr>
                <w:sz w:val="20"/>
                <w:szCs w:val="20"/>
                <w:color w:val="auto"/>
              </w:rPr>
            </w:pPr>
            <w:r>
              <w:rPr>
                <w:rFonts w:ascii="Times New Roman" w:cs="Times New Roman" w:eastAsia="Times New Roman" w:hAnsi="Times New Roman"/>
                <w:sz w:val="14"/>
                <w:szCs w:val="14"/>
                <w:color w:val="auto"/>
              </w:rPr>
              <w:t>Software</w:t>
            </w:r>
          </w:p>
        </w:tc>
        <w:tc>
          <w:tcPr>
            <w:tcW w:w="2980" w:type="dxa"/>
            <w:vAlign w:val="bottom"/>
          </w:tcPr>
          <w:p>
            <w:pPr>
              <w:ind w:left="140"/>
              <w:spacing w:after="0" w:line="126" w:lineRule="exact"/>
              <w:rPr>
                <w:sz w:val="20"/>
                <w:szCs w:val="20"/>
                <w:color w:val="auto"/>
              </w:rPr>
            </w:pPr>
            <w:r>
              <w:rPr>
                <w:rFonts w:ascii="Times New Roman" w:cs="Times New Roman" w:eastAsia="Times New Roman" w:hAnsi="Times New Roman"/>
                <w:sz w:val="14"/>
                <w:szCs w:val="14"/>
                <w:color w:val="auto"/>
              </w:rPr>
              <w:t>Term Loan (10.35% cash (Libor + 8.25%;</w:t>
            </w:r>
          </w:p>
        </w:tc>
        <w:tc>
          <w:tcPr>
            <w:tcW w:w="320" w:type="dxa"/>
            <w:vAlign w:val="bottom"/>
          </w:tcPr>
          <w:p>
            <w:pPr>
              <w:spacing w:after="0"/>
              <w:rPr>
                <w:sz w:val="10"/>
                <w:szCs w:val="10"/>
                <w:color w:val="auto"/>
              </w:rPr>
            </w:pPr>
          </w:p>
        </w:tc>
        <w:tc>
          <w:tcPr>
            <w:tcW w:w="1160" w:type="dxa"/>
            <w:vAlign w:val="bottom"/>
          </w:tcPr>
          <w:p>
            <w:pPr>
              <w:jc w:val="right"/>
              <w:ind w:right="128"/>
              <w:spacing w:after="0" w:line="126" w:lineRule="exact"/>
              <w:rPr>
                <w:sz w:val="20"/>
                <w:szCs w:val="20"/>
                <w:color w:val="auto"/>
              </w:rPr>
            </w:pPr>
            <w:r>
              <w:rPr>
                <w:rFonts w:ascii="Times New Roman" w:cs="Times New Roman" w:eastAsia="Times New Roman" w:hAnsi="Times New Roman"/>
                <w:sz w:val="14"/>
                <w:szCs w:val="14"/>
                <w:color w:val="auto"/>
              </w:rPr>
              <w:t>3,750</w:t>
            </w:r>
          </w:p>
        </w:tc>
        <w:tc>
          <w:tcPr>
            <w:tcW w:w="100" w:type="dxa"/>
            <w:vAlign w:val="bottom"/>
          </w:tcPr>
          <w:p>
            <w:pPr>
              <w:spacing w:after="0"/>
              <w:rPr>
                <w:sz w:val="10"/>
                <w:szCs w:val="10"/>
                <w:color w:val="auto"/>
              </w:rPr>
            </w:pPr>
          </w:p>
        </w:tc>
        <w:tc>
          <w:tcPr>
            <w:tcW w:w="114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3,707</w:t>
            </w: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3,707</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00" w:type="dxa"/>
            <w:vAlign w:val="bottom"/>
            <w:tcBorders>
              <w:bottom w:val="single" w:sz="8" w:color="CCEEFF"/>
            </w:tcBorders>
          </w:tcPr>
          <w:p>
            <w:pPr>
              <w:spacing w:after="0"/>
              <w:rPr>
                <w:sz w:val="14"/>
                <w:szCs w:val="14"/>
                <w:color w:val="auto"/>
              </w:rPr>
            </w:pPr>
          </w:p>
        </w:tc>
        <w:tc>
          <w:tcPr>
            <w:tcW w:w="1340" w:type="dxa"/>
            <w:vAlign w:val="bottom"/>
            <w:tcBorders>
              <w:bottom w:val="single" w:sz="8" w:color="CCEEFF"/>
            </w:tcBorders>
          </w:tcPr>
          <w:p>
            <w:pPr>
              <w:spacing w:after="0"/>
              <w:rPr>
                <w:sz w:val="14"/>
                <w:szCs w:val="14"/>
                <w:color w:val="auto"/>
              </w:rPr>
            </w:pPr>
          </w:p>
        </w:tc>
        <w:tc>
          <w:tcPr>
            <w:tcW w:w="29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Floor 9.25%), 3.00% ETP, Due 10/1/23)</w:t>
            </w:r>
          </w:p>
        </w:tc>
        <w:tc>
          <w:tcPr>
            <w:tcW w:w="320" w:type="dxa"/>
            <w:vAlign w:val="bottom"/>
            <w:tcBorders>
              <w:bottom w:val="single" w:sz="8" w:color="CCEEFF"/>
            </w:tcBorders>
          </w:tcPr>
          <w:p>
            <w:pPr>
              <w:spacing w:after="0"/>
              <w:rPr>
                <w:sz w:val="14"/>
                <w:szCs w:val="14"/>
                <w:color w:val="auto"/>
              </w:rPr>
            </w:pPr>
          </w:p>
        </w:tc>
        <w:tc>
          <w:tcPr>
            <w:tcW w:w="1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000" w:type="dxa"/>
            <w:vAlign w:val="bottom"/>
            <w:shd w:val="clear" w:color="auto" w:fill="CCEEFF"/>
          </w:tcPr>
          <w:p>
            <w:pPr>
              <w:spacing w:after="0" w:line="115" w:lineRule="exact"/>
              <w:rPr>
                <w:sz w:val="20"/>
                <w:szCs w:val="20"/>
                <w:color w:val="auto"/>
              </w:rPr>
            </w:pPr>
            <w:r>
              <w:rPr>
                <w:rFonts w:ascii="Times New Roman" w:cs="Times New Roman" w:eastAsia="Times New Roman" w:hAnsi="Times New Roman"/>
                <w:sz w:val="13"/>
                <w:szCs w:val="13"/>
                <w:color w:val="auto"/>
              </w:rPr>
              <w:t>Total Debt Investments — Healthcare</w:t>
            </w:r>
          </w:p>
        </w:tc>
        <w:tc>
          <w:tcPr>
            <w:tcW w:w="1340" w:type="dxa"/>
            <w:vAlign w:val="bottom"/>
            <w:shd w:val="clear" w:color="auto" w:fill="CCEEFF"/>
          </w:tcPr>
          <w:p>
            <w:pPr>
              <w:spacing w:after="0"/>
              <w:rPr>
                <w:sz w:val="10"/>
                <w:szCs w:val="10"/>
                <w:color w:val="auto"/>
              </w:rPr>
            </w:pPr>
          </w:p>
        </w:tc>
        <w:tc>
          <w:tcPr>
            <w:tcW w:w="29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40" w:type="dxa"/>
            <w:vAlign w:val="bottom"/>
            <w:shd w:val="clear" w:color="auto" w:fill="CCEEFF"/>
          </w:tcPr>
          <w:p>
            <w:pPr>
              <w:jc w:val="right"/>
              <w:spacing w:after="0" w:line="115" w:lineRule="exact"/>
              <w:rPr>
                <w:sz w:val="20"/>
                <w:szCs w:val="20"/>
                <w:color w:val="auto"/>
              </w:rPr>
            </w:pPr>
            <w:r>
              <w:rPr>
                <w:rFonts w:ascii="Times New Roman" w:cs="Times New Roman" w:eastAsia="Times New Roman" w:hAnsi="Times New Roman"/>
                <w:sz w:val="13"/>
                <w:szCs w:val="13"/>
                <w:color w:val="auto"/>
              </w:rPr>
              <w:t>3,707</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line="115" w:lineRule="exact"/>
              <w:rPr>
                <w:sz w:val="20"/>
                <w:szCs w:val="20"/>
                <w:color w:val="auto"/>
              </w:rPr>
            </w:pPr>
            <w:r>
              <w:rPr>
                <w:rFonts w:ascii="Times New Roman" w:cs="Times New Roman" w:eastAsia="Times New Roman" w:hAnsi="Times New Roman"/>
                <w:sz w:val="13"/>
                <w:szCs w:val="13"/>
                <w:color w:val="auto"/>
              </w:rPr>
              <w:t>3,707</w:t>
            </w: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information and services</w:t>
            </w:r>
          </w:p>
        </w:tc>
        <w:tc>
          <w:tcPr>
            <w:tcW w:w="1340" w:type="dxa"/>
            <w:vAlign w:val="bottom"/>
            <w:shd w:val="clear" w:color="auto" w:fill="CCEEFF"/>
          </w:tcPr>
          <w:p>
            <w:pPr>
              <w:spacing w:after="0"/>
              <w:rPr>
                <w:sz w:val="15"/>
                <w:szCs w:val="15"/>
                <w:color w:val="auto"/>
              </w:rPr>
            </w:pPr>
          </w:p>
        </w:tc>
        <w:tc>
          <w:tcPr>
            <w:tcW w:w="29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0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Debt Investments</w:t>
            </w:r>
          </w:p>
        </w:tc>
        <w:tc>
          <w:tcPr>
            <w:tcW w:w="1340" w:type="dxa"/>
            <w:vAlign w:val="bottom"/>
            <w:tcBorders>
              <w:bottom w:val="single" w:sz="8" w:color="CCEEFF"/>
            </w:tcBorders>
          </w:tcPr>
          <w:p>
            <w:pPr>
              <w:spacing w:after="0"/>
              <w:rPr>
                <w:sz w:val="12"/>
                <w:szCs w:val="12"/>
                <w:color w:val="auto"/>
              </w:rPr>
            </w:pPr>
          </w:p>
        </w:tc>
        <w:tc>
          <w:tcPr>
            <w:tcW w:w="298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1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42,620</w:t>
            </w: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42,620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00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29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Warrant Investments — Life science</w:t>
            </w:r>
          </w:p>
        </w:tc>
        <w:tc>
          <w:tcPr>
            <w:tcW w:w="134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Celsion Corporation (6)(7)(8)</w:t>
            </w:r>
          </w:p>
        </w:tc>
        <w:tc>
          <w:tcPr>
            <w:tcW w:w="134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Biotechnology</w:t>
            </w:r>
          </w:p>
        </w:tc>
        <w:tc>
          <w:tcPr>
            <w:tcW w:w="298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95,057 Common Stock Warrants</w:t>
            </w:r>
          </w:p>
        </w:tc>
        <w:tc>
          <w:tcPr>
            <w:tcW w:w="3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58</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Encore Dermatology, Inc. (6)(7)</w:t>
            </w:r>
          </w:p>
        </w:tc>
        <w:tc>
          <w:tcPr>
            <w:tcW w:w="134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Biotechnology</w:t>
            </w:r>
          </w:p>
        </w:tc>
        <w:tc>
          <w:tcPr>
            <w:tcW w:w="29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503,626 Preferred Stock Warrants</w:t>
            </w:r>
          </w:p>
        </w:tc>
        <w:tc>
          <w:tcPr>
            <w:tcW w:w="3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38</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Mustang Bio, Inc. (6)(7)(8)</w:t>
            </w:r>
          </w:p>
        </w:tc>
        <w:tc>
          <w:tcPr>
            <w:tcW w:w="13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Biotechnology</w:t>
            </w:r>
          </w:p>
        </w:tc>
        <w:tc>
          <w:tcPr>
            <w:tcW w:w="2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72,046 Common Stock Warrants</w:t>
            </w:r>
          </w:p>
        </w:tc>
        <w:tc>
          <w:tcPr>
            <w:tcW w:w="3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45</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0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color w:val="auto"/>
              </w:rPr>
              <w:t>Total Warrant Investments — Life science</w:t>
            </w:r>
          </w:p>
        </w:tc>
        <w:tc>
          <w:tcPr>
            <w:tcW w:w="1340" w:type="dxa"/>
            <w:vAlign w:val="bottom"/>
            <w:tcBorders>
              <w:bottom w:val="single" w:sz="8" w:color="CCEEFF"/>
            </w:tcBorders>
          </w:tcPr>
          <w:p>
            <w:pPr>
              <w:spacing w:after="0"/>
              <w:rPr>
                <w:sz w:val="12"/>
                <w:szCs w:val="12"/>
                <w:color w:val="auto"/>
              </w:rPr>
            </w:pPr>
          </w:p>
        </w:tc>
        <w:tc>
          <w:tcPr>
            <w:tcW w:w="298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11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141</w:t>
            </w: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77</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Warrant Investments — Technology</w:t>
            </w:r>
          </w:p>
        </w:tc>
        <w:tc>
          <w:tcPr>
            <w:tcW w:w="1340" w:type="dxa"/>
            <w:vAlign w:val="bottom"/>
            <w:shd w:val="clear" w:color="auto" w:fill="CCEEFF"/>
          </w:tcPr>
          <w:p>
            <w:pPr>
              <w:spacing w:after="0"/>
              <w:rPr>
                <w:sz w:val="12"/>
                <w:szCs w:val="12"/>
                <w:color w:val="auto"/>
              </w:rPr>
            </w:pPr>
          </w:p>
        </w:tc>
        <w:tc>
          <w:tcPr>
            <w:tcW w:w="29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Intelepeer Holdings, Inc. (6)(7)</w:t>
            </w:r>
          </w:p>
        </w:tc>
        <w:tc>
          <w:tcPr>
            <w:tcW w:w="134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Communications</w:t>
            </w:r>
          </w:p>
        </w:tc>
        <w:tc>
          <w:tcPr>
            <w:tcW w:w="29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1,886,934 Preferred Stock Warrants</w:t>
            </w:r>
          </w:p>
        </w:tc>
        <w:tc>
          <w:tcPr>
            <w:tcW w:w="3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82</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Revinate Inc. (6)(7)</w:t>
            </w:r>
          </w:p>
        </w:tc>
        <w:tc>
          <w:tcPr>
            <w:tcW w:w="134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Software</w:t>
            </w:r>
          </w:p>
        </w:tc>
        <w:tc>
          <w:tcPr>
            <w:tcW w:w="298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216,362 Preferred Stock Warrants</w:t>
            </w:r>
          </w:p>
        </w:tc>
        <w:tc>
          <w:tcPr>
            <w:tcW w:w="3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16</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000" w:type="dxa"/>
            <w:vAlign w:val="bottom"/>
          </w:tcPr>
          <w:p>
            <w:pPr>
              <w:spacing w:after="0"/>
              <w:rPr>
                <w:sz w:val="20"/>
                <w:szCs w:val="20"/>
                <w:color w:val="auto"/>
              </w:rPr>
            </w:pPr>
            <w:r>
              <w:rPr>
                <w:rFonts w:ascii="Times New Roman" w:cs="Times New Roman" w:eastAsia="Times New Roman" w:hAnsi="Times New Roman"/>
                <w:sz w:val="14"/>
                <w:szCs w:val="14"/>
                <w:color w:val="auto"/>
              </w:rPr>
              <w:t>BSI Platform Holdings, LLC (6)(7)(9)</w:t>
            </w:r>
          </w:p>
        </w:tc>
        <w:tc>
          <w:tcPr>
            <w:tcW w:w="13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Software</w:t>
            </w:r>
          </w:p>
        </w:tc>
        <w:tc>
          <w:tcPr>
            <w:tcW w:w="29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562,500 Preferred Stock Warrants</w:t>
            </w: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78</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0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 Warrant Investments — Technology</w:t>
            </w:r>
          </w:p>
        </w:tc>
        <w:tc>
          <w:tcPr>
            <w:tcW w:w="1340" w:type="dxa"/>
            <w:vAlign w:val="bottom"/>
            <w:tcBorders>
              <w:top w:val="single" w:sz="8" w:color="CCEEFF"/>
            </w:tcBorders>
            <w:shd w:val="clear" w:color="auto" w:fill="CCEEFF"/>
          </w:tcPr>
          <w:p>
            <w:pPr>
              <w:spacing w:after="0"/>
              <w:rPr>
                <w:sz w:val="12"/>
                <w:szCs w:val="12"/>
                <w:color w:val="auto"/>
              </w:rPr>
            </w:pPr>
          </w:p>
        </w:tc>
        <w:tc>
          <w:tcPr>
            <w:tcW w:w="298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1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10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176</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bottom w:val="single" w:sz="8" w:color="auto"/>
            </w:tcBorders>
            <w:shd w:val="clear" w:color="auto" w:fill="CCEEFF"/>
          </w:tcPr>
          <w:p>
            <w:pPr>
              <w:spacing w:after="0"/>
              <w:rPr>
                <w:sz w:val="12"/>
                <w:szCs w:val="12"/>
                <w:color w:val="auto"/>
              </w:rPr>
            </w:pP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170</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3000" w:type="dxa"/>
            <w:vAlign w:val="bottom"/>
          </w:tcPr>
          <w:p>
            <w:pPr>
              <w:spacing w:after="0" w:line="104" w:lineRule="exact"/>
              <w:rPr>
                <w:sz w:val="20"/>
                <w:szCs w:val="20"/>
                <w:color w:val="auto"/>
              </w:rPr>
            </w:pPr>
            <w:r>
              <w:rPr>
                <w:rFonts w:ascii="Times New Roman" w:cs="Times New Roman" w:eastAsia="Times New Roman" w:hAnsi="Times New Roman"/>
                <w:sz w:val="12"/>
                <w:szCs w:val="12"/>
                <w:b w:val="1"/>
                <w:bCs w:val="1"/>
                <w:color w:val="auto"/>
              </w:rPr>
              <w:t>Warrant Investments — Healthcare</w:t>
            </w:r>
          </w:p>
        </w:tc>
        <w:tc>
          <w:tcPr>
            <w:tcW w:w="1340" w:type="dxa"/>
            <w:vAlign w:val="bottom"/>
          </w:tcPr>
          <w:p>
            <w:pPr>
              <w:spacing w:after="0"/>
              <w:rPr>
                <w:sz w:val="9"/>
                <w:szCs w:val="9"/>
                <w:color w:val="auto"/>
              </w:rPr>
            </w:pPr>
          </w:p>
        </w:tc>
        <w:tc>
          <w:tcPr>
            <w:tcW w:w="29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00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information and services</w:t>
            </w:r>
          </w:p>
        </w:tc>
        <w:tc>
          <w:tcPr>
            <w:tcW w:w="134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HealthEdge Software, Inc. (6)(7)</w:t>
            </w:r>
          </w:p>
        </w:tc>
        <w:tc>
          <w:tcPr>
            <w:tcW w:w="13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Software</w:t>
            </w:r>
          </w:p>
        </w:tc>
        <w:tc>
          <w:tcPr>
            <w:tcW w:w="2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47,418 Preferred Stock Warrants</w:t>
            </w:r>
          </w:p>
        </w:tc>
        <w:tc>
          <w:tcPr>
            <w:tcW w:w="3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16</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000" w:type="dxa"/>
            <w:vAlign w:val="bottom"/>
          </w:tcPr>
          <w:p>
            <w:pPr>
              <w:spacing w:after="0" w:line="115" w:lineRule="exact"/>
              <w:rPr>
                <w:sz w:val="20"/>
                <w:szCs w:val="20"/>
                <w:color w:val="auto"/>
              </w:rPr>
            </w:pPr>
            <w:r>
              <w:rPr>
                <w:rFonts w:ascii="Times New Roman" w:cs="Times New Roman" w:eastAsia="Times New Roman" w:hAnsi="Times New Roman"/>
                <w:sz w:val="13"/>
                <w:szCs w:val="13"/>
                <w:color w:val="auto"/>
              </w:rPr>
              <w:t>Total Warrant Investments — Healthcare</w:t>
            </w:r>
          </w:p>
        </w:tc>
        <w:tc>
          <w:tcPr>
            <w:tcW w:w="1340" w:type="dxa"/>
            <w:vAlign w:val="bottom"/>
          </w:tcPr>
          <w:p>
            <w:pPr>
              <w:spacing w:after="0"/>
              <w:rPr>
                <w:sz w:val="10"/>
                <w:szCs w:val="10"/>
                <w:color w:val="auto"/>
              </w:rPr>
            </w:pPr>
          </w:p>
        </w:tc>
        <w:tc>
          <w:tcPr>
            <w:tcW w:w="29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16</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15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00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4"/>
                <w:szCs w:val="14"/>
                <w:color w:val="auto"/>
              </w:rPr>
              <w:t>information and services</w:t>
            </w:r>
          </w:p>
        </w:tc>
        <w:tc>
          <w:tcPr>
            <w:tcW w:w="1340" w:type="dxa"/>
            <w:vAlign w:val="bottom"/>
            <w:tcBorders>
              <w:bottom w:val="single" w:sz="8" w:color="CCEEFF"/>
            </w:tcBorders>
          </w:tcPr>
          <w:p>
            <w:pPr>
              <w:spacing w:after="0"/>
              <w:rPr>
                <w:sz w:val="15"/>
                <w:szCs w:val="15"/>
                <w:color w:val="auto"/>
              </w:rPr>
            </w:pPr>
          </w:p>
        </w:tc>
        <w:tc>
          <w:tcPr>
            <w:tcW w:w="298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11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Warrant Investments</w:t>
            </w:r>
          </w:p>
        </w:tc>
        <w:tc>
          <w:tcPr>
            <w:tcW w:w="1340" w:type="dxa"/>
            <w:vAlign w:val="bottom"/>
            <w:shd w:val="clear" w:color="auto" w:fill="CCEEFF"/>
          </w:tcPr>
          <w:p>
            <w:pPr>
              <w:spacing w:after="0"/>
              <w:rPr>
                <w:sz w:val="12"/>
                <w:szCs w:val="12"/>
                <w:color w:val="auto"/>
              </w:rPr>
            </w:pPr>
          </w:p>
        </w:tc>
        <w:tc>
          <w:tcPr>
            <w:tcW w:w="29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333</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262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00" w:type="dxa"/>
            <w:vAlign w:val="bottom"/>
            <w:tcBorders>
              <w:bottom w:val="single" w:sz="8" w:color="CCEEFF"/>
            </w:tcBorders>
          </w:tcPr>
          <w:p>
            <w:pPr>
              <w:spacing w:after="0"/>
              <w:rPr>
                <w:sz w:val="12"/>
                <w:szCs w:val="12"/>
                <w:color w:val="auto"/>
              </w:rPr>
            </w:pPr>
          </w:p>
        </w:tc>
        <w:tc>
          <w:tcPr>
            <w:tcW w:w="1340" w:type="dxa"/>
            <w:vAlign w:val="bottom"/>
            <w:tcBorders>
              <w:bottom w:val="single" w:sz="8" w:color="CCEEFF"/>
            </w:tcBorders>
          </w:tcPr>
          <w:p>
            <w:pPr>
              <w:spacing w:after="0"/>
              <w:rPr>
                <w:sz w:val="12"/>
                <w:szCs w:val="12"/>
                <w:color w:val="auto"/>
              </w:rPr>
            </w:pPr>
          </w:p>
        </w:tc>
        <w:tc>
          <w:tcPr>
            <w:tcW w:w="298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1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00" w:type="dxa"/>
            <w:vAlign w:val="bottom"/>
            <w:tcBorders>
              <w:bottom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Total Portfolio Investment Assets</w:t>
            </w:r>
          </w:p>
        </w:tc>
        <w:tc>
          <w:tcPr>
            <w:tcW w:w="1340" w:type="dxa"/>
            <w:vAlign w:val="bottom"/>
            <w:tcBorders>
              <w:bottom w:val="single" w:sz="8" w:color="CCEEFF"/>
            </w:tcBorders>
            <w:shd w:val="clear" w:color="auto" w:fill="CCEEFF"/>
          </w:tcPr>
          <w:p>
            <w:pPr>
              <w:spacing w:after="0"/>
              <w:rPr>
                <w:sz w:val="13"/>
                <w:szCs w:val="13"/>
                <w:color w:val="auto"/>
              </w:rPr>
            </w:pPr>
          </w:p>
        </w:tc>
        <w:tc>
          <w:tcPr>
            <w:tcW w:w="298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11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42,953</w:t>
            </w: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42,882</w:t>
            </w:r>
          </w:p>
        </w:tc>
        <w:tc>
          <w:tcPr>
            <w:tcW w:w="10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30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0" w:type="dxa"/>
            <w:vAlign w:val="bottom"/>
            <w:vMerge w:val="continue"/>
          </w:tcPr>
          <w:p>
            <w:pPr>
              <w:spacing w:after="0"/>
              <w:rPr>
                <w:sz w:val="10"/>
                <w:szCs w:val="10"/>
                <w:color w:val="auto"/>
              </w:rPr>
            </w:pPr>
          </w:p>
        </w:tc>
        <w:tc>
          <w:tcPr>
            <w:tcW w:w="300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Short Term Investments — Unrestricted</w:t>
            </w:r>
          </w:p>
        </w:tc>
        <w:tc>
          <w:tcPr>
            <w:tcW w:w="1340" w:type="dxa"/>
            <w:vAlign w:val="bottom"/>
            <w:shd w:val="clear" w:color="auto" w:fill="CCEEFF"/>
          </w:tcPr>
          <w:p>
            <w:pPr>
              <w:spacing w:after="0"/>
              <w:rPr>
                <w:sz w:val="10"/>
                <w:szCs w:val="10"/>
                <w:color w:val="auto"/>
              </w:rPr>
            </w:pPr>
          </w:p>
        </w:tc>
        <w:tc>
          <w:tcPr>
            <w:tcW w:w="29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1340" w:type="dxa"/>
            <w:vAlign w:val="bottom"/>
            <w:shd w:val="clear" w:color="auto" w:fill="CCEEFF"/>
          </w:tcPr>
          <w:p>
            <w:pPr>
              <w:spacing w:after="0"/>
              <w:rPr>
                <w:sz w:val="15"/>
                <w:szCs w:val="15"/>
                <w:color w:val="auto"/>
              </w:rPr>
            </w:pPr>
          </w:p>
        </w:tc>
        <w:tc>
          <w:tcPr>
            <w:tcW w:w="29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000" w:type="dxa"/>
            <w:vAlign w:val="bottom"/>
          </w:tcPr>
          <w:p>
            <w:pPr>
              <w:spacing w:after="0"/>
              <w:rPr>
                <w:sz w:val="20"/>
                <w:szCs w:val="20"/>
                <w:color w:val="auto"/>
              </w:rPr>
            </w:pPr>
            <w:r>
              <w:rPr>
                <w:rFonts w:ascii="Times New Roman" w:cs="Times New Roman" w:eastAsia="Times New Roman" w:hAnsi="Times New Roman"/>
                <w:sz w:val="14"/>
                <w:szCs w:val="14"/>
                <w:color w:val="auto"/>
              </w:rPr>
              <w:t>US Bank Money Market Deposit Account (6)</w:t>
            </w:r>
          </w:p>
        </w:tc>
        <w:tc>
          <w:tcPr>
            <w:tcW w:w="134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1,784</w:t>
            </w:r>
          </w:p>
        </w:tc>
        <w:tc>
          <w:tcPr>
            <w:tcW w:w="360" w:type="dxa"/>
            <w:vAlign w:val="bottom"/>
            <w:gridSpan w:val="2"/>
          </w:tcPr>
          <w:p>
            <w:pPr>
              <w:jc w:val="right"/>
              <w:ind w:right="123"/>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1,784</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000" w:type="dxa"/>
            <w:vAlign w:val="bottom"/>
            <w:tcBorders>
              <w:top w:val="single" w:sz="8" w:color="CCEEFF"/>
            </w:tcBorders>
            <w:shd w:val="clear" w:color="auto" w:fill="CCEEFF"/>
          </w:tcPr>
          <w:p>
            <w:pPr>
              <w:spacing w:after="0" w:line="115" w:lineRule="exact"/>
              <w:rPr>
                <w:sz w:val="20"/>
                <w:szCs w:val="20"/>
                <w:color w:val="auto"/>
              </w:rPr>
            </w:pPr>
            <w:r>
              <w:rPr>
                <w:rFonts w:ascii="Times New Roman" w:cs="Times New Roman" w:eastAsia="Times New Roman" w:hAnsi="Times New Roman"/>
                <w:sz w:val="13"/>
                <w:szCs w:val="13"/>
                <w:b w:val="1"/>
                <w:bCs w:val="1"/>
                <w:color w:val="auto"/>
              </w:rPr>
              <w:t>Total Short Term Investments — Unrestricted</w:t>
            </w:r>
          </w:p>
        </w:tc>
        <w:tc>
          <w:tcPr>
            <w:tcW w:w="1340" w:type="dxa"/>
            <w:vAlign w:val="bottom"/>
            <w:tcBorders>
              <w:top w:val="single" w:sz="8" w:color="CCEEFF"/>
            </w:tcBorders>
            <w:shd w:val="clear" w:color="auto" w:fill="CCEEFF"/>
          </w:tcPr>
          <w:p>
            <w:pPr>
              <w:spacing w:after="0"/>
              <w:rPr>
                <w:sz w:val="10"/>
                <w:szCs w:val="10"/>
                <w:color w:val="auto"/>
              </w:rPr>
            </w:pPr>
          </w:p>
        </w:tc>
        <w:tc>
          <w:tcPr>
            <w:tcW w:w="2980" w:type="dxa"/>
            <w:vAlign w:val="bottom"/>
            <w:tcBorders>
              <w:top w:val="single" w:sz="8" w:color="CCEEFF"/>
            </w:tcBorders>
            <w:shd w:val="clear" w:color="auto" w:fill="CCEEFF"/>
          </w:tcPr>
          <w:p>
            <w:pPr>
              <w:spacing w:after="0"/>
              <w:rPr>
                <w:sz w:val="10"/>
                <w:szCs w:val="10"/>
                <w:color w:val="auto"/>
              </w:rPr>
            </w:pPr>
          </w:p>
        </w:tc>
        <w:tc>
          <w:tcPr>
            <w:tcW w:w="320" w:type="dxa"/>
            <w:vAlign w:val="bottom"/>
            <w:tcBorders>
              <w:top w:val="single" w:sz="8" w:color="CCEEFF"/>
            </w:tcBorders>
            <w:shd w:val="clear" w:color="auto" w:fill="CCEEFF"/>
          </w:tcPr>
          <w:p>
            <w:pPr>
              <w:spacing w:after="0"/>
              <w:rPr>
                <w:sz w:val="10"/>
                <w:szCs w:val="10"/>
                <w:color w:val="auto"/>
              </w:rPr>
            </w:pPr>
          </w:p>
        </w:tc>
        <w:tc>
          <w:tcPr>
            <w:tcW w:w="11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3"/>
                <w:szCs w:val="13"/>
                <w:color w:val="auto"/>
              </w:rPr>
              <w:t>1,784</w:t>
            </w:r>
          </w:p>
        </w:tc>
        <w:tc>
          <w:tcPr>
            <w:tcW w:w="1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jc w:val="right"/>
              <w:ind w:right="123"/>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3"/>
                <w:szCs w:val="13"/>
                <w:color w:val="auto"/>
              </w:rPr>
              <w:t>1,784</w:t>
            </w:r>
          </w:p>
        </w:tc>
        <w:tc>
          <w:tcPr>
            <w:tcW w:w="10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1340" w:type="dxa"/>
            <w:vAlign w:val="bottom"/>
            <w:tcBorders>
              <w:bottom w:val="single" w:sz="8" w:color="CCEEFF"/>
            </w:tcBorders>
            <w:shd w:val="clear" w:color="auto" w:fill="CCEEFF"/>
          </w:tcPr>
          <w:p>
            <w:pPr>
              <w:spacing w:after="0"/>
              <w:rPr>
                <w:sz w:val="16"/>
                <w:szCs w:val="16"/>
                <w:color w:val="auto"/>
              </w:rPr>
            </w:pPr>
          </w:p>
        </w:tc>
        <w:tc>
          <w:tcPr>
            <w:tcW w:w="29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30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0" w:type="dxa"/>
            <w:vAlign w:val="bottom"/>
            <w:vMerge w:val="continue"/>
          </w:tcPr>
          <w:p>
            <w:pPr>
              <w:spacing w:after="0"/>
              <w:rPr>
                <w:sz w:val="10"/>
                <w:szCs w:val="10"/>
                <w:color w:val="auto"/>
              </w:rPr>
            </w:pPr>
          </w:p>
        </w:tc>
        <w:tc>
          <w:tcPr>
            <w:tcW w:w="300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Short Term Investments — Restricted Money</w:t>
            </w:r>
          </w:p>
        </w:tc>
        <w:tc>
          <w:tcPr>
            <w:tcW w:w="1340" w:type="dxa"/>
            <w:vAlign w:val="bottom"/>
            <w:shd w:val="clear" w:color="auto" w:fill="CCEEFF"/>
          </w:tcPr>
          <w:p>
            <w:pPr>
              <w:spacing w:after="0"/>
              <w:rPr>
                <w:sz w:val="10"/>
                <w:szCs w:val="10"/>
                <w:color w:val="auto"/>
              </w:rPr>
            </w:pPr>
          </w:p>
        </w:tc>
        <w:tc>
          <w:tcPr>
            <w:tcW w:w="29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b w:val="1"/>
                <w:bCs w:val="1"/>
                <w:color w:val="auto"/>
              </w:rPr>
              <w:t>Market Funds</w:t>
            </w:r>
          </w:p>
        </w:tc>
        <w:tc>
          <w:tcPr>
            <w:tcW w:w="1340" w:type="dxa"/>
            <w:vAlign w:val="bottom"/>
            <w:shd w:val="clear" w:color="auto" w:fill="CCEEFF"/>
          </w:tcPr>
          <w:p>
            <w:pPr>
              <w:spacing w:after="0"/>
              <w:rPr>
                <w:sz w:val="15"/>
                <w:szCs w:val="15"/>
                <w:color w:val="auto"/>
              </w:rPr>
            </w:pPr>
          </w:p>
        </w:tc>
        <w:tc>
          <w:tcPr>
            <w:tcW w:w="29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000" w:type="dxa"/>
            <w:vAlign w:val="bottom"/>
          </w:tcPr>
          <w:p>
            <w:pPr>
              <w:spacing w:after="0"/>
              <w:rPr>
                <w:sz w:val="20"/>
                <w:szCs w:val="20"/>
                <w:color w:val="auto"/>
              </w:rPr>
            </w:pPr>
            <w:r>
              <w:rPr>
                <w:rFonts w:ascii="Times New Roman" w:cs="Times New Roman" w:eastAsia="Times New Roman" w:hAnsi="Times New Roman"/>
                <w:sz w:val="14"/>
                <w:szCs w:val="14"/>
                <w:color w:val="auto"/>
              </w:rPr>
              <w:t>US Bank Money Market Deposit Account (6)</w:t>
            </w:r>
          </w:p>
        </w:tc>
        <w:tc>
          <w:tcPr>
            <w:tcW w:w="134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127</w:t>
            </w:r>
          </w:p>
        </w:tc>
        <w:tc>
          <w:tcPr>
            <w:tcW w:w="360" w:type="dxa"/>
            <w:vAlign w:val="bottom"/>
            <w:gridSpan w:val="2"/>
          </w:tcPr>
          <w:p>
            <w:pPr>
              <w:jc w:val="right"/>
              <w:ind w:right="123"/>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127</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000" w:type="dxa"/>
            <w:vAlign w:val="bottom"/>
            <w:tcBorders>
              <w:top w:val="single" w:sz="8" w:color="CCEEFF"/>
            </w:tcBorders>
            <w:shd w:val="clear" w:color="auto" w:fill="CCEEFF"/>
          </w:tcPr>
          <w:p>
            <w:pPr>
              <w:spacing w:after="0" w:line="115" w:lineRule="exact"/>
              <w:rPr>
                <w:sz w:val="20"/>
                <w:szCs w:val="20"/>
                <w:color w:val="auto"/>
              </w:rPr>
            </w:pPr>
            <w:r>
              <w:rPr>
                <w:rFonts w:ascii="Times New Roman" w:cs="Times New Roman" w:eastAsia="Times New Roman" w:hAnsi="Times New Roman"/>
                <w:sz w:val="13"/>
                <w:szCs w:val="13"/>
                <w:b w:val="1"/>
                <w:bCs w:val="1"/>
                <w:color w:val="auto"/>
              </w:rPr>
              <w:t>Total Short Term Investments — Restricted</w:t>
            </w:r>
          </w:p>
        </w:tc>
        <w:tc>
          <w:tcPr>
            <w:tcW w:w="1340" w:type="dxa"/>
            <w:vAlign w:val="bottom"/>
            <w:tcBorders>
              <w:top w:val="single" w:sz="8" w:color="CCEEFF"/>
            </w:tcBorders>
            <w:shd w:val="clear" w:color="auto" w:fill="CCEEFF"/>
          </w:tcPr>
          <w:p>
            <w:pPr>
              <w:spacing w:after="0"/>
              <w:rPr>
                <w:sz w:val="10"/>
                <w:szCs w:val="10"/>
                <w:color w:val="auto"/>
              </w:rPr>
            </w:pPr>
          </w:p>
        </w:tc>
        <w:tc>
          <w:tcPr>
            <w:tcW w:w="2980" w:type="dxa"/>
            <w:vAlign w:val="bottom"/>
            <w:tcBorders>
              <w:top w:val="single" w:sz="8" w:color="CCEEFF"/>
            </w:tcBorders>
            <w:shd w:val="clear" w:color="auto" w:fill="CCEEFF"/>
          </w:tcPr>
          <w:p>
            <w:pPr>
              <w:spacing w:after="0"/>
              <w:rPr>
                <w:sz w:val="10"/>
                <w:szCs w:val="10"/>
                <w:color w:val="auto"/>
              </w:rPr>
            </w:pPr>
          </w:p>
        </w:tc>
        <w:tc>
          <w:tcPr>
            <w:tcW w:w="320" w:type="dxa"/>
            <w:vAlign w:val="bottom"/>
            <w:tcBorders>
              <w:top w:val="single" w:sz="8" w:color="CCEEFF"/>
            </w:tcBorders>
            <w:shd w:val="clear" w:color="auto" w:fill="CCEEFF"/>
          </w:tcPr>
          <w:p>
            <w:pPr>
              <w:spacing w:after="0"/>
              <w:rPr>
                <w:sz w:val="10"/>
                <w:szCs w:val="10"/>
                <w:color w:val="auto"/>
              </w:rPr>
            </w:pPr>
          </w:p>
        </w:tc>
        <w:tc>
          <w:tcPr>
            <w:tcW w:w="11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3"/>
                <w:szCs w:val="13"/>
                <w:color w:val="auto"/>
              </w:rPr>
              <w:t>127</w:t>
            </w:r>
          </w:p>
        </w:tc>
        <w:tc>
          <w:tcPr>
            <w:tcW w:w="1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jc w:val="right"/>
              <w:ind w:right="123"/>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3"/>
                <w:szCs w:val="13"/>
                <w:color w:val="auto"/>
              </w:rPr>
              <w:t>127</w:t>
            </w:r>
          </w:p>
        </w:tc>
        <w:tc>
          <w:tcPr>
            <w:tcW w:w="10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b w:val="1"/>
                <w:bCs w:val="1"/>
                <w:color w:val="auto"/>
              </w:rPr>
              <w:t>Money Market Funds</w:t>
            </w:r>
          </w:p>
        </w:tc>
        <w:tc>
          <w:tcPr>
            <w:tcW w:w="1340" w:type="dxa"/>
            <w:vAlign w:val="bottom"/>
            <w:tcBorders>
              <w:bottom w:val="single" w:sz="8" w:color="CCEEFF"/>
            </w:tcBorders>
            <w:shd w:val="clear" w:color="auto" w:fill="CCEEFF"/>
          </w:tcPr>
          <w:p>
            <w:pPr>
              <w:spacing w:after="0"/>
              <w:rPr>
                <w:sz w:val="16"/>
                <w:szCs w:val="16"/>
                <w:color w:val="auto"/>
              </w:rPr>
            </w:pPr>
          </w:p>
        </w:tc>
        <w:tc>
          <w:tcPr>
            <w:tcW w:w="29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left="340" w:hanging="332"/>
        <w:spacing w:after="0"/>
        <w:tabs>
          <w:tab w:leader="none" w:pos="3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investments of HSLFI are in entities which are organized under the laws of the United States and have a principal place of business in the United States.</w:t>
      </w:r>
    </w:p>
    <w:p>
      <w:pPr>
        <w:spacing w:after="0" w:line="3" w:lineRule="exact"/>
        <w:rPr>
          <w:rFonts w:ascii="Times New Roman" w:cs="Times New Roman" w:eastAsia="Times New Roman" w:hAnsi="Times New Roman"/>
          <w:sz w:val="14"/>
          <w:szCs w:val="14"/>
          <w:color w:val="auto"/>
        </w:rPr>
      </w:pPr>
    </w:p>
    <w:p>
      <w:pPr>
        <w:jc w:val="both"/>
        <w:ind w:left="340" w:hanging="332"/>
        <w:spacing w:after="0" w:line="221" w:lineRule="auto"/>
        <w:tabs>
          <w:tab w:leader="none" w:pos="3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interest is payable in cash due monthly in arrears, unless otherwise indicated, and applies only to HSLFI’s debt investments. Interest rate is the annual interest rate on the debt investment and does not include ETPs and any additional fees related to the investments, such as deferred interest, commitment fees or prepayment fees. Debt investments are at variable rates for the term of the debt investment, unless otherwise indicated. All debt investments based on LIBOR are based on one-month LIBOR. For each debt investment, the current interest rate in effect as of September 30, 2019 is provided.</w:t>
      </w:r>
    </w:p>
    <w:p>
      <w:pPr>
        <w:spacing w:after="0" w:line="1" w:lineRule="exact"/>
        <w:rPr>
          <w:rFonts w:ascii="Times New Roman" w:cs="Times New Roman" w:eastAsia="Times New Roman" w:hAnsi="Times New Roman"/>
          <w:sz w:val="14"/>
          <w:szCs w:val="14"/>
          <w:color w:val="auto"/>
        </w:rPr>
      </w:pPr>
    </w:p>
    <w:p>
      <w:pPr>
        <w:jc w:val="both"/>
        <w:ind w:left="340" w:hanging="332"/>
        <w:spacing w:after="0"/>
        <w:tabs>
          <w:tab w:leader="none" w:pos="3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ETPs are contractual fixed-interest payments due in cash at the maturity date of the applicable debt investment, including upon any prepayment, and are a fixed percentage of the original principal balance of the debt investments unless otherwise noted. Interest will accrue during the life of the debt investment on each ETP and will be recognized as non-cash income until it is actually paid.</w:t>
      </w:r>
    </w:p>
    <w:p>
      <w:pPr>
        <w:spacing w:after="0" w:line="123" w:lineRule="exact"/>
        <w:rPr>
          <w:rFonts w:ascii="Times New Roman" w:cs="Times New Roman" w:eastAsia="Times New Roman" w:hAnsi="Times New Roman"/>
          <w:sz w:val="14"/>
          <w:szCs w:val="14"/>
          <w:color w:val="auto"/>
        </w:rPr>
      </w:pPr>
    </w:p>
    <w:p>
      <w:pPr>
        <w:ind w:left="340" w:hanging="332"/>
        <w:spacing w:after="0" w:line="221" w:lineRule="auto"/>
        <w:tabs>
          <w:tab w:leader="none" w:pos="3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Warrants are non-income producing.</w:t>
      </w:r>
    </w:p>
    <w:p>
      <w:pPr>
        <w:ind w:left="340" w:hanging="332"/>
        <w:spacing w:after="0" w:line="221" w:lineRule="auto"/>
        <w:tabs>
          <w:tab w:leader="none" w:pos="3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debt investments, represents principal balance less unearned income.</w:t>
      </w:r>
    </w:p>
    <w:p>
      <w:pPr>
        <w:ind w:left="340" w:hanging="332"/>
        <w:spacing w:after="0"/>
        <w:tabs>
          <w:tab w:leader="none" w:pos="3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Has been pledged as collateral under the NYL Facility.</w:t>
      </w:r>
    </w:p>
    <w:p>
      <w:pPr>
        <w:sectPr>
          <w:pgSz w:w="11900" w:h="16838" w:orient="portrait"/>
          <w:cols w:equalWidth="0" w:num="1">
            <w:col w:w="11420"/>
          </w:cols>
          <w:pgMar w:left="240" w:top="900" w:right="239" w:bottom="0" w:gutter="0" w:footer="0" w:header="0"/>
        </w:sectPr>
      </w:pPr>
    </w:p>
    <w:bookmarkStart w:id="29" w:name="page30"/>
    <w:bookmarkEnd w:id="29"/>
    <w:p>
      <w:pPr>
        <w:ind w:left="340" w:hanging="332"/>
        <w:spacing w:after="0"/>
        <w:tabs>
          <w:tab w:leader="none" w:pos="3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fair value of the investment was valued using significant unobservable inputs.</w:t>
      </w:r>
    </w:p>
    <w:p>
      <w:pPr>
        <w:spacing w:after="0" w:line="2" w:lineRule="exact"/>
        <w:rPr>
          <w:rFonts w:ascii="Times New Roman" w:cs="Times New Roman" w:eastAsia="Times New Roman" w:hAnsi="Times New Roman"/>
          <w:sz w:val="14"/>
          <w:szCs w:val="14"/>
          <w:color w:val="auto"/>
        </w:rPr>
      </w:pPr>
    </w:p>
    <w:p>
      <w:pPr>
        <w:ind w:left="340" w:hanging="332"/>
        <w:spacing w:after="0" w:line="221" w:lineRule="auto"/>
        <w:tabs>
          <w:tab w:leader="none" w:pos="3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Portfolio company is a public company.</w:t>
      </w:r>
    </w:p>
    <w:p>
      <w:pPr>
        <w:ind w:left="340" w:hanging="332"/>
        <w:spacing w:after="0"/>
        <w:tabs>
          <w:tab w:leader="none" w:pos="3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New Signature US, Inc. is a subsidiary of BSI Platform Holdings, LLC.</w:t>
      </w:r>
    </w:p>
    <w:p>
      <w:pPr>
        <w:spacing w:after="0" w:line="200" w:lineRule="exact"/>
        <w:rPr>
          <w:sz w:val="20"/>
          <w:szCs w:val="20"/>
          <w:color w:val="auto"/>
        </w:rPr>
      </w:pPr>
    </w:p>
    <w:p>
      <w:pPr>
        <w:spacing w:after="0" w:line="208" w:lineRule="exact"/>
        <w:rPr>
          <w:sz w:val="20"/>
          <w:szCs w:val="20"/>
          <w:color w:val="auto"/>
        </w:rPr>
      </w:pPr>
    </w:p>
    <w:p>
      <w:pPr>
        <w:jc w:val="right"/>
        <w:ind w:right="439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118" w:right="1440"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Horizon Technology Finance Corporation and Subsidiaries</w:t>
      </w:r>
    </w:p>
    <w:p>
      <w:pPr>
        <w:spacing w:after="0" w:line="225"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shows HSLFI’s investments as of December 31, 2018:</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00" w:type="dxa"/>
            <w:vAlign w:val="bottom"/>
          </w:tcPr>
          <w:p>
            <w:pPr>
              <w:spacing w:after="0"/>
              <w:rPr>
                <w:sz w:val="13"/>
                <w:szCs w:val="13"/>
                <w:color w:val="auto"/>
              </w:rPr>
            </w:pPr>
          </w:p>
        </w:tc>
        <w:tc>
          <w:tcPr>
            <w:tcW w:w="11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Cost of</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204"/>
        </w:trPr>
        <w:tc>
          <w:tcPr>
            <w:tcW w:w="3020" w:type="dxa"/>
            <w:vAlign w:val="bottom"/>
            <w:gridSpan w:val="2"/>
          </w:tcPr>
          <w:p>
            <w:pPr>
              <w:spacing w:after="0" w:line="204" w:lineRule="exact"/>
              <w:rPr>
                <w:sz w:val="20"/>
                <w:szCs w:val="20"/>
                <w:color w:val="auto"/>
              </w:rPr>
            </w:pPr>
            <w:r>
              <w:rPr>
                <w:rFonts w:ascii="Times New Roman" w:cs="Times New Roman" w:eastAsia="Times New Roman" w:hAnsi="Times New Roman"/>
                <w:sz w:val="14"/>
                <w:szCs w:val="14"/>
                <w:b w:val="1"/>
                <w:bCs w:val="1"/>
                <w:color w:val="auto"/>
              </w:rPr>
              <w:t xml:space="preserve">Portfolio Company </w:t>
            </w:r>
            <w:r>
              <w:rPr>
                <w:rFonts w:ascii="Times New Roman" w:cs="Times New Roman" w:eastAsia="Times New Roman" w:hAnsi="Times New Roman"/>
                <w:sz w:val="23"/>
                <w:szCs w:val="23"/>
                <w:b w:val="1"/>
                <w:bCs w:val="1"/>
                <w:color w:val="auto"/>
                <w:vertAlign w:val="superscript"/>
              </w:rPr>
              <w:t>(1)</w:t>
            </w:r>
          </w:p>
        </w:tc>
        <w:tc>
          <w:tcPr>
            <w:tcW w:w="1340" w:type="dxa"/>
            <w:vAlign w:val="bottom"/>
          </w:tcPr>
          <w:p>
            <w:pPr>
              <w:ind w:left="460"/>
              <w:spacing w:after="0"/>
              <w:rPr>
                <w:sz w:val="20"/>
                <w:szCs w:val="20"/>
                <w:color w:val="auto"/>
              </w:rPr>
            </w:pPr>
            <w:r>
              <w:rPr>
                <w:rFonts w:ascii="Times New Roman" w:cs="Times New Roman" w:eastAsia="Times New Roman" w:hAnsi="Times New Roman"/>
                <w:sz w:val="14"/>
                <w:szCs w:val="14"/>
                <w:b w:val="1"/>
                <w:bCs w:val="1"/>
                <w:color w:val="auto"/>
              </w:rPr>
              <w:t>Sector</w:t>
            </w:r>
          </w:p>
        </w:tc>
        <w:tc>
          <w:tcPr>
            <w:tcW w:w="2980" w:type="dxa"/>
            <w:vAlign w:val="bottom"/>
          </w:tcPr>
          <w:p>
            <w:pPr>
              <w:ind w:left="700"/>
              <w:spacing w:after="0" w:line="204" w:lineRule="exact"/>
              <w:rPr>
                <w:sz w:val="20"/>
                <w:szCs w:val="20"/>
                <w:color w:val="auto"/>
              </w:rPr>
            </w:pPr>
            <w:r>
              <w:rPr>
                <w:rFonts w:ascii="Times New Roman" w:cs="Times New Roman" w:eastAsia="Times New Roman" w:hAnsi="Times New Roman"/>
                <w:sz w:val="14"/>
                <w:szCs w:val="14"/>
                <w:b w:val="1"/>
                <w:bCs w:val="1"/>
                <w:color w:val="auto"/>
              </w:rPr>
              <w:t xml:space="preserve">Type of Investment </w:t>
            </w:r>
            <w:r>
              <w:rPr>
                <w:rFonts w:ascii="Times New Roman" w:cs="Times New Roman" w:eastAsia="Times New Roman" w:hAnsi="Times New Roman"/>
                <w:sz w:val="23"/>
                <w:szCs w:val="23"/>
                <w:b w:val="1"/>
                <w:bCs w:val="1"/>
                <w:color w:val="auto"/>
                <w:vertAlign w:val="superscript"/>
              </w:rPr>
              <w:t>(2)(3)(4)</w:t>
            </w:r>
          </w:p>
        </w:tc>
        <w:tc>
          <w:tcPr>
            <w:tcW w:w="320" w:type="dxa"/>
            <w:vAlign w:val="bottom"/>
          </w:tcPr>
          <w:p>
            <w:pPr>
              <w:spacing w:after="0"/>
              <w:rPr>
                <w:sz w:val="17"/>
                <w:szCs w:val="17"/>
                <w:color w:val="auto"/>
              </w:rPr>
            </w:pPr>
          </w:p>
        </w:tc>
        <w:tc>
          <w:tcPr>
            <w:tcW w:w="116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7"/>
                <w:szCs w:val="17"/>
                <w:color w:val="auto"/>
              </w:rPr>
            </w:pPr>
          </w:p>
        </w:tc>
        <w:tc>
          <w:tcPr>
            <w:tcW w:w="1140" w:type="dxa"/>
            <w:vAlign w:val="bottom"/>
            <w:gridSpan w:val="2"/>
          </w:tcPr>
          <w:p>
            <w:pPr>
              <w:jc w:val="right"/>
              <w:ind w:right="220"/>
              <w:spacing w:after="0" w:line="204" w:lineRule="exact"/>
              <w:rPr>
                <w:sz w:val="20"/>
                <w:szCs w:val="20"/>
                <w:color w:val="auto"/>
              </w:rPr>
            </w:pPr>
            <w:r>
              <w:rPr>
                <w:rFonts w:ascii="Times New Roman" w:cs="Times New Roman" w:eastAsia="Times New Roman" w:hAnsi="Times New Roman"/>
                <w:sz w:val="14"/>
                <w:szCs w:val="14"/>
                <w:b w:val="1"/>
                <w:bCs w:val="1"/>
                <w:color w:val="auto"/>
                <w:w w:val="99"/>
              </w:rPr>
              <w:t>Investments</w:t>
            </w:r>
            <w:r>
              <w:rPr>
                <w:rFonts w:ascii="Times New Roman" w:cs="Times New Roman" w:eastAsia="Times New Roman" w:hAnsi="Times New Roman"/>
                <w:sz w:val="23"/>
                <w:szCs w:val="23"/>
                <w:b w:val="1"/>
                <w:bCs w:val="1"/>
                <w:color w:val="auto"/>
                <w:w w:val="99"/>
                <w:vertAlign w:val="superscript"/>
              </w:rPr>
              <w:t>(5)</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0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2980" w:type="dxa"/>
            <w:vAlign w:val="bottom"/>
            <w:tcBorders>
              <w:top w:val="single" w:sz="8" w:color="auto"/>
            </w:tcBorders>
          </w:tcPr>
          <w:p>
            <w:pPr>
              <w:ind w:left="68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Debt Investments — Life science</w:t>
            </w:r>
          </w:p>
        </w:tc>
        <w:tc>
          <w:tcPr>
            <w:tcW w:w="1340" w:type="dxa"/>
            <w:vAlign w:val="bottom"/>
            <w:shd w:val="clear" w:color="auto" w:fill="CCEEFF"/>
          </w:tcPr>
          <w:p>
            <w:pPr>
              <w:spacing w:after="0"/>
              <w:rPr>
                <w:sz w:val="12"/>
                <w:szCs w:val="12"/>
                <w:color w:val="auto"/>
              </w:rPr>
            </w:pPr>
          </w:p>
        </w:tc>
        <w:tc>
          <w:tcPr>
            <w:tcW w:w="29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0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Celsion Corporation (6)(7)(8)</w:t>
            </w:r>
          </w:p>
        </w:tc>
        <w:tc>
          <w:tcPr>
            <w:tcW w:w="1340" w:type="dxa"/>
            <w:vAlign w:val="bottom"/>
          </w:tcPr>
          <w:p>
            <w:pPr>
              <w:ind w:left="200"/>
              <w:spacing w:after="0" w:line="126" w:lineRule="exact"/>
              <w:rPr>
                <w:sz w:val="20"/>
                <w:szCs w:val="20"/>
                <w:color w:val="auto"/>
              </w:rPr>
            </w:pPr>
            <w:r>
              <w:rPr>
                <w:rFonts w:ascii="Times New Roman" w:cs="Times New Roman" w:eastAsia="Times New Roman" w:hAnsi="Times New Roman"/>
                <w:sz w:val="14"/>
                <w:szCs w:val="14"/>
                <w:color w:val="auto"/>
              </w:rPr>
              <w:t>Biotechnology</w:t>
            </w:r>
          </w:p>
        </w:tc>
        <w:tc>
          <w:tcPr>
            <w:tcW w:w="2980" w:type="dxa"/>
            <w:vAlign w:val="bottom"/>
          </w:tcPr>
          <w:p>
            <w:pPr>
              <w:ind w:left="140"/>
              <w:spacing w:after="0" w:line="126" w:lineRule="exact"/>
              <w:rPr>
                <w:sz w:val="20"/>
                <w:szCs w:val="20"/>
                <w:color w:val="auto"/>
              </w:rPr>
            </w:pPr>
            <w:r>
              <w:rPr>
                <w:rFonts w:ascii="Times New Roman" w:cs="Times New Roman" w:eastAsia="Times New Roman" w:hAnsi="Times New Roman"/>
                <w:sz w:val="14"/>
                <w:szCs w:val="14"/>
                <w:color w:val="auto"/>
              </w:rPr>
              <w:t>Term Loan (9.98% cash (Libor + 7.63%; Floor</w:t>
            </w:r>
          </w:p>
        </w:tc>
        <w:tc>
          <w:tcPr>
            <w:tcW w:w="320" w:type="dxa"/>
            <w:vAlign w:val="bottom"/>
          </w:tcPr>
          <w:p>
            <w:pPr>
              <w:jc w:val="right"/>
              <w:ind w:right="48"/>
              <w:spacing w:after="0" w:line="126"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ind w:right="128"/>
              <w:spacing w:after="0" w:line="126" w:lineRule="exact"/>
              <w:rPr>
                <w:sz w:val="20"/>
                <w:szCs w:val="20"/>
                <w:color w:val="auto"/>
              </w:rPr>
            </w:pPr>
            <w:r>
              <w:rPr>
                <w:rFonts w:ascii="Times New Roman" w:cs="Times New Roman" w:eastAsia="Times New Roman" w:hAnsi="Times New Roman"/>
                <w:sz w:val="14"/>
                <w:szCs w:val="14"/>
                <w:color w:val="auto"/>
              </w:rPr>
              <w:t>2,500</w:t>
            </w:r>
          </w:p>
        </w:tc>
        <w:tc>
          <w:tcPr>
            <w:tcW w:w="10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2,449</w:t>
            </w:r>
          </w:p>
        </w:tc>
        <w:tc>
          <w:tcPr>
            <w:tcW w:w="360" w:type="dxa"/>
            <w:vAlign w:val="bottom"/>
            <w:gridSpan w:val="2"/>
          </w:tcPr>
          <w:p>
            <w:pPr>
              <w:jc w:val="right"/>
              <w:ind w:right="123"/>
              <w:spacing w:after="0" w:line="126"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2,449</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9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9.63%), 4.00% ETP, Due 7/1/22)</w:t>
            </w: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00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2980" w:type="dxa"/>
            <w:vAlign w:val="bottom"/>
            <w:shd w:val="clear" w:color="auto" w:fill="CCEEFF"/>
          </w:tcPr>
          <w:p>
            <w:pPr>
              <w:ind w:left="140"/>
              <w:spacing w:after="0" w:line="126" w:lineRule="exact"/>
              <w:rPr>
                <w:sz w:val="20"/>
                <w:szCs w:val="20"/>
                <w:color w:val="auto"/>
              </w:rPr>
            </w:pPr>
            <w:r>
              <w:rPr>
                <w:rFonts w:ascii="Times New Roman" w:cs="Times New Roman" w:eastAsia="Times New Roman" w:hAnsi="Times New Roman"/>
                <w:sz w:val="14"/>
                <w:szCs w:val="14"/>
                <w:color w:val="auto"/>
              </w:rPr>
              <w:t>Term Loan (9.98% cash (Libor + 7.63%; Floor</w:t>
            </w:r>
          </w:p>
        </w:tc>
        <w:tc>
          <w:tcPr>
            <w:tcW w:w="320" w:type="dxa"/>
            <w:vAlign w:val="bottom"/>
            <w:shd w:val="clear" w:color="auto" w:fill="CCEEFF"/>
          </w:tcPr>
          <w:p>
            <w:pPr>
              <w:spacing w:after="0"/>
              <w:rPr>
                <w:sz w:val="10"/>
                <w:szCs w:val="10"/>
                <w:color w:val="auto"/>
              </w:rPr>
            </w:pPr>
          </w:p>
        </w:tc>
        <w:tc>
          <w:tcPr>
            <w:tcW w:w="1160" w:type="dxa"/>
            <w:vAlign w:val="bottom"/>
            <w:shd w:val="clear" w:color="auto" w:fill="CCEEFF"/>
          </w:tcPr>
          <w:p>
            <w:pPr>
              <w:jc w:val="right"/>
              <w:ind w:right="128"/>
              <w:spacing w:after="0" w:line="126" w:lineRule="exact"/>
              <w:rPr>
                <w:sz w:val="20"/>
                <w:szCs w:val="20"/>
                <w:color w:val="auto"/>
              </w:rPr>
            </w:pPr>
            <w:r>
              <w:rPr>
                <w:rFonts w:ascii="Times New Roman" w:cs="Times New Roman" w:eastAsia="Times New Roman" w:hAnsi="Times New Roman"/>
                <w:sz w:val="14"/>
                <w:szCs w:val="14"/>
                <w:color w:val="auto"/>
              </w:rPr>
              <w:t>2,500</w:t>
            </w:r>
          </w:p>
        </w:tc>
        <w:tc>
          <w:tcPr>
            <w:tcW w:w="100" w:type="dxa"/>
            <w:vAlign w:val="bottom"/>
            <w:shd w:val="clear" w:color="auto" w:fill="CCEEFF"/>
          </w:tcPr>
          <w:p>
            <w:pPr>
              <w:spacing w:after="0"/>
              <w:rPr>
                <w:sz w:val="10"/>
                <w:szCs w:val="10"/>
                <w:color w:val="auto"/>
              </w:rPr>
            </w:pPr>
          </w:p>
        </w:tc>
        <w:tc>
          <w:tcPr>
            <w:tcW w:w="114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2,449</w:t>
            </w: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2,449</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2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9.63%), 4.00% ETP, Due 7/1/22)</w:t>
            </w:r>
          </w:p>
        </w:tc>
        <w:tc>
          <w:tcPr>
            <w:tcW w:w="3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0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color w:val="auto"/>
              </w:rPr>
              <w:t>Total Debt Investments — Life science</w:t>
            </w:r>
          </w:p>
        </w:tc>
        <w:tc>
          <w:tcPr>
            <w:tcW w:w="1340" w:type="dxa"/>
            <w:vAlign w:val="bottom"/>
            <w:tcBorders>
              <w:bottom w:val="single" w:sz="8" w:color="CCEEFF"/>
            </w:tcBorders>
          </w:tcPr>
          <w:p>
            <w:pPr>
              <w:spacing w:after="0"/>
              <w:rPr>
                <w:sz w:val="12"/>
                <w:szCs w:val="12"/>
                <w:color w:val="auto"/>
              </w:rPr>
            </w:pPr>
          </w:p>
        </w:tc>
        <w:tc>
          <w:tcPr>
            <w:tcW w:w="298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1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4,898</w:t>
            </w: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4,898</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Debt Investments — Technology</w:t>
            </w:r>
          </w:p>
        </w:tc>
        <w:tc>
          <w:tcPr>
            <w:tcW w:w="1340" w:type="dxa"/>
            <w:vAlign w:val="bottom"/>
            <w:shd w:val="clear" w:color="auto" w:fill="CCEEFF"/>
          </w:tcPr>
          <w:p>
            <w:pPr>
              <w:spacing w:after="0"/>
              <w:rPr>
                <w:sz w:val="12"/>
                <w:szCs w:val="12"/>
                <w:color w:val="auto"/>
              </w:rPr>
            </w:pPr>
          </w:p>
        </w:tc>
        <w:tc>
          <w:tcPr>
            <w:tcW w:w="29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0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Intelepeer Holdings, Inc. (6)(7)</w:t>
            </w:r>
          </w:p>
        </w:tc>
        <w:tc>
          <w:tcPr>
            <w:tcW w:w="1340" w:type="dxa"/>
            <w:vAlign w:val="bottom"/>
          </w:tcPr>
          <w:p>
            <w:pPr>
              <w:ind w:left="200"/>
              <w:spacing w:after="0" w:line="126" w:lineRule="exact"/>
              <w:rPr>
                <w:sz w:val="20"/>
                <w:szCs w:val="20"/>
                <w:color w:val="auto"/>
              </w:rPr>
            </w:pPr>
            <w:r>
              <w:rPr>
                <w:rFonts w:ascii="Times New Roman" w:cs="Times New Roman" w:eastAsia="Times New Roman" w:hAnsi="Times New Roman"/>
                <w:sz w:val="14"/>
                <w:szCs w:val="14"/>
                <w:color w:val="auto"/>
              </w:rPr>
              <w:t>Communications</w:t>
            </w:r>
          </w:p>
        </w:tc>
        <w:tc>
          <w:tcPr>
            <w:tcW w:w="2980" w:type="dxa"/>
            <w:vAlign w:val="bottom"/>
          </w:tcPr>
          <w:p>
            <w:pPr>
              <w:ind w:left="140"/>
              <w:spacing w:after="0" w:line="126" w:lineRule="exact"/>
              <w:rPr>
                <w:sz w:val="20"/>
                <w:szCs w:val="20"/>
                <w:color w:val="auto"/>
              </w:rPr>
            </w:pPr>
            <w:r>
              <w:rPr>
                <w:rFonts w:ascii="Times New Roman" w:cs="Times New Roman" w:eastAsia="Times New Roman" w:hAnsi="Times New Roman"/>
                <w:sz w:val="14"/>
                <w:szCs w:val="14"/>
                <w:color w:val="auto"/>
              </w:rPr>
              <w:t>Term Loan (12.30% cash (Libor + 9.95%;</w:t>
            </w:r>
          </w:p>
        </w:tc>
        <w:tc>
          <w:tcPr>
            <w:tcW w:w="320" w:type="dxa"/>
            <w:vAlign w:val="bottom"/>
          </w:tcPr>
          <w:p>
            <w:pPr>
              <w:spacing w:after="0"/>
              <w:rPr>
                <w:sz w:val="10"/>
                <w:szCs w:val="10"/>
                <w:color w:val="auto"/>
              </w:rPr>
            </w:pPr>
          </w:p>
        </w:tc>
        <w:tc>
          <w:tcPr>
            <w:tcW w:w="1160" w:type="dxa"/>
            <w:vAlign w:val="bottom"/>
          </w:tcPr>
          <w:p>
            <w:pPr>
              <w:jc w:val="right"/>
              <w:ind w:right="128"/>
              <w:spacing w:after="0" w:line="126" w:lineRule="exact"/>
              <w:rPr>
                <w:sz w:val="20"/>
                <w:szCs w:val="20"/>
                <w:color w:val="auto"/>
              </w:rPr>
            </w:pPr>
            <w:r>
              <w:rPr>
                <w:rFonts w:ascii="Times New Roman" w:cs="Times New Roman" w:eastAsia="Times New Roman" w:hAnsi="Times New Roman"/>
                <w:sz w:val="14"/>
                <w:szCs w:val="14"/>
                <w:color w:val="auto"/>
              </w:rPr>
              <w:t>4,000</w:t>
            </w:r>
          </w:p>
        </w:tc>
        <w:tc>
          <w:tcPr>
            <w:tcW w:w="100" w:type="dxa"/>
            <w:vAlign w:val="bottom"/>
          </w:tcPr>
          <w:p>
            <w:pPr>
              <w:spacing w:after="0"/>
              <w:rPr>
                <w:sz w:val="10"/>
                <w:szCs w:val="10"/>
                <w:color w:val="auto"/>
              </w:rPr>
            </w:pPr>
          </w:p>
        </w:tc>
        <w:tc>
          <w:tcPr>
            <w:tcW w:w="114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3,948</w:t>
            </w: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3,948</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9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Floor 11.25%), 2.50% ETP, Due 7/1/21)</w:t>
            </w: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00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2980" w:type="dxa"/>
            <w:vAlign w:val="bottom"/>
            <w:shd w:val="clear" w:color="auto" w:fill="CCEEFF"/>
          </w:tcPr>
          <w:p>
            <w:pPr>
              <w:ind w:left="140"/>
              <w:spacing w:after="0" w:line="126" w:lineRule="exact"/>
              <w:rPr>
                <w:sz w:val="20"/>
                <w:szCs w:val="20"/>
                <w:color w:val="auto"/>
              </w:rPr>
            </w:pPr>
            <w:r>
              <w:rPr>
                <w:rFonts w:ascii="Times New Roman" w:cs="Times New Roman" w:eastAsia="Times New Roman" w:hAnsi="Times New Roman"/>
                <w:sz w:val="14"/>
                <w:szCs w:val="14"/>
                <w:color w:val="auto"/>
              </w:rPr>
              <w:t>Term Loan (12.30% cash (Libor + 9.95%;</w:t>
            </w:r>
          </w:p>
        </w:tc>
        <w:tc>
          <w:tcPr>
            <w:tcW w:w="320" w:type="dxa"/>
            <w:vAlign w:val="bottom"/>
            <w:shd w:val="clear" w:color="auto" w:fill="CCEEFF"/>
          </w:tcPr>
          <w:p>
            <w:pPr>
              <w:spacing w:after="0"/>
              <w:rPr>
                <w:sz w:val="10"/>
                <w:szCs w:val="10"/>
                <w:color w:val="auto"/>
              </w:rPr>
            </w:pPr>
          </w:p>
        </w:tc>
        <w:tc>
          <w:tcPr>
            <w:tcW w:w="1160" w:type="dxa"/>
            <w:vAlign w:val="bottom"/>
            <w:shd w:val="clear" w:color="auto" w:fill="CCEEFF"/>
          </w:tcPr>
          <w:p>
            <w:pPr>
              <w:jc w:val="right"/>
              <w:ind w:right="128"/>
              <w:spacing w:after="0" w:line="126" w:lineRule="exact"/>
              <w:rPr>
                <w:sz w:val="20"/>
                <w:szCs w:val="20"/>
                <w:color w:val="auto"/>
              </w:rPr>
            </w:pPr>
            <w:r>
              <w:rPr>
                <w:rFonts w:ascii="Times New Roman" w:cs="Times New Roman" w:eastAsia="Times New Roman" w:hAnsi="Times New Roman"/>
                <w:sz w:val="14"/>
                <w:szCs w:val="14"/>
                <w:color w:val="auto"/>
              </w:rPr>
              <w:t>4,000</w:t>
            </w:r>
          </w:p>
        </w:tc>
        <w:tc>
          <w:tcPr>
            <w:tcW w:w="100" w:type="dxa"/>
            <w:vAlign w:val="bottom"/>
            <w:shd w:val="clear" w:color="auto" w:fill="CCEEFF"/>
          </w:tcPr>
          <w:p>
            <w:pPr>
              <w:spacing w:after="0"/>
              <w:rPr>
                <w:sz w:val="10"/>
                <w:szCs w:val="10"/>
                <w:color w:val="auto"/>
              </w:rPr>
            </w:pPr>
          </w:p>
        </w:tc>
        <w:tc>
          <w:tcPr>
            <w:tcW w:w="114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3,948</w:t>
            </w: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3,948</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2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Floor 11.25%), 2.50% ETP, Due 7/1/21)</w:t>
            </w:r>
          </w:p>
        </w:tc>
        <w:tc>
          <w:tcPr>
            <w:tcW w:w="3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0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New Signature US, Inc. (6)(7)(9)</w:t>
            </w:r>
          </w:p>
        </w:tc>
        <w:tc>
          <w:tcPr>
            <w:tcW w:w="1340" w:type="dxa"/>
            <w:vAlign w:val="bottom"/>
          </w:tcPr>
          <w:p>
            <w:pPr>
              <w:ind w:left="200"/>
              <w:spacing w:after="0" w:line="126" w:lineRule="exact"/>
              <w:rPr>
                <w:sz w:val="20"/>
                <w:szCs w:val="20"/>
                <w:color w:val="auto"/>
              </w:rPr>
            </w:pPr>
            <w:r>
              <w:rPr>
                <w:rFonts w:ascii="Times New Roman" w:cs="Times New Roman" w:eastAsia="Times New Roman" w:hAnsi="Times New Roman"/>
                <w:sz w:val="14"/>
                <w:szCs w:val="14"/>
                <w:color w:val="auto"/>
              </w:rPr>
              <w:t>Software</w:t>
            </w:r>
          </w:p>
        </w:tc>
        <w:tc>
          <w:tcPr>
            <w:tcW w:w="2980" w:type="dxa"/>
            <w:vAlign w:val="bottom"/>
          </w:tcPr>
          <w:p>
            <w:pPr>
              <w:ind w:left="140"/>
              <w:spacing w:after="0" w:line="126" w:lineRule="exact"/>
              <w:rPr>
                <w:sz w:val="20"/>
                <w:szCs w:val="20"/>
                <w:color w:val="auto"/>
              </w:rPr>
            </w:pPr>
            <w:r>
              <w:rPr>
                <w:rFonts w:ascii="Times New Roman" w:cs="Times New Roman" w:eastAsia="Times New Roman" w:hAnsi="Times New Roman"/>
                <w:sz w:val="14"/>
                <w:szCs w:val="14"/>
                <w:color w:val="auto"/>
              </w:rPr>
              <w:t>Term Loan (10.85% cash (Libor + 8.50%;</w:t>
            </w:r>
          </w:p>
        </w:tc>
        <w:tc>
          <w:tcPr>
            <w:tcW w:w="320" w:type="dxa"/>
            <w:vAlign w:val="bottom"/>
          </w:tcPr>
          <w:p>
            <w:pPr>
              <w:spacing w:after="0"/>
              <w:rPr>
                <w:sz w:val="10"/>
                <w:szCs w:val="10"/>
                <w:color w:val="auto"/>
              </w:rPr>
            </w:pPr>
          </w:p>
        </w:tc>
        <w:tc>
          <w:tcPr>
            <w:tcW w:w="1160" w:type="dxa"/>
            <w:vAlign w:val="bottom"/>
          </w:tcPr>
          <w:p>
            <w:pPr>
              <w:jc w:val="right"/>
              <w:ind w:right="128"/>
              <w:spacing w:after="0" w:line="126" w:lineRule="exact"/>
              <w:rPr>
                <w:sz w:val="20"/>
                <w:szCs w:val="20"/>
                <w:color w:val="auto"/>
              </w:rPr>
            </w:pPr>
            <w:r>
              <w:rPr>
                <w:rFonts w:ascii="Times New Roman" w:cs="Times New Roman" w:eastAsia="Times New Roman" w:hAnsi="Times New Roman"/>
                <w:sz w:val="14"/>
                <w:szCs w:val="14"/>
                <w:color w:val="auto"/>
              </w:rPr>
              <w:t>8,250</w:t>
            </w:r>
          </w:p>
        </w:tc>
        <w:tc>
          <w:tcPr>
            <w:tcW w:w="100" w:type="dxa"/>
            <w:vAlign w:val="bottom"/>
          </w:tcPr>
          <w:p>
            <w:pPr>
              <w:spacing w:after="0"/>
              <w:rPr>
                <w:sz w:val="10"/>
                <w:szCs w:val="10"/>
                <w:color w:val="auto"/>
              </w:rPr>
            </w:pPr>
          </w:p>
        </w:tc>
        <w:tc>
          <w:tcPr>
            <w:tcW w:w="114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8,098</w:t>
            </w: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8,098</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00" w:type="dxa"/>
            <w:vAlign w:val="bottom"/>
            <w:tcBorders>
              <w:bottom w:val="single" w:sz="8" w:color="CCEEFF"/>
            </w:tcBorders>
          </w:tcPr>
          <w:p>
            <w:pPr>
              <w:spacing w:after="0"/>
              <w:rPr>
                <w:sz w:val="14"/>
                <w:szCs w:val="14"/>
                <w:color w:val="auto"/>
              </w:rPr>
            </w:pPr>
          </w:p>
        </w:tc>
        <w:tc>
          <w:tcPr>
            <w:tcW w:w="1340" w:type="dxa"/>
            <w:vAlign w:val="bottom"/>
            <w:tcBorders>
              <w:bottom w:val="single" w:sz="8" w:color="CCEEFF"/>
            </w:tcBorders>
          </w:tcPr>
          <w:p>
            <w:pPr>
              <w:spacing w:after="0"/>
              <w:rPr>
                <w:sz w:val="14"/>
                <w:szCs w:val="14"/>
                <w:color w:val="auto"/>
              </w:rPr>
            </w:pPr>
          </w:p>
        </w:tc>
        <w:tc>
          <w:tcPr>
            <w:tcW w:w="29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Floor 10.50%), 3.50% ETP, Due 7/1/22)</w:t>
            </w:r>
          </w:p>
        </w:tc>
        <w:tc>
          <w:tcPr>
            <w:tcW w:w="320" w:type="dxa"/>
            <w:vAlign w:val="bottom"/>
            <w:tcBorders>
              <w:bottom w:val="single" w:sz="8" w:color="CCEEFF"/>
            </w:tcBorders>
          </w:tcPr>
          <w:p>
            <w:pPr>
              <w:spacing w:after="0"/>
              <w:rPr>
                <w:sz w:val="14"/>
                <w:szCs w:val="14"/>
                <w:color w:val="auto"/>
              </w:rPr>
            </w:pPr>
          </w:p>
        </w:tc>
        <w:tc>
          <w:tcPr>
            <w:tcW w:w="1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 Debt Investments — Technology</w:t>
            </w:r>
          </w:p>
        </w:tc>
        <w:tc>
          <w:tcPr>
            <w:tcW w:w="1340" w:type="dxa"/>
            <w:vAlign w:val="bottom"/>
            <w:shd w:val="clear" w:color="auto" w:fill="CCEEFF"/>
          </w:tcPr>
          <w:p>
            <w:pPr>
              <w:spacing w:after="0"/>
              <w:rPr>
                <w:sz w:val="12"/>
                <w:szCs w:val="12"/>
                <w:color w:val="auto"/>
              </w:rPr>
            </w:pPr>
          </w:p>
        </w:tc>
        <w:tc>
          <w:tcPr>
            <w:tcW w:w="29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15,994</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15,994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3000" w:type="dxa"/>
            <w:vAlign w:val="bottom"/>
          </w:tcPr>
          <w:p>
            <w:pPr>
              <w:spacing w:after="0" w:line="104" w:lineRule="exact"/>
              <w:rPr>
                <w:sz w:val="20"/>
                <w:szCs w:val="20"/>
                <w:color w:val="auto"/>
              </w:rPr>
            </w:pPr>
            <w:r>
              <w:rPr>
                <w:rFonts w:ascii="Times New Roman" w:cs="Times New Roman" w:eastAsia="Times New Roman" w:hAnsi="Times New Roman"/>
                <w:sz w:val="12"/>
                <w:szCs w:val="12"/>
                <w:b w:val="1"/>
                <w:bCs w:val="1"/>
                <w:color w:val="auto"/>
              </w:rPr>
              <w:t>Debt Investments — Healthcare information</w:t>
            </w:r>
          </w:p>
        </w:tc>
        <w:tc>
          <w:tcPr>
            <w:tcW w:w="1340" w:type="dxa"/>
            <w:vAlign w:val="bottom"/>
          </w:tcPr>
          <w:p>
            <w:pPr>
              <w:spacing w:after="0"/>
              <w:rPr>
                <w:sz w:val="9"/>
                <w:szCs w:val="9"/>
                <w:color w:val="auto"/>
              </w:rPr>
            </w:pPr>
          </w:p>
        </w:tc>
        <w:tc>
          <w:tcPr>
            <w:tcW w:w="29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00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and services</w:t>
            </w:r>
          </w:p>
        </w:tc>
        <w:tc>
          <w:tcPr>
            <w:tcW w:w="134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0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HealthEdge Software, Inc. (6)(7)</w:t>
            </w:r>
          </w:p>
        </w:tc>
        <w:tc>
          <w:tcPr>
            <w:tcW w:w="1340" w:type="dxa"/>
            <w:vAlign w:val="bottom"/>
            <w:shd w:val="clear" w:color="auto" w:fill="CCEEFF"/>
          </w:tcPr>
          <w:p>
            <w:pPr>
              <w:ind w:left="200"/>
              <w:spacing w:after="0" w:line="126" w:lineRule="exact"/>
              <w:rPr>
                <w:sz w:val="20"/>
                <w:szCs w:val="20"/>
                <w:color w:val="auto"/>
              </w:rPr>
            </w:pPr>
            <w:r>
              <w:rPr>
                <w:rFonts w:ascii="Times New Roman" w:cs="Times New Roman" w:eastAsia="Times New Roman" w:hAnsi="Times New Roman"/>
                <w:sz w:val="14"/>
                <w:szCs w:val="14"/>
                <w:color w:val="auto"/>
              </w:rPr>
              <w:t>Software</w:t>
            </w:r>
          </w:p>
        </w:tc>
        <w:tc>
          <w:tcPr>
            <w:tcW w:w="2980" w:type="dxa"/>
            <w:vAlign w:val="bottom"/>
            <w:shd w:val="clear" w:color="auto" w:fill="CCEEFF"/>
          </w:tcPr>
          <w:p>
            <w:pPr>
              <w:ind w:left="140"/>
              <w:spacing w:after="0" w:line="126" w:lineRule="exact"/>
              <w:rPr>
                <w:sz w:val="20"/>
                <w:szCs w:val="20"/>
                <w:color w:val="auto"/>
              </w:rPr>
            </w:pPr>
            <w:r>
              <w:rPr>
                <w:rFonts w:ascii="Times New Roman" w:cs="Times New Roman" w:eastAsia="Times New Roman" w:hAnsi="Times New Roman"/>
                <w:sz w:val="14"/>
                <w:szCs w:val="14"/>
                <w:color w:val="auto"/>
              </w:rPr>
              <w:t>Term Loan (10.60% cash (Libor + 8.25%;</w:t>
            </w:r>
          </w:p>
        </w:tc>
        <w:tc>
          <w:tcPr>
            <w:tcW w:w="320" w:type="dxa"/>
            <w:vAlign w:val="bottom"/>
            <w:shd w:val="clear" w:color="auto" w:fill="CCEEFF"/>
          </w:tcPr>
          <w:p>
            <w:pPr>
              <w:spacing w:after="0"/>
              <w:rPr>
                <w:sz w:val="10"/>
                <w:szCs w:val="10"/>
                <w:color w:val="auto"/>
              </w:rPr>
            </w:pPr>
          </w:p>
        </w:tc>
        <w:tc>
          <w:tcPr>
            <w:tcW w:w="1160" w:type="dxa"/>
            <w:vAlign w:val="bottom"/>
            <w:shd w:val="clear" w:color="auto" w:fill="CCEEFF"/>
          </w:tcPr>
          <w:p>
            <w:pPr>
              <w:jc w:val="right"/>
              <w:ind w:right="128"/>
              <w:spacing w:after="0" w:line="126" w:lineRule="exact"/>
              <w:rPr>
                <w:sz w:val="20"/>
                <w:szCs w:val="20"/>
                <w:color w:val="auto"/>
              </w:rPr>
            </w:pPr>
            <w:r>
              <w:rPr>
                <w:rFonts w:ascii="Times New Roman" w:cs="Times New Roman" w:eastAsia="Times New Roman" w:hAnsi="Times New Roman"/>
                <w:sz w:val="14"/>
                <w:szCs w:val="14"/>
                <w:color w:val="auto"/>
              </w:rPr>
              <w:t>3,750</w:t>
            </w:r>
          </w:p>
        </w:tc>
        <w:tc>
          <w:tcPr>
            <w:tcW w:w="100" w:type="dxa"/>
            <w:vAlign w:val="bottom"/>
            <w:shd w:val="clear" w:color="auto" w:fill="CCEEFF"/>
          </w:tcPr>
          <w:p>
            <w:pPr>
              <w:spacing w:after="0"/>
              <w:rPr>
                <w:sz w:val="10"/>
                <w:szCs w:val="10"/>
                <w:color w:val="auto"/>
              </w:rPr>
            </w:pPr>
          </w:p>
        </w:tc>
        <w:tc>
          <w:tcPr>
            <w:tcW w:w="114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3,699</w:t>
            </w: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3,699</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2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Floor 9.25%), 3.00% ETP, Due 10/1/23)</w:t>
            </w:r>
          </w:p>
        </w:tc>
        <w:tc>
          <w:tcPr>
            <w:tcW w:w="3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000" w:type="dxa"/>
            <w:vAlign w:val="bottom"/>
          </w:tcPr>
          <w:p>
            <w:pPr>
              <w:spacing w:after="0" w:line="115" w:lineRule="exact"/>
              <w:rPr>
                <w:sz w:val="20"/>
                <w:szCs w:val="20"/>
                <w:color w:val="auto"/>
              </w:rPr>
            </w:pPr>
            <w:r>
              <w:rPr>
                <w:rFonts w:ascii="Times New Roman" w:cs="Times New Roman" w:eastAsia="Times New Roman" w:hAnsi="Times New Roman"/>
                <w:sz w:val="13"/>
                <w:szCs w:val="13"/>
                <w:color w:val="auto"/>
              </w:rPr>
              <w:t>Total Debt Investments — Healthcare</w:t>
            </w:r>
          </w:p>
        </w:tc>
        <w:tc>
          <w:tcPr>
            <w:tcW w:w="1340" w:type="dxa"/>
            <w:vAlign w:val="bottom"/>
          </w:tcPr>
          <w:p>
            <w:pPr>
              <w:spacing w:after="0"/>
              <w:rPr>
                <w:sz w:val="10"/>
                <w:szCs w:val="10"/>
                <w:color w:val="auto"/>
              </w:rPr>
            </w:pPr>
          </w:p>
        </w:tc>
        <w:tc>
          <w:tcPr>
            <w:tcW w:w="29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jc w:val="right"/>
              <w:spacing w:after="0" w:line="115" w:lineRule="exact"/>
              <w:rPr>
                <w:sz w:val="20"/>
                <w:szCs w:val="20"/>
                <w:color w:val="auto"/>
              </w:rPr>
            </w:pPr>
            <w:r>
              <w:rPr>
                <w:rFonts w:ascii="Times New Roman" w:cs="Times New Roman" w:eastAsia="Times New Roman" w:hAnsi="Times New Roman"/>
                <w:sz w:val="13"/>
                <w:szCs w:val="13"/>
                <w:color w:val="auto"/>
              </w:rPr>
              <w:t>3,699</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jc w:val="right"/>
              <w:spacing w:after="0" w:line="115" w:lineRule="exact"/>
              <w:rPr>
                <w:sz w:val="20"/>
                <w:szCs w:val="20"/>
                <w:color w:val="auto"/>
              </w:rPr>
            </w:pPr>
            <w:r>
              <w:rPr>
                <w:rFonts w:ascii="Times New Roman" w:cs="Times New Roman" w:eastAsia="Times New Roman" w:hAnsi="Times New Roman"/>
                <w:sz w:val="13"/>
                <w:szCs w:val="13"/>
                <w:color w:val="auto"/>
              </w:rPr>
              <w:t>3,699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00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4"/>
                <w:szCs w:val="14"/>
                <w:color w:val="auto"/>
              </w:rPr>
              <w:t>information and services</w:t>
            </w:r>
          </w:p>
        </w:tc>
        <w:tc>
          <w:tcPr>
            <w:tcW w:w="1340" w:type="dxa"/>
            <w:vAlign w:val="bottom"/>
            <w:tcBorders>
              <w:bottom w:val="single" w:sz="8" w:color="CCEEFF"/>
            </w:tcBorders>
          </w:tcPr>
          <w:p>
            <w:pPr>
              <w:spacing w:after="0"/>
              <w:rPr>
                <w:sz w:val="15"/>
                <w:szCs w:val="15"/>
                <w:color w:val="auto"/>
              </w:rPr>
            </w:pPr>
          </w:p>
        </w:tc>
        <w:tc>
          <w:tcPr>
            <w:tcW w:w="298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11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Debt Investments</w:t>
            </w:r>
          </w:p>
        </w:tc>
        <w:tc>
          <w:tcPr>
            <w:tcW w:w="1340" w:type="dxa"/>
            <w:vAlign w:val="bottom"/>
            <w:shd w:val="clear" w:color="auto" w:fill="CCEEFF"/>
          </w:tcPr>
          <w:p>
            <w:pPr>
              <w:spacing w:after="0"/>
              <w:rPr>
                <w:sz w:val="12"/>
                <w:szCs w:val="12"/>
                <w:color w:val="auto"/>
              </w:rPr>
            </w:pPr>
          </w:p>
        </w:tc>
        <w:tc>
          <w:tcPr>
            <w:tcW w:w="29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24,591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24,591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0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Warrant Investments — Life science</w:t>
            </w:r>
          </w:p>
        </w:tc>
        <w:tc>
          <w:tcPr>
            <w:tcW w:w="1340" w:type="dxa"/>
            <w:vAlign w:val="bottom"/>
            <w:shd w:val="clear" w:color="auto" w:fill="CCEEFF"/>
          </w:tcPr>
          <w:p>
            <w:pPr>
              <w:spacing w:after="0"/>
              <w:rPr>
                <w:sz w:val="12"/>
                <w:szCs w:val="12"/>
                <w:color w:val="auto"/>
              </w:rPr>
            </w:pPr>
          </w:p>
        </w:tc>
        <w:tc>
          <w:tcPr>
            <w:tcW w:w="29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000" w:type="dxa"/>
            <w:vAlign w:val="bottom"/>
          </w:tcPr>
          <w:p>
            <w:pPr>
              <w:spacing w:after="0"/>
              <w:rPr>
                <w:sz w:val="20"/>
                <w:szCs w:val="20"/>
                <w:color w:val="auto"/>
              </w:rPr>
            </w:pPr>
            <w:r>
              <w:rPr>
                <w:rFonts w:ascii="Times New Roman" w:cs="Times New Roman" w:eastAsia="Times New Roman" w:hAnsi="Times New Roman"/>
                <w:sz w:val="14"/>
                <w:szCs w:val="14"/>
                <w:color w:val="auto"/>
              </w:rPr>
              <w:t>Celsion Corporation (6)(7)(8)</w:t>
            </w:r>
          </w:p>
        </w:tc>
        <w:tc>
          <w:tcPr>
            <w:tcW w:w="13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Biotechnology</w:t>
            </w:r>
          </w:p>
        </w:tc>
        <w:tc>
          <w:tcPr>
            <w:tcW w:w="29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95,057 Common Stock Warrants</w:t>
            </w: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58</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0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 Warrant Investments — Life science</w:t>
            </w:r>
          </w:p>
        </w:tc>
        <w:tc>
          <w:tcPr>
            <w:tcW w:w="1340" w:type="dxa"/>
            <w:vAlign w:val="bottom"/>
            <w:tcBorders>
              <w:top w:val="single" w:sz="8" w:color="CCEEFF"/>
            </w:tcBorders>
            <w:shd w:val="clear" w:color="auto" w:fill="CCEEFF"/>
          </w:tcPr>
          <w:p>
            <w:pPr>
              <w:spacing w:after="0"/>
              <w:rPr>
                <w:sz w:val="12"/>
                <w:szCs w:val="12"/>
                <w:color w:val="auto"/>
              </w:rPr>
            </w:pPr>
          </w:p>
        </w:tc>
        <w:tc>
          <w:tcPr>
            <w:tcW w:w="298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1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10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58</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bottom w:val="single" w:sz="8" w:color="auto"/>
            </w:tcBorders>
            <w:shd w:val="clear" w:color="auto" w:fill="CCEEFF"/>
          </w:tcPr>
          <w:p>
            <w:pPr>
              <w:spacing w:after="0"/>
              <w:rPr>
                <w:sz w:val="12"/>
                <w:szCs w:val="12"/>
                <w:color w:val="auto"/>
              </w:rPr>
            </w:pP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0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Warrant Investments — Technology</w:t>
            </w:r>
          </w:p>
        </w:tc>
        <w:tc>
          <w:tcPr>
            <w:tcW w:w="134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Intelepeer Holdings, Inc. (6)(7)</w:t>
            </w:r>
          </w:p>
        </w:tc>
        <w:tc>
          <w:tcPr>
            <w:tcW w:w="134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Communications</w:t>
            </w:r>
          </w:p>
        </w:tc>
        <w:tc>
          <w:tcPr>
            <w:tcW w:w="298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1,280,000 Preferred Stock Warrants</w:t>
            </w:r>
          </w:p>
        </w:tc>
        <w:tc>
          <w:tcPr>
            <w:tcW w:w="3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49</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000" w:type="dxa"/>
            <w:vAlign w:val="bottom"/>
          </w:tcPr>
          <w:p>
            <w:pPr>
              <w:spacing w:after="0"/>
              <w:rPr>
                <w:sz w:val="20"/>
                <w:szCs w:val="20"/>
                <w:color w:val="auto"/>
              </w:rPr>
            </w:pPr>
            <w:r>
              <w:rPr>
                <w:rFonts w:ascii="Times New Roman" w:cs="Times New Roman" w:eastAsia="Times New Roman" w:hAnsi="Times New Roman"/>
                <w:sz w:val="14"/>
                <w:szCs w:val="14"/>
                <w:color w:val="auto"/>
              </w:rPr>
              <w:t>BSI Platform Holdings, LLC (6)(7)(9)</w:t>
            </w:r>
          </w:p>
        </w:tc>
        <w:tc>
          <w:tcPr>
            <w:tcW w:w="13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Software</w:t>
            </w:r>
          </w:p>
        </w:tc>
        <w:tc>
          <w:tcPr>
            <w:tcW w:w="29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412,500 Preferred Stock Warrants</w:t>
            </w: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57</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0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 Warrant Investments — Technology</w:t>
            </w:r>
          </w:p>
        </w:tc>
        <w:tc>
          <w:tcPr>
            <w:tcW w:w="1340" w:type="dxa"/>
            <w:vAlign w:val="bottom"/>
            <w:tcBorders>
              <w:top w:val="single" w:sz="8" w:color="CCEEFF"/>
            </w:tcBorders>
            <w:shd w:val="clear" w:color="auto" w:fill="CCEEFF"/>
          </w:tcPr>
          <w:p>
            <w:pPr>
              <w:spacing w:after="0"/>
              <w:rPr>
                <w:sz w:val="12"/>
                <w:szCs w:val="12"/>
                <w:color w:val="auto"/>
              </w:rPr>
            </w:pPr>
          </w:p>
        </w:tc>
        <w:tc>
          <w:tcPr>
            <w:tcW w:w="298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1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10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106</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bottom w:val="single" w:sz="8" w:color="auto"/>
            </w:tcBorders>
            <w:shd w:val="clear" w:color="auto" w:fill="CCEEFF"/>
          </w:tcPr>
          <w:p>
            <w:pPr>
              <w:spacing w:after="0"/>
              <w:rPr>
                <w:sz w:val="12"/>
                <w:szCs w:val="12"/>
                <w:color w:val="auto"/>
              </w:rPr>
            </w:pP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126</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3000" w:type="dxa"/>
            <w:vAlign w:val="bottom"/>
          </w:tcPr>
          <w:p>
            <w:pPr>
              <w:spacing w:after="0" w:line="104" w:lineRule="exact"/>
              <w:rPr>
                <w:sz w:val="20"/>
                <w:szCs w:val="20"/>
                <w:color w:val="auto"/>
              </w:rPr>
            </w:pPr>
            <w:r>
              <w:rPr>
                <w:rFonts w:ascii="Times New Roman" w:cs="Times New Roman" w:eastAsia="Times New Roman" w:hAnsi="Times New Roman"/>
                <w:sz w:val="12"/>
                <w:szCs w:val="12"/>
                <w:b w:val="1"/>
                <w:bCs w:val="1"/>
                <w:color w:val="auto"/>
              </w:rPr>
              <w:t>Warrant Investments — Healthcare</w:t>
            </w:r>
          </w:p>
        </w:tc>
        <w:tc>
          <w:tcPr>
            <w:tcW w:w="1340" w:type="dxa"/>
            <w:vAlign w:val="bottom"/>
          </w:tcPr>
          <w:p>
            <w:pPr>
              <w:spacing w:after="0"/>
              <w:rPr>
                <w:sz w:val="9"/>
                <w:szCs w:val="9"/>
                <w:color w:val="auto"/>
              </w:rPr>
            </w:pPr>
          </w:p>
        </w:tc>
        <w:tc>
          <w:tcPr>
            <w:tcW w:w="29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00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information and services</w:t>
            </w:r>
          </w:p>
        </w:tc>
        <w:tc>
          <w:tcPr>
            <w:tcW w:w="134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HealthEdge Software, Inc. (6)(7)</w:t>
            </w:r>
          </w:p>
        </w:tc>
        <w:tc>
          <w:tcPr>
            <w:tcW w:w="13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Software</w:t>
            </w:r>
          </w:p>
        </w:tc>
        <w:tc>
          <w:tcPr>
            <w:tcW w:w="2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47,418 Preferred Stock Warrants</w:t>
            </w:r>
          </w:p>
        </w:tc>
        <w:tc>
          <w:tcPr>
            <w:tcW w:w="3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16</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000" w:type="dxa"/>
            <w:vAlign w:val="bottom"/>
          </w:tcPr>
          <w:p>
            <w:pPr>
              <w:spacing w:after="0" w:line="115" w:lineRule="exact"/>
              <w:rPr>
                <w:sz w:val="20"/>
                <w:szCs w:val="20"/>
                <w:color w:val="auto"/>
              </w:rPr>
            </w:pPr>
            <w:r>
              <w:rPr>
                <w:rFonts w:ascii="Times New Roman" w:cs="Times New Roman" w:eastAsia="Times New Roman" w:hAnsi="Times New Roman"/>
                <w:sz w:val="13"/>
                <w:szCs w:val="13"/>
                <w:color w:val="auto"/>
              </w:rPr>
              <w:t>Total Warrant Investments — Healthcare</w:t>
            </w:r>
          </w:p>
        </w:tc>
        <w:tc>
          <w:tcPr>
            <w:tcW w:w="1340" w:type="dxa"/>
            <w:vAlign w:val="bottom"/>
          </w:tcPr>
          <w:p>
            <w:pPr>
              <w:spacing w:after="0"/>
              <w:rPr>
                <w:sz w:val="10"/>
                <w:szCs w:val="10"/>
                <w:color w:val="auto"/>
              </w:rPr>
            </w:pPr>
          </w:p>
        </w:tc>
        <w:tc>
          <w:tcPr>
            <w:tcW w:w="29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16</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16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00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4"/>
                <w:szCs w:val="14"/>
                <w:color w:val="auto"/>
              </w:rPr>
              <w:t>information and services</w:t>
            </w:r>
          </w:p>
        </w:tc>
        <w:tc>
          <w:tcPr>
            <w:tcW w:w="1340" w:type="dxa"/>
            <w:vAlign w:val="bottom"/>
            <w:tcBorders>
              <w:bottom w:val="single" w:sz="8" w:color="CCEEFF"/>
            </w:tcBorders>
          </w:tcPr>
          <w:p>
            <w:pPr>
              <w:spacing w:after="0"/>
              <w:rPr>
                <w:sz w:val="15"/>
                <w:szCs w:val="15"/>
                <w:color w:val="auto"/>
              </w:rPr>
            </w:pPr>
          </w:p>
        </w:tc>
        <w:tc>
          <w:tcPr>
            <w:tcW w:w="298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11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Warrant Investments</w:t>
            </w:r>
          </w:p>
        </w:tc>
        <w:tc>
          <w:tcPr>
            <w:tcW w:w="1340" w:type="dxa"/>
            <w:vAlign w:val="bottom"/>
            <w:shd w:val="clear" w:color="auto" w:fill="CCEEFF"/>
          </w:tcPr>
          <w:p>
            <w:pPr>
              <w:spacing w:after="0"/>
              <w:rPr>
                <w:sz w:val="12"/>
                <w:szCs w:val="12"/>
                <w:color w:val="auto"/>
              </w:rPr>
            </w:pPr>
          </w:p>
        </w:tc>
        <w:tc>
          <w:tcPr>
            <w:tcW w:w="29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180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00" w:type="dxa"/>
            <w:vAlign w:val="bottom"/>
            <w:tcBorders>
              <w:bottom w:val="single" w:sz="8" w:color="CCEEFF"/>
            </w:tcBorders>
          </w:tcPr>
          <w:p>
            <w:pPr>
              <w:spacing w:after="0"/>
              <w:rPr>
                <w:sz w:val="12"/>
                <w:szCs w:val="12"/>
                <w:color w:val="auto"/>
              </w:rPr>
            </w:pPr>
          </w:p>
        </w:tc>
        <w:tc>
          <w:tcPr>
            <w:tcW w:w="1340" w:type="dxa"/>
            <w:vAlign w:val="bottom"/>
            <w:tcBorders>
              <w:bottom w:val="single" w:sz="8" w:color="CCEEFF"/>
            </w:tcBorders>
          </w:tcPr>
          <w:p>
            <w:pPr>
              <w:spacing w:after="0"/>
              <w:rPr>
                <w:sz w:val="12"/>
                <w:szCs w:val="12"/>
                <w:color w:val="auto"/>
              </w:rPr>
            </w:pPr>
          </w:p>
        </w:tc>
        <w:tc>
          <w:tcPr>
            <w:tcW w:w="298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1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00" w:type="dxa"/>
            <w:vAlign w:val="bottom"/>
            <w:tcBorders>
              <w:bottom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Total Portfolio Investment Assets</w:t>
            </w:r>
          </w:p>
        </w:tc>
        <w:tc>
          <w:tcPr>
            <w:tcW w:w="1340" w:type="dxa"/>
            <w:vAlign w:val="bottom"/>
            <w:tcBorders>
              <w:bottom w:val="single" w:sz="8" w:color="CCEEFF"/>
            </w:tcBorders>
            <w:shd w:val="clear" w:color="auto" w:fill="CCEEFF"/>
          </w:tcPr>
          <w:p>
            <w:pPr>
              <w:spacing w:after="0"/>
              <w:rPr>
                <w:sz w:val="13"/>
                <w:szCs w:val="13"/>
                <w:color w:val="auto"/>
              </w:rPr>
            </w:pPr>
          </w:p>
        </w:tc>
        <w:tc>
          <w:tcPr>
            <w:tcW w:w="298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11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24,771</w:t>
            </w: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24,734</w:t>
            </w:r>
          </w:p>
        </w:tc>
        <w:tc>
          <w:tcPr>
            <w:tcW w:w="10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30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0" w:type="dxa"/>
            <w:vAlign w:val="bottom"/>
            <w:vMerge w:val="continue"/>
          </w:tcPr>
          <w:p>
            <w:pPr>
              <w:spacing w:after="0"/>
              <w:rPr>
                <w:sz w:val="10"/>
                <w:szCs w:val="10"/>
                <w:color w:val="auto"/>
              </w:rPr>
            </w:pPr>
          </w:p>
        </w:tc>
        <w:tc>
          <w:tcPr>
            <w:tcW w:w="300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Short Term Investments — Unrestricted</w:t>
            </w:r>
          </w:p>
        </w:tc>
        <w:tc>
          <w:tcPr>
            <w:tcW w:w="1340" w:type="dxa"/>
            <w:vAlign w:val="bottom"/>
            <w:shd w:val="clear" w:color="auto" w:fill="CCEEFF"/>
          </w:tcPr>
          <w:p>
            <w:pPr>
              <w:spacing w:after="0"/>
              <w:rPr>
                <w:sz w:val="10"/>
                <w:szCs w:val="10"/>
                <w:color w:val="auto"/>
              </w:rPr>
            </w:pPr>
          </w:p>
        </w:tc>
        <w:tc>
          <w:tcPr>
            <w:tcW w:w="29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1340" w:type="dxa"/>
            <w:vAlign w:val="bottom"/>
            <w:shd w:val="clear" w:color="auto" w:fill="CCEEFF"/>
          </w:tcPr>
          <w:p>
            <w:pPr>
              <w:spacing w:after="0"/>
              <w:rPr>
                <w:sz w:val="15"/>
                <w:szCs w:val="15"/>
                <w:color w:val="auto"/>
              </w:rPr>
            </w:pPr>
          </w:p>
        </w:tc>
        <w:tc>
          <w:tcPr>
            <w:tcW w:w="29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000" w:type="dxa"/>
            <w:vAlign w:val="bottom"/>
          </w:tcPr>
          <w:p>
            <w:pPr>
              <w:spacing w:after="0"/>
              <w:rPr>
                <w:sz w:val="20"/>
                <w:szCs w:val="20"/>
                <w:color w:val="auto"/>
              </w:rPr>
            </w:pPr>
            <w:r>
              <w:rPr>
                <w:rFonts w:ascii="Times New Roman" w:cs="Times New Roman" w:eastAsia="Times New Roman" w:hAnsi="Times New Roman"/>
                <w:sz w:val="14"/>
                <w:szCs w:val="14"/>
                <w:color w:val="auto"/>
              </w:rPr>
              <w:t>US Bank Money Market Deposit Account (6)</w:t>
            </w:r>
          </w:p>
        </w:tc>
        <w:tc>
          <w:tcPr>
            <w:tcW w:w="134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74</w:t>
            </w:r>
          </w:p>
        </w:tc>
        <w:tc>
          <w:tcPr>
            <w:tcW w:w="360" w:type="dxa"/>
            <w:vAlign w:val="bottom"/>
            <w:gridSpan w:val="2"/>
          </w:tcPr>
          <w:p>
            <w:pPr>
              <w:jc w:val="right"/>
              <w:ind w:right="123"/>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74</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000" w:type="dxa"/>
            <w:vAlign w:val="bottom"/>
            <w:tcBorders>
              <w:top w:val="single" w:sz="8" w:color="CCEEFF"/>
            </w:tcBorders>
            <w:shd w:val="clear" w:color="auto" w:fill="CCEEFF"/>
          </w:tcPr>
          <w:p>
            <w:pPr>
              <w:spacing w:after="0" w:line="115" w:lineRule="exact"/>
              <w:rPr>
                <w:sz w:val="20"/>
                <w:szCs w:val="20"/>
                <w:color w:val="auto"/>
              </w:rPr>
            </w:pPr>
            <w:r>
              <w:rPr>
                <w:rFonts w:ascii="Times New Roman" w:cs="Times New Roman" w:eastAsia="Times New Roman" w:hAnsi="Times New Roman"/>
                <w:sz w:val="13"/>
                <w:szCs w:val="13"/>
                <w:b w:val="1"/>
                <w:bCs w:val="1"/>
                <w:color w:val="auto"/>
              </w:rPr>
              <w:t>Total Short Term Investments — Unrestricted</w:t>
            </w:r>
          </w:p>
        </w:tc>
        <w:tc>
          <w:tcPr>
            <w:tcW w:w="1340" w:type="dxa"/>
            <w:vAlign w:val="bottom"/>
            <w:tcBorders>
              <w:top w:val="single" w:sz="8" w:color="CCEEFF"/>
            </w:tcBorders>
            <w:shd w:val="clear" w:color="auto" w:fill="CCEEFF"/>
          </w:tcPr>
          <w:p>
            <w:pPr>
              <w:spacing w:after="0"/>
              <w:rPr>
                <w:sz w:val="10"/>
                <w:szCs w:val="10"/>
                <w:color w:val="auto"/>
              </w:rPr>
            </w:pPr>
          </w:p>
        </w:tc>
        <w:tc>
          <w:tcPr>
            <w:tcW w:w="2980" w:type="dxa"/>
            <w:vAlign w:val="bottom"/>
            <w:tcBorders>
              <w:top w:val="single" w:sz="8" w:color="CCEEFF"/>
            </w:tcBorders>
            <w:shd w:val="clear" w:color="auto" w:fill="CCEEFF"/>
          </w:tcPr>
          <w:p>
            <w:pPr>
              <w:spacing w:after="0"/>
              <w:rPr>
                <w:sz w:val="10"/>
                <w:szCs w:val="10"/>
                <w:color w:val="auto"/>
              </w:rPr>
            </w:pPr>
          </w:p>
        </w:tc>
        <w:tc>
          <w:tcPr>
            <w:tcW w:w="320" w:type="dxa"/>
            <w:vAlign w:val="bottom"/>
            <w:tcBorders>
              <w:top w:val="single" w:sz="8" w:color="CCEEFF"/>
            </w:tcBorders>
            <w:shd w:val="clear" w:color="auto" w:fill="CCEEFF"/>
          </w:tcPr>
          <w:p>
            <w:pPr>
              <w:spacing w:after="0"/>
              <w:rPr>
                <w:sz w:val="10"/>
                <w:szCs w:val="10"/>
                <w:color w:val="auto"/>
              </w:rPr>
            </w:pPr>
          </w:p>
        </w:tc>
        <w:tc>
          <w:tcPr>
            <w:tcW w:w="11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3"/>
                <w:szCs w:val="13"/>
                <w:color w:val="auto"/>
              </w:rPr>
              <w:t>74</w:t>
            </w:r>
          </w:p>
        </w:tc>
        <w:tc>
          <w:tcPr>
            <w:tcW w:w="1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jc w:val="right"/>
              <w:ind w:right="123"/>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3"/>
                <w:szCs w:val="13"/>
                <w:color w:val="auto"/>
              </w:rPr>
              <w:t>74</w:t>
            </w:r>
          </w:p>
        </w:tc>
        <w:tc>
          <w:tcPr>
            <w:tcW w:w="10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1340" w:type="dxa"/>
            <w:vAlign w:val="bottom"/>
            <w:tcBorders>
              <w:bottom w:val="single" w:sz="8" w:color="CCEEFF"/>
            </w:tcBorders>
            <w:shd w:val="clear" w:color="auto" w:fill="CCEEFF"/>
          </w:tcPr>
          <w:p>
            <w:pPr>
              <w:spacing w:after="0"/>
              <w:rPr>
                <w:sz w:val="16"/>
                <w:szCs w:val="16"/>
                <w:color w:val="auto"/>
              </w:rPr>
            </w:pPr>
          </w:p>
        </w:tc>
        <w:tc>
          <w:tcPr>
            <w:tcW w:w="29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ind w:left="340" w:hanging="332"/>
        <w:spacing w:after="0"/>
        <w:tabs>
          <w:tab w:leader="none" w:pos="3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investments of HSLFI are in entities which are organized under the laws of the United States and have a principal place of business in the United States.</w:t>
      </w:r>
    </w:p>
    <w:p>
      <w:pPr>
        <w:spacing w:after="0" w:line="3" w:lineRule="exact"/>
        <w:rPr>
          <w:rFonts w:ascii="Times New Roman" w:cs="Times New Roman" w:eastAsia="Times New Roman" w:hAnsi="Times New Roman"/>
          <w:sz w:val="14"/>
          <w:szCs w:val="14"/>
          <w:color w:val="auto"/>
        </w:rPr>
      </w:pPr>
    </w:p>
    <w:p>
      <w:pPr>
        <w:jc w:val="both"/>
        <w:ind w:left="340" w:hanging="332"/>
        <w:spacing w:after="0" w:line="221" w:lineRule="auto"/>
        <w:tabs>
          <w:tab w:leader="none" w:pos="3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interest is payable in cash due monthly in arrears, unless otherwise indicated, and applies only to HSLFI’s debt investments. Interest rate is the annual interest rate on the debt investment and does not include ETPs and any additional fees related to the investments, such as deferred interest, commitment fees or prepayment fees. Debt investments are at variable rates for the term of the debt investment, unless otherwise indicated. All debt investments based on LIBOR are based on one-month LIBOR. For each debt investment, the current interest rate in effect as of December 31, 2018 is provided.</w:t>
      </w:r>
    </w:p>
    <w:p>
      <w:pPr>
        <w:spacing w:after="0" w:line="1" w:lineRule="exact"/>
        <w:rPr>
          <w:rFonts w:ascii="Times New Roman" w:cs="Times New Roman" w:eastAsia="Times New Roman" w:hAnsi="Times New Roman"/>
          <w:sz w:val="14"/>
          <w:szCs w:val="14"/>
          <w:color w:val="auto"/>
        </w:rPr>
      </w:pPr>
    </w:p>
    <w:p>
      <w:pPr>
        <w:jc w:val="both"/>
        <w:ind w:left="340" w:hanging="332"/>
        <w:spacing w:after="0"/>
        <w:tabs>
          <w:tab w:leader="none" w:pos="3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ETPs are contractual fixed-interest payments due in cash at the maturity date of the applicable debt investment, including upon any prepayment, and are a fixed percentage of the original principal balance of the debt investments unless otherwise noted. Interest will accrue during the life of the debt investment on each ETP and will be recognized as non-cash income until it is actually paid.</w:t>
      </w:r>
    </w:p>
    <w:p>
      <w:pPr>
        <w:spacing w:after="0" w:line="123" w:lineRule="exact"/>
        <w:rPr>
          <w:rFonts w:ascii="Times New Roman" w:cs="Times New Roman" w:eastAsia="Times New Roman" w:hAnsi="Times New Roman"/>
          <w:sz w:val="14"/>
          <w:szCs w:val="14"/>
          <w:color w:val="auto"/>
        </w:rPr>
      </w:pPr>
    </w:p>
    <w:p>
      <w:pPr>
        <w:ind w:left="340" w:hanging="332"/>
        <w:spacing w:after="0" w:line="221" w:lineRule="auto"/>
        <w:tabs>
          <w:tab w:leader="none" w:pos="3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Warrants are non-income producing.</w:t>
      </w:r>
    </w:p>
    <w:p>
      <w:pPr>
        <w:ind w:left="340" w:hanging="332"/>
        <w:spacing w:after="0" w:line="221" w:lineRule="auto"/>
        <w:tabs>
          <w:tab w:leader="none" w:pos="3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debt investments, represents principal balance less unearned income.</w:t>
      </w:r>
    </w:p>
    <w:p>
      <w:pPr>
        <w:ind w:left="340" w:hanging="332"/>
        <w:spacing w:after="0" w:line="221" w:lineRule="auto"/>
        <w:tabs>
          <w:tab w:leader="none" w:pos="3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Has been pledged as collateral under the NYL Facility.</w:t>
      </w:r>
    </w:p>
    <w:p>
      <w:pPr>
        <w:ind w:left="340" w:hanging="332"/>
        <w:spacing w:after="0" w:line="221" w:lineRule="auto"/>
        <w:tabs>
          <w:tab w:leader="none" w:pos="3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fair value of the investment was valued using significant unobservable inputs.</w:t>
      </w:r>
    </w:p>
    <w:p>
      <w:pPr>
        <w:ind w:left="340" w:hanging="332"/>
        <w:spacing w:after="0" w:line="221" w:lineRule="auto"/>
        <w:tabs>
          <w:tab w:leader="none" w:pos="3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Portfolio company is a public company.</w:t>
      </w:r>
    </w:p>
    <w:p>
      <w:pPr>
        <w:ind w:left="340" w:hanging="332"/>
        <w:spacing w:after="0"/>
        <w:tabs>
          <w:tab w:leader="none" w:pos="3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New Signature US, Inc. is a subsidiary of BSI Platform Holdings, LLC.</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9"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show certain summarized financial information for HSLFI as of September 30, 2019 and December 31, 2018, for the three and nine months ended September 30, 2019 and for the period September 1, 2018 through September 30, 2018:</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138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60" w:type="dxa"/>
            <w:vAlign w:val="bottom"/>
            <w:gridSpan w:val="5"/>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Selected Statement of Assets and Liabilities Information</w:t>
            </w:r>
          </w:p>
        </w:tc>
        <w:tc>
          <w:tcPr>
            <w:tcW w:w="3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Total investments at fair value (cost of $42,953 and $24,771, respectively)</w:t>
            </w:r>
          </w:p>
        </w:tc>
        <w:tc>
          <w:tcPr>
            <w:tcW w:w="33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42,882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24,734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in money market funds</w:t>
            </w:r>
          </w:p>
        </w:tc>
        <w:tc>
          <w:tcPr>
            <w:tcW w:w="3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1,784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Restricted investments in money market funds</w:t>
            </w:r>
          </w:p>
        </w:tc>
        <w:tc>
          <w:tcPr>
            <w:tcW w:w="3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Interest receivable</w:t>
            </w:r>
          </w:p>
        </w:tc>
        <w:tc>
          <w:tcPr>
            <w:tcW w:w="3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30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1,195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1,306</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08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47,070</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26,442</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480" w:type="dxa"/>
            <w:vAlign w:val="bottom"/>
            <w:shd w:val="clear" w:color="auto" w:fill="CCEEFF"/>
          </w:tcPr>
          <w:p>
            <w:pPr>
              <w:spacing w:after="0"/>
              <w:rPr>
                <w:sz w:val="17"/>
                <w:szCs w:val="17"/>
                <w:color w:val="auto"/>
              </w:rPr>
            </w:pPr>
          </w:p>
        </w:tc>
        <w:tc>
          <w:tcPr>
            <w:tcW w:w="3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Borrowings</w:t>
            </w:r>
          </w:p>
        </w:tc>
        <w:tc>
          <w:tcPr>
            <w:tcW w:w="33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18,375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30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0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18,549</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8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Members’ equity</w:t>
            </w:r>
          </w:p>
        </w:tc>
        <w:tc>
          <w:tcPr>
            <w:tcW w:w="3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28,521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26,361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members’ equity</w:t>
            </w:r>
          </w:p>
        </w:tc>
        <w:tc>
          <w:tcPr>
            <w:tcW w:w="30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47,070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26,442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3080" w:type="dxa"/>
            <w:vAlign w:val="bottom"/>
            <w:vMerge w:val="restart"/>
          </w:tcPr>
          <w:p>
            <w:pPr>
              <w:jc w:val="right"/>
              <w:ind w:right="2670"/>
              <w:spacing w:after="0"/>
              <w:rPr>
                <w:sz w:val="20"/>
                <w:szCs w:val="20"/>
                <w:color w:val="auto"/>
              </w:rPr>
            </w:pPr>
            <w:r>
              <w:rPr>
                <w:rFonts w:ascii="Times New Roman" w:cs="Times New Roman" w:eastAsia="Times New Roman" w:hAnsi="Times New Roman"/>
                <w:sz w:val="18"/>
                <w:szCs w:val="18"/>
                <w:color w:val="auto"/>
              </w:rPr>
              <w:t>30</w:t>
            </w: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548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vMerge w:val="continue"/>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0" w:right="239" w:bottom="1440" w:gutter="0" w:footer="0" w:header="0"/>
        </w:sectPr>
      </w:pPr>
    </w:p>
    <w:bookmarkStart w:id="32" w:name="page33"/>
    <w:bookmarkEnd w:id="3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520" w:type="dxa"/>
            <w:vAlign w:val="bottom"/>
            <w:gridSpan w:val="4"/>
          </w:tcPr>
          <w:p>
            <w:pPr>
              <w:jc w:val="center"/>
              <w:ind w:left="2810"/>
              <w:spacing w:after="0"/>
              <w:rPr>
                <w:sz w:val="20"/>
                <w:szCs w:val="20"/>
                <w:color w:val="auto"/>
              </w:rPr>
            </w:pPr>
            <w:r>
              <w:rPr>
                <w:rFonts w:ascii="Times New Roman" w:cs="Times New Roman" w:eastAsia="Times New Roman" w:hAnsi="Times New Roman"/>
                <w:sz w:val="18"/>
                <w:szCs w:val="18"/>
                <w:b w:val="1"/>
                <w:bCs w:val="1"/>
                <w:color w:val="auto"/>
                <w:w w:val="99"/>
              </w:rPr>
              <w:t>Horizon Technology Finance Corporation and Subsidiaries</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460" w:type="dxa"/>
            <w:vAlign w:val="bottom"/>
            <w:gridSpan w:val="3"/>
          </w:tcPr>
          <w:p>
            <w:pPr>
              <w:jc w:val="center"/>
              <w:ind w:left="3870"/>
              <w:spacing w:after="0"/>
              <w:rPr>
                <w:sz w:val="20"/>
                <w:szCs w:val="20"/>
                <w:color w:val="auto"/>
              </w:rPr>
            </w:pPr>
            <w:r>
              <w:rPr>
                <w:rFonts w:ascii="Times New Roman" w:cs="Times New Roman" w:eastAsia="Times New Roman" w:hAnsi="Times New Roman"/>
                <w:sz w:val="18"/>
                <w:szCs w:val="18"/>
                <w:b w:val="1"/>
                <w:bCs w:val="1"/>
                <w:color w:val="auto"/>
                <w:w w:val="99"/>
              </w:rPr>
              <w:t>Notes to Consolidated Financial Statements</w:t>
            </w: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56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2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For the period</w:t>
            </w:r>
          </w:p>
        </w:tc>
      </w:tr>
      <w:tr>
        <w:trPr>
          <w:trHeight w:val="216"/>
        </w:trPr>
        <w:tc>
          <w:tcPr>
            <w:tcW w:w="56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20" w:type="dxa"/>
            <w:vAlign w:val="bottom"/>
            <w:gridSpan w:val="2"/>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For the three</w:t>
            </w:r>
          </w:p>
        </w:tc>
        <w:tc>
          <w:tcPr>
            <w:tcW w:w="220" w:type="dxa"/>
            <w:vAlign w:val="bottom"/>
          </w:tcPr>
          <w:p>
            <w:pPr>
              <w:spacing w:after="0"/>
              <w:rPr>
                <w:sz w:val="18"/>
                <w:szCs w:val="18"/>
                <w:color w:val="auto"/>
              </w:rPr>
            </w:pPr>
          </w:p>
        </w:tc>
        <w:tc>
          <w:tcPr>
            <w:tcW w:w="126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For the nine</w:t>
            </w:r>
          </w:p>
        </w:tc>
        <w:tc>
          <w:tcPr>
            <w:tcW w:w="18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June 1, 2018</w:t>
            </w:r>
          </w:p>
        </w:tc>
      </w:tr>
      <w:tr>
        <w:trPr>
          <w:trHeight w:val="216"/>
        </w:trPr>
        <w:tc>
          <w:tcPr>
            <w:tcW w:w="56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20" w:type="dxa"/>
            <w:vAlign w:val="bottom"/>
            <w:gridSpan w:val="2"/>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months ended,</w:t>
            </w: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months ended,</w:t>
            </w:r>
          </w:p>
        </w:tc>
        <w:tc>
          <w:tcPr>
            <w:tcW w:w="18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through</w:t>
            </w:r>
          </w:p>
        </w:tc>
      </w:tr>
      <w:tr>
        <w:trPr>
          <w:trHeight w:val="216"/>
        </w:trPr>
        <w:tc>
          <w:tcPr>
            <w:tcW w:w="56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20" w:type="dxa"/>
            <w:vAlign w:val="bottom"/>
            <w:gridSpan w:val="2"/>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42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38"/>
        </w:trPr>
        <w:tc>
          <w:tcPr>
            <w:tcW w:w="56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41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2018</w:t>
            </w:r>
          </w:p>
        </w:tc>
        <w:tc>
          <w:tcPr>
            <w:tcW w:w="100" w:type="dxa"/>
            <w:vAlign w:val="bottom"/>
          </w:tcPr>
          <w:p>
            <w:pPr>
              <w:spacing w:after="0"/>
              <w:rPr>
                <w:sz w:val="20"/>
                <w:szCs w:val="20"/>
                <w:color w:val="auto"/>
              </w:rPr>
            </w:pPr>
          </w:p>
        </w:tc>
      </w:tr>
      <w:tr>
        <w:trPr>
          <w:trHeight w:val="210"/>
        </w:trPr>
        <w:tc>
          <w:tcPr>
            <w:tcW w:w="56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Selected Statements of Operations Information</w:t>
            </w:r>
          </w:p>
        </w:tc>
        <w:tc>
          <w:tcPr>
            <w:tcW w:w="1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on investments</w:t>
            </w:r>
          </w:p>
        </w:tc>
        <w:tc>
          <w:tcPr>
            <w:tcW w:w="182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1,317</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3,314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255</w:t>
            </w: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expenses</w:t>
            </w:r>
          </w:p>
        </w:tc>
        <w:tc>
          <w:tcPr>
            <w:tcW w:w="182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394</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868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182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923</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2,446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165</w:t>
            </w: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unrealized (depreciation) appreciation on investments</w:t>
            </w:r>
          </w:p>
        </w:tc>
        <w:tc>
          <w:tcPr>
            <w:tcW w:w="182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r>
      <w:tr>
        <w:trPr>
          <w:trHeight w:val="234"/>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in net assets resulting from operations</w:t>
            </w:r>
          </w:p>
        </w:tc>
        <w:tc>
          <w:tcPr>
            <w:tcW w:w="182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895</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2,412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166</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Transactions with affiliated companies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 non-controlled affiliated company is generally a portfolio company in which the Company owns 5% or more of such portfolio company’s voting securities but not more than 25% of such portfolio company’s voting securities. Transactions related to investments in non-controlled affiliated companies for the nine months ended September 30, 2019 were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w w:val="98"/>
              </w:rPr>
              <w:t>Fair value at</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660" w:type="dxa"/>
            <w:vAlign w:val="bottom"/>
            <w:tcBorders>
              <w:bottom w:val="single" w:sz="8" w:color="auto"/>
            </w:tcBorders>
            <w:gridSpan w:val="11"/>
          </w:tcPr>
          <w:p>
            <w:pPr>
              <w:jc w:val="right"/>
              <w:spacing w:after="0"/>
              <w:rPr>
                <w:sz w:val="20"/>
                <w:szCs w:val="20"/>
                <w:color w:val="auto"/>
              </w:rPr>
            </w:pPr>
            <w:r>
              <w:rPr>
                <w:rFonts w:ascii="Times New Roman" w:cs="Times New Roman" w:eastAsia="Times New Roman" w:hAnsi="Times New Roman"/>
                <w:sz w:val="13"/>
                <w:szCs w:val="13"/>
                <w:b w:val="1"/>
                <w:bCs w:val="1"/>
                <w:color w:val="auto"/>
              </w:rPr>
              <w:t>Nine months ended September 30, 2019</w:t>
            </w:r>
          </w:p>
        </w:tc>
        <w:tc>
          <w:tcPr>
            <w:tcW w:w="62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w w:val="98"/>
              </w:rPr>
              <w:t>Fair value at</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3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gridSpan w:val="2"/>
          </w:tcPr>
          <w:p>
            <w:pPr>
              <w:ind w:left="20"/>
              <w:spacing w:after="0" w:line="109" w:lineRule="exact"/>
              <w:rPr>
                <w:sz w:val="20"/>
                <w:szCs w:val="20"/>
                <w:color w:val="auto"/>
              </w:rPr>
            </w:pPr>
            <w:r>
              <w:rPr>
                <w:rFonts w:ascii="Times New Roman" w:cs="Times New Roman" w:eastAsia="Times New Roman" w:hAnsi="Times New Roman"/>
                <w:sz w:val="12"/>
                <w:szCs w:val="12"/>
                <w:b w:val="1"/>
                <w:bCs w:val="1"/>
                <w:color w:val="auto"/>
              </w:rPr>
              <w:t>Transfers</w:t>
            </w: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Net</w:t>
            </w:r>
          </w:p>
        </w:tc>
        <w:tc>
          <w:tcPr>
            <w:tcW w:w="220" w:type="dxa"/>
            <w:vAlign w:val="bottom"/>
          </w:tcPr>
          <w:p>
            <w:pPr>
              <w:spacing w:after="0"/>
              <w:rPr>
                <w:sz w:val="9"/>
                <w:szCs w:val="9"/>
                <w:color w:val="auto"/>
              </w:rPr>
            </w:pPr>
          </w:p>
        </w:tc>
        <w:tc>
          <w:tcPr>
            <w:tcW w:w="96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34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Portfolio</w:t>
            </w:r>
          </w:p>
        </w:tc>
        <w:tc>
          <w:tcPr>
            <w:tcW w:w="860" w:type="dxa"/>
            <w:vAlign w:val="bottom"/>
            <w:gridSpan w:val="3"/>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Principal</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in/(out) at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Discount</w:t>
            </w:r>
          </w:p>
        </w:tc>
        <w:tc>
          <w:tcPr>
            <w:tcW w:w="900" w:type="dxa"/>
            <w:vAlign w:val="bottom"/>
            <w:gridSpan w:val="3"/>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unrealized</w:t>
            </w:r>
          </w:p>
        </w:tc>
        <w:tc>
          <w:tcPr>
            <w:tcW w:w="960" w:type="dxa"/>
            <w:vAlign w:val="bottom"/>
            <w:gridSpan w:val="3"/>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78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Net realized</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Interest</w:t>
            </w:r>
          </w:p>
        </w:tc>
        <w:tc>
          <w:tcPr>
            <w:tcW w:w="0" w:type="dxa"/>
            <w:vAlign w:val="bottom"/>
          </w:tcPr>
          <w:p>
            <w:pPr>
              <w:spacing w:after="0"/>
              <w:rPr>
                <w:sz w:val="1"/>
                <w:szCs w:val="1"/>
                <w:color w:val="auto"/>
              </w:rPr>
            </w:pPr>
          </w:p>
        </w:tc>
      </w:tr>
      <w:tr>
        <w:trPr>
          <w:trHeight w:val="155"/>
        </w:trPr>
        <w:tc>
          <w:tcPr>
            <w:tcW w:w="33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5"/>
              </w:rPr>
              <w:t>Company</w:t>
            </w:r>
          </w:p>
        </w:tc>
        <w:tc>
          <w:tcPr>
            <w:tcW w:w="140" w:type="dxa"/>
            <w:vAlign w:val="bottom"/>
          </w:tcPr>
          <w:p>
            <w:pPr>
              <w:spacing w:after="0"/>
              <w:rPr>
                <w:sz w:val="13"/>
                <w:szCs w:val="13"/>
                <w:color w:val="auto"/>
              </w:rPr>
            </w:pPr>
          </w:p>
        </w:tc>
        <w:tc>
          <w:tcPr>
            <w:tcW w:w="600" w:type="dxa"/>
            <w:vAlign w:val="bottom"/>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2018</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Purchases</w:t>
            </w:r>
          </w:p>
        </w:tc>
        <w:tc>
          <w:tcPr>
            <w:tcW w:w="80" w:type="dxa"/>
            <w:vAlign w:val="bottom"/>
          </w:tcPr>
          <w:p>
            <w:pPr>
              <w:spacing w:after="0"/>
              <w:rPr>
                <w:sz w:val="13"/>
                <w:szCs w:val="13"/>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w w:val="92"/>
              </w:rPr>
              <w:t>Payments</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7"/>
              </w:rPr>
              <w:t>accretion</w:t>
            </w:r>
          </w:p>
        </w:tc>
        <w:tc>
          <w:tcPr>
            <w:tcW w:w="60" w:type="dxa"/>
            <w:vAlign w:val="bottom"/>
          </w:tcPr>
          <w:p>
            <w:pPr>
              <w:spacing w:after="0"/>
              <w:rPr>
                <w:sz w:val="13"/>
                <w:szCs w:val="13"/>
                <w:color w:val="auto"/>
              </w:rPr>
            </w:pPr>
          </w:p>
        </w:tc>
        <w:tc>
          <w:tcPr>
            <w:tcW w:w="84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9"/>
              </w:rPr>
              <w:t>gain/(loss)</w:t>
            </w:r>
          </w:p>
        </w:tc>
        <w:tc>
          <w:tcPr>
            <w:tcW w:w="160" w:type="dxa"/>
            <w:vAlign w:val="bottom"/>
          </w:tcPr>
          <w:p>
            <w:pPr>
              <w:spacing w:after="0"/>
              <w:rPr>
                <w:sz w:val="13"/>
                <w:szCs w:val="13"/>
                <w:color w:val="auto"/>
              </w:rPr>
            </w:pPr>
          </w:p>
        </w:tc>
        <w:tc>
          <w:tcPr>
            <w:tcW w:w="580" w:type="dxa"/>
            <w:vAlign w:val="bottom"/>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2019</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gain/(loss)</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income</w:t>
            </w:r>
          </w:p>
        </w:tc>
        <w:tc>
          <w:tcPr>
            <w:tcW w:w="0" w:type="dxa"/>
            <w:vAlign w:val="bottom"/>
          </w:tcPr>
          <w:p>
            <w:pPr>
              <w:spacing w:after="0"/>
              <w:rPr>
                <w:sz w:val="1"/>
                <w:szCs w:val="1"/>
                <w:color w:val="auto"/>
              </w:rPr>
            </w:pPr>
          </w:p>
        </w:tc>
      </w:tr>
      <w:tr>
        <w:trPr>
          <w:trHeight w:val="129"/>
        </w:trPr>
        <w:tc>
          <w:tcPr>
            <w:tcW w:w="310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4"/>
          </w:tcPr>
          <w:p>
            <w:pPr>
              <w:jc w:val="center"/>
              <w:ind w:right="80"/>
              <w:spacing w:after="0" w:line="129" w:lineRule="exact"/>
              <w:rPr>
                <w:sz w:val="20"/>
                <w:szCs w:val="20"/>
                <w:color w:val="auto"/>
              </w:rPr>
            </w:pPr>
            <w:r>
              <w:rPr>
                <w:rFonts w:ascii="Times New Roman" w:cs="Times New Roman" w:eastAsia="Times New Roman" w:hAnsi="Times New Roman"/>
                <w:sz w:val="13"/>
                <w:szCs w:val="13"/>
                <w:b w:val="1"/>
                <w:bCs w:val="1"/>
                <w:color w:val="auto"/>
                <w:w w:val="96"/>
              </w:rPr>
              <w:t>(In thousands)</w:t>
            </w:r>
          </w:p>
        </w:tc>
        <w:tc>
          <w:tcPr>
            <w:tcW w:w="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4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Decisyon, Inc.</w:t>
            </w:r>
          </w:p>
        </w:tc>
        <w:tc>
          <w:tcPr>
            <w:tcW w:w="1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1,464</w:t>
            </w:r>
          </w:p>
        </w:tc>
        <w:tc>
          <w:tcPr>
            <w:tcW w:w="120" w:type="dxa"/>
            <w:vAlign w:val="bottom"/>
            <w:shd w:val="clear" w:color="auto" w:fill="CCEEFF"/>
          </w:tcPr>
          <w:p>
            <w:pPr>
              <w:spacing w:after="0"/>
              <w:rPr>
                <w:sz w:val="11"/>
                <w:szCs w:val="11"/>
                <w:color w:val="auto"/>
              </w:rPr>
            </w:pPr>
          </w:p>
        </w:tc>
        <w:tc>
          <w:tcPr>
            <w:tcW w:w="18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ind w:left="4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285</w:t>
            </w:r>
          </w:p>
        </w:tc>
        <w:tc>
          <w:tcPr>
            <w:tcW w:w="16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ind w:left="4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ind w:left="4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58</w:t>
            </w: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1,237</w:t>
            </w: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shd w:val="clear" w:color="auto" w:fill="CCEEFF"/>
          </w:tcPr>
          <w:p>
            <w:pPr>
              <w:ind w:left="5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164</w:t>
            </w:r>
          </w:p>
        </w:tc>
        <w:tc>
          <w:tcPr>
            <w:tcW w:w="0" w:type="dxa"/>
            <w:vAlign w:val="bottom"/>
          </w:tcPr>
          <w:p>
            <w:pPr>
              <w:spacing w:after="0"/>
              <w:rPr>
                <w:sz w:val="1"/>
                <w:szCs w:val="1"/>
                <w:color w:val="auto"/>
              </w:rPr>
            </w:pPr>
          </w:p>
        </w:tc>
      </w:tr>
      <w:tr>
        <w:trPr>
          <w:trHeight w:val="135"/>
        </w:trPr>
        <w:tc>
          <w:tcPr>
            <w:tcW w:w="3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764</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ind w:left="4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72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156</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4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ind w:left="480"/>
              <w:spacing w:after="0" w:line="135" w:lineRule="exact"/>
              <w:rPr>
                <w:sz w:val="20"/>
                <w:szCs w:val="20"/>
                <w:color w:val="auto"/>
              </w:rPr>
            </w:pPr>
            <w:r>
              <w:rPr>
                <w:rFonts w:ascii="Times New Roman" w:cs="Times New Roman" w:eastAsia="Times New Roman" w:hAnsi="Times New Roman"/>
                <w:sz w:val="13"/>
                <w:szCs w:val="13"/>
                <w:color w:val="auto"/>
              </w:rPr>
              <w:t>14</w:t>
            </w:r>
          </w:p>
        </w:tc>
        <w:tc>
          <w:tcPr>
            <w:tcW w:w="6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31</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653</w:t>
            </w:r>
          </w:p>
        </w:tc>
        <w:tc>
          <w:tcPr>
            <w:tcW w:w="60" w:type="dxa"/>
            <w:vAlign w:val="bottom"/>
          </w:tcPr>
          <w:p>
            <w:pPr>
              <w:spacing w:after="0"/>
              <w:rPr>
                <w:sz w:val="11"/>
                <w:szCs w:val="11"/>
                <w:color w:val="auto"/>
              </w:rPr>
            </w:pPr>
          </w:p>
        </w:tc>
        <w:tc>
          <w:tcPr>
            <w:tcW w:w="720" w:type="dxa"/>
            <w:vAlign w:val="bottom"/>
            <w:gridSpan w:val="2"/>
          </w:tcPr>
          <w:p>
            <w:pPr>
              <w:ind w:left="5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87</w:t>
            </w:r>
          </w:p>
        </w:tc>
        <w:tc>
          <w:tcPr>
            <w:tcW w:w="0" w:type="dxa"/>
            <w:vAlign w:val="bottom"/>
          </w:tcPr>
          <w:p>
            <w:pPr>
              <w:spacing w:after="0"/>
              <w:rPr>
                <w:sz w:val="1"/>
                <w:szCs w:val="1"/>
                <w:color w:val="auto"/>
              </w:rPr>
            </w:pPr>
          </w:p>
        </w:tc>
      </w:tr>
      <w:tr>
        <w:trPr>
          <w:trHeight w:val="135"/>
        </w:trPr>
        <w:tc>
          <w:tcPr>
            <w:tcW w:w="3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240</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ind w:left="4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8</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ind w:left="4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ind w:left="4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w:t>
            </w: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242</w:t>
            </w: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ind w:left="5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23</w:t>
            </w:r>
          </w:p>
        </w:tc>
        <w:tc>
          <w:tcPr>
            <w:tcW w:w="0" w:type="dxa"/>
            <w:vAlign w:val="bottom"/>
          </w:tcPr>
          <w:p>
            <w:pPr>
              <w:spacing w:after="0"/>
              <w:rPr>
                <w:sz w:val="1"/>
                <w:szCs w:val="1"/>
                <w:color w:val="auto"/>
              </w:rPr>
            </w:pPr>
          </w:p>
        </w:tc>
      </w:tr>
      <w:tr>
        <w:trPr>
          <w:trHeight w:val="135"/>
        </w:trPr>
        <w:tc>
          <w:tcPr>
            <w:tcW w:w="3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240</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ind w:left="4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72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8</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4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ind w:left="4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242</w:t>
            </w:r>
          </w:p>
        </w:tc>
        <w:tc>
          <w:tcPr>
            <w:tcW w:w="60" w:type="dxa"/>
            <w:vAlign w:val="bottom"/>
          </w:tcPr>
          <w:p>
            <w:pPr>
              <w:spacing w:after="0"/>
              <w:rPr>
                <w:sz w:val="11"/>
                <w:szCs w:val="11"/>
                <w:color w:val="auto"/>
              </w:rPr>
            </w:pPr>
          </w:p>
        </w:tc>
        <w:tc>
          <w:tcPr>
            <w:tcW w:w="720" w:type="dxa"/>
            <w:vAlign w:val="bottom"/>
            <w:gridSpan w:val="2"/>
          </w:tcPr>
          <w:p>
            <w:pPr>
              <w:ind w:left="5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23</w:t>
            </w:r>
          </w:p>
        </w:tc>
        <w:tc>
          <w:tcPr>
            <w:tcW w:w="0" w:type="dxa"/>
            <w:vAlign w:val="bottom"/>
          </w:tcPr>
          <w:p>
            <w:pPr>
              <w:spacing w:after="0"/>
              <w:rPr>
                <w:sz w:val="1"/>
                <w:szCs w:val="1"/>
                <w:color w:val="auto"/>
              </w:rPr>
            </w:pPr>
          </w:p>
        </w:tc>
      </w:tr>
      <w:tr>
        <w:trPr>
          <w:trHeight w:val="135"/>
        </w:trPr>
        <w:tc>
          <w:tcPr>
            <w:tcW w:w="3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721</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ind w:left="4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23</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ind w:left="4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ind w:left="4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29</w:t>
            </w: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727</w:t>
            </w: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ind w:left="5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70</w:t>
            </w:r>
          </w:p>
        </w:tc>
        <w:tc>
          <w:tcPr>
            <w:tcW w:w="0" w:type="dxa"/>
            <w:vAlign w:val="bottom"/>
          </w:tcPr>
          <w:p>
            <w:pPr>
              <w:spacing w:after="0"/>
              <w:rPr>
                <w:sz w:val="1"/>
                <w:szCs w:val="1"/>
                <w:color w:val="auto"/>
              </w:rPr>
            </w:pPr>
          </w:p>
        </w:tc>
      </w:tr>
      <w:tr>
        <w:trPr>
          <w:trHeight w:val="135"/>
        </w:trPr>
        <w:tc>
          <w:tcPr>
            <w:tcW w:w="3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289</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ind w:left="4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72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8</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4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ind w:left="4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8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11</w:t>
            </w:r>
          </w:p>
        </w:tc>
        <w:tc>
          <w:tcPr>
            <w:tcW w:w="160" w:type="dxa"/>
            <w:vAlign w:val="bottom"/>
          </w:tcPr>
          <w:p>
            <w:pPr>
              <w:spacing w:after="0"/>
              <w:rPr>
                <w:sz w:val="11"/>
                <w:szCs w:val="11"/>
                <w:color w:val="auto"/>
              </w:rPr>
            </w:pPr>
          </w:p>
        </w:tc>
        <w:tc>
          <w:tcPr>
            <w:tcW w:w="8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292</w:t>
            </w:r>
          </w:p>
        </w:tc>
        <w:tc>
          <w:tcPr>
            <w:tcW w:w="60" w:type="dxa"/>
            <w:vAlign w:val="bottom"/>
          </w:tcPr>
          <w:p>
            <w:pPr>
              <w:spacing w:after="0"/>
              <w:rPr>
                <w:sz w:val="11"/>
                <w:szCs w:val="11"/>
                <w:color w:val="auto"/>
              </w:rPr>
            </w:pPr>
          </w:p>
        </w:tc>
        <w:tc>
          <w:tcPr>
            <w:tcW w:w="720" w:type="dxa"/>
            <w:vAlign w:val="bottom"/>
            <w:gridSpan w:val="2"/>
          </w:tcPr>
          <w:p>
            <w:pPr>
              <w:ind w:left="5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29</w:t>
            </w:r>
          </w:p>
        </w:tc>
        <w:tc>
          <w:tcPr>
            <w:tcW w:w="0" w:type="dxa"/>
            <w:vAlign w:val="bottom"/>
          </w:tcPr>
          <w:p>
            <w:pPr>
              <w:spacing w:after="0"/>
              <w:rPr>
                <w:sz w:val="1"/>
                <w:szCs w:val="1"/>
                <w:color w:val="auto"/>
              </w:rPr>
            </w:pPr>
          </w:p>
        </w:tc>
      </w:tr>
      <w:tr>
        <w:trPr>
          <w:trHeight w:val="135"/>
        </w:trPr>
        <w:tc>
          <w:tcPr>
            <w:tcW w:w="3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192</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ind w:left="4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6</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ind w:left="4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ind w:left="4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8</w:t>
            </w:r>
          </w:p>
        </w:tc>
        <w:tc>
          <w:tcPr>
            <w:tcW w:w="1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194</w:t>
            </w: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ind w:left="5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21</w:t>
            </w:r>
          </w:p>
        </w:tc>
        <w:tc>
          <w:tcPr>
            <w:tcW w:w="0" w:type="dxa"/>
            <w:vAlign w:val="bottom"/>
          </w:tcPr>
          <w:p>
            <w:pPr>
              <w:spacing w:after="0"/>
              <w:rPr>
                <w:sz w:val="1"/>
                <w:szCs w:val="1"/>
                <w:color w:val="auto"/>
              </w:rPr>
            </w:pPr>
          </w:p>
        </w:tc>
      </w:tr>
      <w:tr>
        <w:trPr>
          <w:trHeight w:val="135"/>
        </w:trPr>
        <w:tc>
          <w:tcPr>
            <w:tcW w:w="3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75</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ind w:left="4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72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4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ind w:left="4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8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75</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5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334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StereoVision, Inc.</w:t>
            </w: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2,798</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ind w:left="4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166</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ind w:left="4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ind w:left="4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2,632</w:t>
            </w: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ind w:left="5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228</w:t>
            </w: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791</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2"/>
                <w:szCs w:val="12"/>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1,862</w:t>
            </w: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2,653</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2"/>
        </w:trPr>
        <w:tc>
          <w:tcPr>
            <w:tcW w:w="3340" w:type="dxa"/>
            <w:vAlign w:val="bottom"/>
            <w:tcBorders>
              <w:top w:val="single" w:sz="8" w:color="CCEEFF"/>
              <w:bottom w:val="single" w:sz="8" w:color="CCEEFF"/>
            </w:tcBorders>
            <w:gridSpan w:val="2"/>
            <w:shd w:val="clear" w:color="auto" w:fill="CCEEFF"/>
          </w:tcPr>
          <w:p>
            <w:pPr>
              <w:spacing w:after="0" w:line="143" w:lineRule="exact"/>
              <w:rPr>
                <w:sz w:val="20"/>
                <w:szCs w:val="20"/>
                <w:color w:val="auto"/>
              </w:rPr>
            </w:pPr>
            <w:r>
              <w:rPr>
                <w:rFonts w:ascii="Times New Roman" w:cs="Times New Roman" w:eastAsia="Times New Roman" w:hAnsi="Times New Roman"/>
                <w:sz w:val="13"/>
                <w:szCs w:val="13"/>
                <w:color w:val="auto"/>
              </w:rPr>
              <w:t>Total Non-controlled Affiliates</w:t>
            </w:r>
          </w:p>
        </w:tc>
        <w:tc>
          <w:tcPr>
            <w:tcW w:w="140" w:type="dxa"/>
            <w:vAlign w:val="bottom"/>
            <w:tcBorders>
              <w:top w:val="single" w:sz="8" w:color="auto"/>
              <w:bottom w:val="single" w:sz="8" w:color="auto"/>
            </w:tcBorders>
            <w:shd w:val="clear" w:color="auto" w:fill="CCEEFF"/>
          </w:tcPr>
          <w:p>
            <w:pPr>
              <w:spacing w:after="0" w:line="143"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Times New Roman" w:cs="Times New Roman" w:eastAsia="Times New Roman" w:hAnsi="Times New Roman"/>
                <w:sz w:val="13"/>
                <w:szCs w:val="13"/>
                <w:color w:val="auto"/>
              </w:rPr>
              <w:t>7,574</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shd w:val="clear" w:color="auto" w:fill="CCEEFF"/>
          </w:tcPr>
          <w:p>
            <w:pPr>
              <w:ind w:left="480"/>
              <w:spacing w:after="0" w:line="143" w:lineRule="exact"/>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Times New Roman" w:cs="Times New Roman" w:eastAsia="Times New Roman" w:hAnsi="Times New Roman"/>
                <w:sz w:val="13"/>
                <w:szCs w:val="13"/>
                <w:color w:val="auto"/>
              </w:rPr>
              <w:t>660</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shd w:val="clear" w:color="auto" w:fill="CCEEFF"/>
          </w:tcPr>
          <w:p>
            <w:pPr>
              <w:ind w:left="480"/>
              <w:spacing w:after="0" w:line="143" w:lineRule="exact"/>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shd w:val="clear" w:color="auto" w:fill="CCEEFF"/>
          </w:tcPr>
          <w:p>
            <w:pPr>
              <w:ind w:left="480"/>
              <w:spacing w:after="0" w:line="143" w:lineRule="exact"/>
              <w:rPr>
                <w:sz w:val="20"/>
                <w:szCs w:val="20"/>
                <w:color w:val="auto"/>
              </w:rPr>
            </w:pPr>
            <w:r>
              <w:rPr>
                <w:rFonts w:ascii="Times New Roman" w:cs="Times New Roman" w:eastAsia="Times New Roman" w:hAnsi="Times New Roman"/>
                <w:sz w:val="13"/>
                <w:szCs w:val="13"/>
                <w:color w:val="auto"/>
                <w:w w:val="76"/>
              </w:rPr>
              <w:t>14</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Times New Roman" w:cs="Times New Roman" w:eastAsia="Times New Roman" w:hAnsi="Times New Roman"/>
                <w:sz w:val="13"/>
                <w:szCs w:val="13"/>
                <w:color w:val="auto"/>
              </w:rPr>
              <w:t>2,019</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line="143"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Times New Roman" w:cs="Times New Roman" w:eastAsia="Times New Roman" w:hAnsi="Times New Roman"/>
                <w:sz w:val="13"/>
                <w:szCs w:val="13"/>
                <w:color w:val="auto"/>
              </w:rPr>
              <w:t>8,947</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shd w:val="clear" w:color="auto" w:fill="CCEEFF"/>
          </w:tcPr>
          <w:p>
            <w:pPr>
              <w:ind w:left="500"/>
              <w:spacing w:after="0" w:line="143" w:lineRule="exact"/>
              <w:rPr>
                <w:sz w:val="20"/>
                <w:szCs w:val="20"/>
                <w:color w:val="auto"/>
              </w:rPr>
            </w:pPr>
            <w:r>
              <w:rPr>
                <w:rFonts w:ascii="Times New Roman" w:cs="Times New Roman" w:eastAsia="Times New Roman" w:hAnsi="Times New Roman"/>
                <w:sz w:val="13"/>
                <w:szCs w:val="13"/>
                <w:color w:val="auto"/>
                <w:w w:val="76"/>
              </w:rPr>
              <w:t>—</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Times New Roman" w:cs="Times New Roman" w:eastAsia="Times New Roman" w:hAnsi="Times New Roman"/>
                <w:sz w:val="13"/>
                <w:szCs w:val="13"/>
                <w:color w:val="auto"/>
              </w:rPr>
              <w:t>645</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Transactions related to investments in non-controlled affiliated companies for the year ended December 31, 2018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vMerge w:val="restart"/>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 2018</w:t>
            </w: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100" w:type="dxa"/>
            <w:vAlign w:val="bottom"/>
          </w:tcPr>
          <w:p>
            <w:pPr>
              <w:spacing w:after="0"/>
              <w:rPr>
                <w:sz w:val="15"/>
                <w:szCs w:val="15"/>
                <w:color w:val="auto"/>
              </w:rPr>
            </w:pPr>
          </w:p>
        </w:tc>
        <w:tc>
          <w:tcPr>
            <w:tcW w:w="80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80" w:type="dxa"/>
            <w:vAlign w:val="bottom"/>
            <w:vMerge w:val="restart"/>
          </w:tcPr>
          <w:p>
            <w:pPr>
              <w:ind w:left="760"/>
              <w:spacing w:after="0"/>
              <w:rPr>
                <w:sz w:val="20"/>
                <w:szCs w:val="20"/>
                <w:color w:val="auto"/>
              </w:rPr>
            </w:pPr>
            <w:r>
              <w:rPr>
                <w:rFonts w:ascii="Times New Roman" w:cs="Times New Roman" w:eastAsia="Times New Roman" w:hAnsi="Times New Roman"/>
                <w:sz w:val="14"/>
                <w:szCs w:val="14"/>
                <w:b w:val="1"/>
                <w:bCs w:val="1"/>
                <w:color w:val="auto"/>
              </w:rPr>
              <w:t>Portfolio</w:t>
            </w:r>
          </w:p>
        </w:tc>
        <w:tc>
          <w:tcPr>
            <w:tcW w:w="18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20" w:type="dxa"/>
            <w:vAlign w:val="bottom"/>
          </w:tcPr>
          <w:p>
            <w:pPr>
              <w:spacing w:after="0"/>
              <w:rPr>
                <w:sz w:val="10"/>
                <w:szCs w:val="10"/>
                <w:color w:val="auto"/>
              </w:rPr>
            </w:pPr>
          </w:p>
        </w:tc>
        <w:tc>
          <w:tcPr>
            <w:tcW w:w="1020" w:type="dxa"/>
            <w:vAlign w:val="bottom"/>
            <w:gridSpan w:val="3"/>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Transfers</w:t>
            </w: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Discount</w:t>
            </w:r>
          </w:p>
        </w:tc>
        <w:tc>
          <w:tcPr>
            <w:tcW w:w="120" w:type="dxa"/>
            <w:vAlign w:val="bottom"/>
          </w:tcPr>
          <w:p>
            <w:pPr>
              <w:spacing w:after="0"/>
              <w:rPr>
                <w:sz w:val="10"/>
                <w:szCs w:val="10"/>
                <w:color w:val="auto"/>
              </w:rPr>
            </w:pPr>
          </w:p>
        </w:tc>
        <w:tc>
          <w:tcPr>
            <w:tcW w:w="800" w:type="dxa"/>
            <w:vAlign w:val="bottom"/>
          </w:tcPr>
          <w:p>
            <w:pPr>
              <w:jc w:val="center"/>
              <w:ind w:right="49"/>
              <w:spacing w:after="0" w:line="118" w:lineRule="exact"/>
              <w:rPr>
                <w:sz w:val="20"/>
                <w:szCs w:val="20"/>
                <w:color w:val="auto"/>
              </w:rPr>
            </w:pPr>
            <w:r>
              <w:rPr>
                <w:rFonts w:ascii="Times New Roman" w:cs="Times New Roman" w:eastAsia="Times New Roman" w:hAnsi="Times New Roman"/>
                <w:sz w:val="13"/>
                <w:szCs w:val="13"/>
                <w:b w:val="1"/>
                <w:bCs w:val="1"/>
                <w:color w:val="auto"/>
              </w:rPr>
              <w:t>Net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0" w:type="dxa"/>
            <w:vAlign w:val="bottom"/>
          </w:tcPr>
          <w:p>
            <w:pPr>
              <w:spacing w:after="0"/>
              <w:rPr>
                <w:sz w:val="1"/>
                <w:szCs w:val="1"/>
                <w:color w:val="auto"/>
              </w:rPr>
            </w:pPr>
          </w:p>
        </w:tc>
      </w:tr>
      <w:tr>
        <w:trPr>
          <w:trHeight w:val="149"/>
        </w:trPr>
        <w:tc>
          <w:tcPr>
            <w:tcW w:w="20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jc w:val="center"/>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2"/>
                <w:szCs w:val="12"/>
                <w:color w:val="auto"/>
              </w:rPr>
            </w:pPr>
          </w:p>
        </w:tc>
        <w:tc>
          <w:tcPr>
            <w:tcW w:w="9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Purchases</w:t>
            </w:r>
          </w:p>
        </w:tc>
        <w:tc>
          <w:tcPr>
            <w:tcW w:w="1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in/(out) at</w:t>
            </w: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0" w:type="dxa"/>
            <w:vAlign w:val="bottom"/>
          </w:tcPr>
          <w:p>
            <w:pPr>
              <w:spacing w:after="0"/>
              <w:rPr>
                <w:sz w:val="12"/>
                <w:szCs w:val="12"/>
                <w:color w:val="auto"/>
              </w:rPr>
            </w:pPr>
          </w:p>
        </w:tc>
        <w:tc>
          <w:tcPr>
            <w:tcW w:w="102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2"/>
                <w:szCs w:val="12"/>
                <w:color w:val="auto"/>
              </w:rPr>
            </w:pPr>
          </w:p>
        </w:tc>
        <w:tc>
          <w:tcPr>
            <w:tcW w:w="80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realized</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80" w:type="dxa"/>
            <w:vAlign w:val="bottom"/>
          </w:tcPr>
          <w:p>
            <w:pPr>
              <w:ind w:left="740"/>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180" w:type="dxa"/>
            <w:vAlign w:val="bottom"/>
          </w:tcPr>
          <w:p>
            <w:pPr>
              <w:spacing w:after="0"/>
              <w:rPr>
                <w:sz w:val="15"/>
                <w:szCs w:val="15"/>
                <w:color w:val="auto"/>
              </w:rPr>
            </w:pPr>
          </w:p>
        </w:tc>
        <w:tc>
          <w:tcPr>
            <w:tcW w:w="98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w w:val="99"/>
              </w:rPr>
              <w:t>2017</w:t>
            </w:r>
          </w:p>
        </w:tc>
        <w:tc>
          <w:tcPr>
            <w:tcW w:w="12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Payments</w:t>
            </w:r>
          </w:p>
        </w:tc>
        <w:tc>
          <w:tcPr>
            <w:tcW w:w="120" w:type="dxa"/>
            <w:vAlign w:val="bottom"/>
          </w:tcPr>
          <w:p>
            <w:pPr>
              <w:spacing w:after="0"/>
              <w:rPr>
                <w:sz w:val="15"/>
                <w:szCs w:val="15"/>
                <w:color w:val="auto"/>
              </w:rPr>
            </w:pPr>
          </w:p>
        </w:tc>
        <w:tc>
          <w:tcPr>
            <w:tcW w:w="10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accretion</w:t>
            </w:r>
          </w:p>
        </w:tc>
        <w:tc>
          <w:tcPr>
            <w:tcW w:w="120" w:type="dxa"/>
            <w:vAlign w:val="bottom"/>
          </w:tcPr>
          <w:p>
            <w:pPr>
              <w:spacing w:after="0"/>
              <w:rPr>
                <w:sz w:val="15"/>
                <w:szCs w:val="15"/>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gain/(loss)</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gain/(loss)</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0" w:type="dxa"/>
            <w:vAlign w:val="bottom"/>
          </w:tcPr>
          <w:p>
            <w:pPr>
              <w:spacing w:after="0"/>
              <w:rPr>
                <w:sz w:val="1"/>
                <w:szCs w:val="1"/>
                <w:color w:val="auto"/>
              </w:rPr>
            </w:pPr>
          </w:p>
        </w:tc>
      </w:tr>
      <w:tr>
        <w:trPr>
          <w:trHeight w:val="156"/>
        </w:trPr>
        <w:tc>
          <w:tcPr>
            <w:tcW w:w="20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gridSpan w:val="4"/>
          </w:tcPr>
          <w:p>
            <w:pPr>
              <w:ind w:left="100"/>
              <w:spacing w:after="0" w:line="155" w:lineRule="exact"/>
              <w:rPr>
                <w:sz w:val="20"/>
                <w:szCs w:val="20"/>
                <w:color w:val="auto"/>
              </w:rPr>
            </w:pPr>
            <w:r>
              <w:rPr>
                <w:rFonts w:ascii="Times New Roman" w:cs="Times New Roman" w:eastAsia="Times New Roman" w:hAnsi="Times New Roman"/>
                <w:sz w:val="14"/>
                <w:szCs w:val="14"/>
                <w:color w:val="auto"/>
              </w:rPr>
              <w:t>(In thousands)</w:t>
            </w:r>
          </w:p>
        </w:tc>
        <w:tc>
          <w:tcPr>
            <w:tcW w:w="1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Decisyon, Inc.</w:t>
            </w:r>
          </w:p>
        </w:tc>
        <w:tc>
          <w:tcPr>
            <w:tcW w:w="18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right w:val="single" w:sz="8" w:color="CCEEFF"/>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1,449</w:t>
            </w:r>
          </w:p>
        </w:tc>
        <w:tc>
          <w:tcPr>
            <w:tcW w:w="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right w:val="single" w:sz="8" w:color="CCEEFF"/>
            </w:tcBorders>
            <w:shd w:val="clear" w:color="auto" w:fill="CCEEFF"/>
          </w:tcPr>
          <w:p>
            <w:pPr>
              <w:ind w:left="6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3"/>
            <w:shd w:val="clear" w:color="auto" w:fill="CCEEFF"/>
          </w:tcPr>
          <w:p>
            <w:pPr>
              <w:ind w:left="6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80" w:type="dxa"/>
            <w:vAlign w:val="bottom"/>
            <w:gridSpan w:val="2"/>
            <w:shd w:val="clear" w:color="auto" w:fill="CCEEFF"/>
          </w:tcPr>
          <w:p>
            <w:pPr>
              <w:ind w:left="6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8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1,464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CEEFF"/>
          </w:tcPr>
          <w:p>
            <w:pPr>
              <w:ind w:left="66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265</w:t>
            </w:r>
          </w:p>
        </w:tc>
        <w:tc>
          <w:tcPr>
            <w:tcW w:w="0" w:type="dxa"/>
            <w:vAlign w:val="bottom"/>
          </w:tcPr>
          <w:p>
            <w:pPr>
              <w:spacing w:after="0"/>
              <w:rPr>
                <w:sz w:val="1"/>
                <w:szCs w:val="1"/>
                <w:color w:val="auto"/>
              </w:rPr>
            </w:pPr>
          </w:p>
        </w:tc>
      </w:tr>
      <w:tr>
        <w:trPr>
          <w:trHeight w:val="149"/>
        </w:trPr>
        <w:tc>
          <w:tcPr>
            <w:tcW w:w="2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735</w:t>
            </w:r>
          </w:p>
        </w:tc>
        <w:tc>
          <w:tcPr>
            <w:tcW w:w="12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20" w:type="dxa"/>
            <w:vAlign w:val="bottom"/>
          </w:tcPr>
          <w:p>
            <w:pPr>
              <w:ind w:left="6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20" w:type="dxa"/>
            <w:vAlign w:val="bottom"/>
            <w:gridSpan w:val="3"/>
          </w:tcPr>
          <w:p>
            <w:pPr>
              <w:ind w:left="6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ind w:left="640"/>
              <w:spacing w:after="0" w:line="149" w:lineRule="exact"/>
              <w:rPr>
                <w:sz w:val="20"/>
                <w:szCs w:val="20"/>
                <w:color w:val="auto"/>
              </w:rPr>
            </w:pPr>
            <w:r>
              <w:rPr>
                <w:rFonts w:ascii="Times New Roman" w:cs="Times New Roman" w:eastAsia="Times New Roman" w:hAnsi="Times New Roman"/>
                <w:sz w:val="14"/>
                <w:szCs w:val="14"/>
                <w:color w:val="auto"/>
              </w:rPr>
              <w:t>23</w:t>
            </w:r>
          </w:p>
        </w:tc>
        <w:tc>
          <w:tcPr>
            <w:tcW w:w="1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764</w:t>
            </w:r>
          </w:p>
        </w:tc>
        <w:tc>
          <w:tcPr>
            <w:tcW w:w="100" w:type="dxa"/>
            <w:vAlign w:val="bottom"/>
          </w:tcPr>
          <w:p>
            <w:pPr>
              <w:spacing w:after="0"/>
              <w:rPr>
                <w:sz w:val="12"/>
                <w:szCs w:val="12"/>
                <w:color w:val="auto"/>
              </w:rPr>
            </w:pPr>
          </w:p>
        </w:tc>
        <w:tc>
          <w:tcPr>
            <w:tcW w:w="800" w:type="dxa"/>
            <w:vAlign w:val="bottom"/>
          </w:tcPr>
          <w:p>
            <w:pPr>
              <w:ind w:left="66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140</w:t>
            </w:r>
          </w:p>
        </w:tc>
        <w:tc>
          <w:tcPr>
            <w:tcW w:w="0" w:type="dxa"/>
            <w:vAlign w:val="bottom"/>
          </w:tcPr>
          <w:p>
            <w:pPr>
              <w:spacing w:after="0"/>
              <w:rPr>
                <w:sz w:val="1"/>
                <w:szCs w:val="1"/>
                <w:color w:val="auto"/>
              </w:rPr>
            </w:pPr>
          </w:p>
        </w:tc>
      </w:tr>
      <w:tr>
        <w:trPr>
          <w:trHeight w:val="149"/>
        </w:trPr>
        <w:tc>
          <w:tcPr>
            <w:tcW w:w="208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980" w:type="dxa"/>
            <w:vAlign w:val="bottom"/>
            <w:tcBorders>
              <w:right w:val="single" w:sz="8" w:color="CCEEFF"/>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238</w:t>
            </w: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20" w:type="dxa"/>
            <w:vAlign w:val="bottom"/>
            <w:tcBorders>
              <w:right w:val="single" w:sz="8" w:color="CCEEFF"/>
            </w:tcBorders>
            <w:shd w:val="clear" w:color="auto" w:fill="CCEEFF"/>
          </w:tcPr>
          <w:p>
            <w:pPr>
              <w:ind w:left="6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ind w:left="6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ind w:left="6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240</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ind w:left="66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149"/>
        </w:trPr>
        <w:tc>
          <w:tcPr>
            <w:tcW w:w="2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238</w:t>
            </w:r>
          </w:p>
        </w:tc>
        <w:tc>
          <w:tcPr>
            <w:tcW w:w="12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20" w:type="dxa"/>
            <w:vAlign w:val="bottom"/>
          </w:tcPr>
          <w:p>
            <w:pPr>
              <w:ind w:left="6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20" w:type="dxa"/>
            <w:vAlign w:val="bottom"/>
            <w:gridSpan w:val="3"/>
          </w:tcPr>
          <w:p>
            <w:pPr>
              <w:ind w:left="6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ind w:left="6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240</w:t>
            </w:r>
          </w:p>
        </w:tc>
        <w:tc>
          <w:tcPr>
            <w:tcW w:w="100" w:type="dxa"/>
            <w:vAlign w:val="bottom"/>
          </w:tcPr>
          <w:p>
            <w:pPr>
              <w:spacing w:after="0"/>
              <w:rPr>
                <w:sz w:val="12"/>
                <w:szCs w:val="12"/>
                <w:color w:val="auto"/>
              </w:rPr>
            </w:pPr>
          </w:p>
        </w:tc>
        <w:tc>
          <w:tcPr>
            <w:tcW w:w="800" w:type="dxa"/>
            <w:vAlign w:val="bottom"/>
          </w:tcPr>
          <w:p>
            <w:pPr>
              <w:ind w:left="66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149"/>
        </w:trPr>
        <w:tc>
          <w:tcPr>
            <w:tcW w:w="208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980" w:type="dxa"/>
            <w:vAlign w:val="bottom"/>
            <w:tcBorders>
              <w:right w:val="single" w:sz="8" w:color="CCEEFF"/>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714</w:t>
            </w: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20" w:type="dxa"/>
            <w:vAlign w:val="bottom"/>
            <w:tcBorders>
              <w:right w:val="single" w:sz="8" w:color="CCEEFF"/>
            </w:tcBorders>
            <w:shd w:val="clear" w:color="auto" w:fill="CCEEFF"/>
          </w:tcPr>
          <w:p>
            <w:pPr>
              <w:ind w:left="6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ind w:left="6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ind w:left="6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721</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ind w:left="66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104</w:t>
            </w:r>
          </w:p>
        </w:tc>
        <w:tc>
          <w:tcPr>
            <w:tcW w:w="0" w:type="dxa"/>
            <w:vAlign w:val="bottom"/>
          </w:tcPr>
          <w:p>
            <w:pPr>
              <w:spacing w:after="0"/>
              <w:rPr>
                <w:sz w:val="1"/>
                <w:szCs w:val="1"/>
                <w:color w:val="auto"/>
              </w:rPr>
            </w:pPr>
          </w:p>
        </w:tc>
      </w:tr>
      <w:tr>
        <w:trPr>
          <w:trHeight w:val="149"/>
        </w:trPr>
        <w:tc>
          <w:tcPr>
            <w:tcW w:w="2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300</w:t>
            </w:r>
          </w:p>
        </w:tc>
        <w:tc>
          <w:tcPr>
            <w:tcW w:w="120" w:type="dxa"/>
            <w:vAlign w:val="bottom"/>
          </w:tcPr>
          <w:p>
            <w:pPr>
              <w:spacing w:after="0"/>
              <w:rPr>
                <w:sz w:val="12"/>
                <w:szCs w:val="12"/>
                <w:color w:val="auto"/>
              </w:rPr>
            </w:pPr>
          </w:p>
        </w:tc>
        <w:tc>
          <w:tcPr>
            <w:tcW w:w="920" w:type="dxa"/>
            <w:vAlign w:val="bottom"/>
          </w:tcPr>
          <w:p>
            <w:pPr>
              <w:ind w:left="6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20" w:type="dxa"/>
            <w:vAlign w:val="bottom"/>
            <w:gridSpan w:val="3"/>
          </w:tcPr>
          <w:p>
            <w:pPr>
              <w:ind w:left="6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ind w:left="6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289</w:t>
            </w:r>
          </w:p>
        </w:tc>
        <w:tc>
          <w:tcPr>
            <w:tcW w:w="100" w:type="dxa"/>
            <w:vAlign w:val="bottom"/>
          </w:tcPr>
          <w:p>
            <w:pPr>
              <w:spacing w:after="0"/>
              <w:rPr>
                <w:sz w:val="12"/>
                <w:szCs w:val="12"/>
                <w:color w:val="auto"/>
              </w:rPr>
            </w:pPr>
          </w:p>
        </w:tc>
        <w:tc>
          <w:tcPr>
            <w:tcW w:w="800" w:type="dxa"/>
            <w:vAlign w:val="bottom"/>
          </w:tcPr>
          <w:p>
            <w:pPr>
              <w:ind w:left="66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49"/>
        </w:trPr>
        <w:tc>
          <w:tcPr>
            <w:tcW w:w="208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980" w:type="dxa"/>
            <w:vAlign w:val="bottom"/>
            <w:tcBorders>
              <w:right w:val="single" w:sz="8" w:color="CCEEFF"/>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200</w:t>
            </w:r>
          </w:p>
        </w:tc>
        <w:tc>
          <w:tcPr>
            <w:tcW w:w="120" w:type="dxa"/>
            <w:vAlign w:val="bottom"/>
            <w:shd w:val="clear" w:color="auto" w:fill="CCEEFF"/>
          </w:tcPr>
          <w:p>
            <w:pPr>
              <w:spacing w:after="0"/>
              <w:rPr>
                <w:sz w:val="12"/>
                <w:szCs w:val="12"/>
                <w:color w:val="auto"/>
              </w:rPr>
            </w:pPr>
          </w:p>
        </w:tc>
        <w:tc>
          <w:tcPr>
            <w:tcW w:w="920" w:type="dxa"/>
            <w:vAlign w:val="bottom"/>
            <w:tcBorders>
              <w:right w:val="single" w:sz="8" w:color="CCEEFF"/>
            </w:tcBorders>
            <w:shd w:val="clear" w:color="auto" w:fill="CCEEFF"/>
          </w:tcPr>
          <w:p>
            <w:pPr>
              <w:ind w:left="6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ind w:left="6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ind w:left="6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(8)</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192</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ind w:left="66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49"/>
        </w:trPr>
        <w:tc>
          <w:tcPr>
            <w:tcW w:w="2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125</w:t>
            </w:r>
          </w:p>
        </w:tc>
        <w:tc>
          <w:tcPr>
            <w:tcW w:w="12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20" w:type="dxa"/>
            <w:vAlign w:val="bottom"/>
          </w:tcPr>
          <w:p>
            <w:pPr>
              <w:ind w:left="6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20" w:type="dxa"/>
            <w:vAlign w:val="bottom"/>
            <w:gridSpan w:val="3"/>
          </w:tcPr>
          <w:p>
            <w:pPr>
              <w:ind w:left="6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ind w:left="6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(50)</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75</w:t>
            </w:r>
          </w:p>
        </w:tc>
        <w:tc>
          <w:tcPr>
            <w:tcW w:w="100" w:type="dxa"/>
            <w:vAlign w:val="bottom"/>
          </w:tcPr>
          <w:p>
            <w:pPr>
              <w:spacing w:after="0"/>
              <w:rPr>
                <w:sz w:val="12"/>
                <w:szCs w:val="12"/>
                <w:color w:val="auto"/>
              </w:rPr>
            </w:pPr>
          </w:p>
        </w:tc>
        <w:tc>
          <w:tcPr>
            <w:tcW w:w="800" w:type="dxa"/>
            <w:vAlign w:val="bottom"/>
          </w:tcPr>
          <w:p>
            <w:pPr>
              <w:ind w:left="66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StereoVision, Inc.</w:t>
            </w:r>
          </w:p>
        </w:tc>
        <w:tc>
          <w:tcPr>
            <w:tcW w:w="180" w:type="dxa"/>
            <w:vAlign w:val="bottom"/>
            <w:tcBorders>
              <w:right w:val="single" w:sz="8" w:color="CCEEFF"/>
            </w:tcBorders>
            <w:shd w:val="clear" w:color="auto" w:fill="CCEEFF"/>
          </w:tcPr>
          <w:p>
            <w:pPr>
              <w:spacing w:after="0"/>
              <w:rPr>
                <w:sz w:val="12"/>
                <w:szCs w:val="12"/>
                <w:color w:val="auto"/>
              </w:rPr>
            </w:pPr>
          </w:p>
        </w:tc>
        <w:tc>
          <w:tcPr>
            <w:tcW w:w="980" w:type="dxa"/>
            <w:vAlign w:val="bottom"/>
            <w:tcBorders>
              <w:right w:val="single" w:sz="8" w:color="CCEEFF"/>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2,798</w:t>
            </w:r>
          </w:p>
        </w:tc>
        <w:tc>
          <w:tcPr>
            <w:tcW w:w="120" w:type="dxa"/>
            <w:vAlign w:val="bottom"/>
            <w:shd w:val="clear" w:color="auto" w:fill="CCEEFF"/>
          </w:tcPr>
          <w:p>
            <w:pPr>
              <w:spacing w:after="0"/>
              <w:rPr>
                <w:sz w:val="12"/>
                <w:szCs w:val="12"/>
                <w:color w:val="auto"/>
              </w:rPr>
            </w:pPr>
          </w:p>
        </w:tc>
        <w:tc>
          <w:tcPr>
            <w:tcW w:w="920" w:type="dxa"/>
            <w:vAlign w:val="bottom"/>
            <w:tcBorders>
              <w:right w:val="single" w:sz="8" w:color="CCEEFF"/>
            </w:tcBorders>
            <w:shd w:val="clear" w:color="auto" w:fill="CCEEFF"/>
          </w:tcPr>
          <w:p>
            <w:pPr>
              <w:ind w:left="6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ind w:left="6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ind w:left="6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2,798</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ind w:left="66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119</w:t>
            </w:r>
          </w:p>
        </w:tc>
        <w:tc>
          <w:tcPr>
            <w:tcW w:w="0" w:type="dxa"/>
            <w:vAlign w:val="bottom"/>
          </w:tcPr>
          <w:p>
            <w:pPr>
              <w:spacing w:after="0"/>
              <w:rPr>
                <w:sz w:val="1"/>
                <w:szCs w:val="1"/>
                <w:color w:val="auto"/>
              </w:rPr>
            </w:pPr>
          </w:p>
        </w:tc>
      </w:tr>
      <w:tr>
        <w:trPr>
          <w:trHeight w:val="162"/>
        </w:trPr>
        <w:tc>
          <w:tcPr>
            <w:tcW w:w="2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791</w:t>
            </w:r>
          </w:p>
        </w:tc>
        <w:tc>
          <w:tcPr>
            <w:tcW w:w="120" w:type="dxa"/>
            <w:vAlign w:val="bottom"/>
          </w:tcPr>
          <w:p>
            <w:pPr>
              <w:spacing w:after="0"/>
              <w:rPr>
                <w:sz w:val="14"/>
                <w:szCs w:val="14"/>
                <w:color w:val="auto"/>
              </w:rPr>
            </w:pPr>
          </w:p>
        </w:tc>
        <w:tc>
          <w:tcPr>
            <w:tcW w:w="92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020" w:type="dxa"/>
            <w:vAlign w:val="bottom"/>
            <w:gridSpan w:val="3"/>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791</w:t>
            </w:r>
          </w:p>
        </w:tc>
        <w:tc>
          <w:tcPr>
            <w:tcW w:w="100" w:type="dxa"/>
            <w:vAlign w:val="bottom"/>
          </w:tcPr>
          <w:p>
            <w:pPr>
              <w:spacing w:after="0"/>
              <w:rPr>
                <w:sz w:val="14"/>
                <w:szCs w:val="14"/>
                <w:color w:val="auto"/>
              </w:rPr>
            </w:pPr>
          </w:p>
        </w:tc>
        <w:tc>
          <w:tcPr>
            <w:tcW w:w="800" w:type="dxa"/>
            <w:vAlign w:val="bottom"/>
          </w:tcPr>
          <w:p>
            <w:pPr>
              <w:ind w:left="660"/>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208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98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gridSpan w:val="2"/>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non-controlled affiliates</w:t>
            </w:r>
          </w:p>
        </w:tc>
        <w:tc>
          <w:tcPr>
            <w:tcW w:w="1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right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3,499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4,089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right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23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4"/>
            <w:shd w:val="clear" w:color="auto" w:fill="CCEEFF"/>
          </w:tcPr>
          <w:p>
            <w:pPr>
              <w:jc w:val="right"/>
              <w:ind w:right="48"/>
              <w:spacing w:after="0" w:line="210" w:lineRule="exact"/>
              <w:rPr>
                <w:sz w:val="20"/>
                <w:szCs w:val="20"/>
                <w:color w:val="auto"/>
              </w:rPr>
            </w:pPr>
            <w:r>
              <w:rPr>
                <w:rFonts w:ascii="Times New Roman" w:cs="Times New Roman" w:eastAsia="Times New Roman" w:hAnsi="Times New Roman"/>
                <w:sz w:val="13"/>
                <w:szCs w:val="13"/>
                <w:color w:val="auto"/>
              </w:rPr>
              <w:t>(37</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3"/>
                <w:szCs w:val="13"/>
                <w:color w:val="auto"/>
              </w:rPr>
              <w:t xml:space="preserve"> $</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7,574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725</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A controlled affiliated company is generally a portfolio company in which the Company owns more than 25% of such portfolio company’s voting securities or has the power to exercise control over management or policies of such portfolio company (including through a management agreement). Transactions related to investments in controlled affiliated companies for the nine months ended September 30, 2019 were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11"/>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 2019</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100" w:type="dxa"/>
            <w:vAlign w:val="bottom"/>
          </w:tcPr>
          <w:p>
            <w:pPr>
              <w:spacing w:after="0"/>
              <w:rPr>
                <w:sz w:val="16"/>
                <w:szCs w:val="16"/>
                <w:color w:val="auto"/>
              </w:rPr>
            </w:pPr>
          </w:p>
        </w:tc>
        <w:tc>
          <w:tcPr>
            <w:tcW w:w="9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Net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7"/>
        </w:trPr>
        <w:tc>
          <w:tcPr>
            <w:tcW w:w="2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Portfolio</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Transfers</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Dividends</w:t>
            </w:r>
          </w:p>
        </w:tc>
        <w:tc>
          <w:tcPr>
            <w:tcW w:w="140" w:type="dxa"/>
            <w:vAlign w:val="bottom"/>
          </w:tcPr>
          <w:p>
            <w:pPr>
              <w:spacing w:after="0"/>
              <w:rPr>
                <w:sz w:val="10"/>
                <w:szCs w:val="10"/>
                <w:color w:val="auto"/>
              </w:rPr>
            </w:pPr>
          </w:p>
        </w:tc>
        <w:tc>
          <w:tcPr>
            <w:tcW w:w="780" w:type="dxa"/>
            <w:vAlign w:val="bottom"/>
          </w:tcPr>
          <w:p>
            <w:pPr>
              <w:jc w:val="center"/>
              <w:ind w:right="69"/>
              <w:spacing w:after="0" w:line="118" w:lineRule="exact"/>
              <w:rPr>
                <w:sz w:val="20"/>
                <w:szCs w:val="20"/>
                <w:color w:val="auto"/>
              </w:rPr>
            </w:pPr>
            <w:r>
              <w:rPr>
                <w:rFonts w:ascii="Times New Roman" w:cs="Times New Roman" w:eastAsia="Times New Roman" w:hAnsi="Times New Roman"/>
                <w:sz w:val="13"/>
                <w:szCs w:val="13"/>
                <w:b w:val="1"/>
                <w:bCs w:val="1"/>
                <w:color w:val="auto"/>
              </w:rPr>
              <w:t>Net</w:t>
            </w:r>
          </w:p>
        </w:tc>
        <w:tc>
          <w:tcPr>
            <w:tcW w:w="100" w:type="dxa"/>
            <w:vAlign w:val="bottom"/>
          </w:tcPr>
          <w:p>
            <w:pPr>
              <w:spacing w:after="0"/>
              <w:rPr>
                <w:sz w:val="10"/>
                <w:szCs w:val="10"/>
                <w:color w:val="auto"/>
              </w:rPr>
            </w:pPr>
          </w:p>
        </w:tc>
        <w:tc>
          <w:tcPr>
            <w:tcW w:w="102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Dividend</w:t>
            </w:r>
          </w:p>
        </w:tc>
        <w:tc>
          <w:tcPr>
            <w:tcW w:w="0" w:type="dxa"/>
            <w:vAlign w:val="bottom"/>
          </w:tcPr>
          <w:p>
            <w:pPr>
              <w:spacing w:after="0"/>
              <w:rPr>
                <w:sz w:val="1"/>
                <w:szCs w:val="1"/>
                <w:color w:val="auto"/>
              </w:rPr>
            </w:pPr>
          </w:p>
        </w:tc>
      </w:tr>
      <w:tr>
        <w:trPr>
          <w:trHeight w:val="149"/>
        </w:trPr>
        <w:tc>
          <w:tcPr>
            <w:tcW w:w="20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Purchases</w:t>
            </w:r>
          </w:p>
        </w:tc>
        <w:tc>
          <w:tcPr>
            <w:tcW w:w="1160" w:type="dxa"/>
            <w:vAlign w:val="bottom"/>
            <w:gridSpan w:val="4"/>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Distributions</w:t>
            </w:r>
          </w:p>
        </w:tc>
        <w:tc>
          <w:tcPr>
            <w:tcW w:w="6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in/(out) at</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center"/>
              <w:ind w:right="199"/>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02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realized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160" w:type="dxa"/>
            <w:vAlign w:val="bottom"/>
            <w:gridSpan w:val="4"/>
            <w:vMerge w:val="continue"/>
          </w:tcPr>
          <w:p>
            <w:pPr>
              <w:spacing w:after="0"/>
              <w:rPr>
                <w:sz w:val="15"/>
                <w:szCs w:val="15"/>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declared</w:t>
            </w:r>
          </w:p>
        </w:tc>
        <w:tc>
          <w:tcPr>
            <w:tcW w:w="140" w:type="dxa"/>
            <w:vAlign w:val="bottom"/>
          </w:tcPr>
          <w:p>
            <w:pPr>
              <w:spacing w:after="0"/>
              <w:rPr>
                <w:sz w:val="15"/>
                <w:szCs w:val="15"/>
                <w:color w:val="auto"/>
              </w:rPr>
            </w:pPr>
          </w:p>
        </w:tc>
        <w:tc>
          <w:tcPr>
            <w:tcW w:w="880" w:type="dxa"/>
            <w:vAlign w:val="bottom"/>
            <w:gridSpan w:val="2"/>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gain/(loss)</w:t>
            </w:r>
          </w:p>
        </w:tc>
        <w:tc>
          <w:tcPr>
            <w:tcW w:w="200" w:type="dxa"/>
            <w:vAlign w:val="bottom"/>
          </w:tcPr>
          <w:p>
            <w:pPr>
              <w:spacing w:after="0"/>
              <w:rPr>
                <w:sz w:val="15"/>
                <w:szCs w:val="15"/>
                <w:color w:val="auto"/>
              </w:rPr>
            </w:pPr>
          </w:p>
        </w:tc>
        <w:tc>
          <w:tcPr>
            <w:tcW w:w="70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gain/(loss)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0" w:type="dxa"/>
            <w:vAlign w:val="bottom"/>
          </w:tcPr>
          <w:p>
            <w:pPr>
              <w:spacing w:after="0"/>
              <w:rPr>
                <w:sz w:val="1"/>
                <w:szCs w:val="1"/>
                <w:color w:val="auto"/>
              </w:rPr>
            </w:pPr>
          </w:p>
        </w:tc>
      </w:tr>
      <w:tr>
        <w:trPr>
          <w:trHeight w:val="142"/>
        </w:trPr>
        <w:tc>
          <w:tcPr>
            <w:tcW w:w="20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4"/>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8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4"/>
                <w:szCs w:val="14"/>
                <w:color w:val="auto"/>
              </w:rPr>
              <w:t>HSLFI</w:t>
            </w:r>
            <w:r>
              <w:rPr>
                <w:rFonts w:ascii="Times New Roman" w:cs="Times New Roman" w:eastAsia="Times New Roman" w:hAnsi="Times New Roman"/>
                <w:sz w:val="23"/>
                <w:szCs w:val="23"/>
                <w:color w:val="auto"/>
                <w:vertAlign w:val="superscript"/>
              </w:rPr>
              <w:t>(1)</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13,243</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589</w:t>
            </w:r>
          </w:p>
        </w:tc>
        <w:tc>
          <w:tcPr>
            <w:tcW w:w="38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(715) $</w:t>
            </w:r>
          </w:p>
        </w:tc>
        <w:tc>
          <w:tcPr>
            <w:tcW w:w="640" w:type="dxa"/>
            <w:vAlign w:val="bottom"/>
            <w:shd w:val="clear" w:color="auto" w:fill="CCEEFF"/>
          </w:tcPr>
          <w:p>
            <w:pPr>
              <w:spacing w:after="0"/>
              <w:rPr>
                <w:sz w:val="17"/>
                <w:szCs w:val="17"/>
                <w:color w:val="auto"/>
              </w:rPr>
            </w:pP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1,223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3"/>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(17) $</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14,323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1,223</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Total controlled affiliates</w:t>
            </w:r>
          </w:p>
        </w:tc>
        <w:tc>
          <w:tcPr>
            <w:tcW w:w="12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tcPr>
          <w:p>
            <w:pPr>
              <w:ind w:left="480"/>
              <w:spacing w:after="0" w:line="155" w:lineRule="exact"/>
              <w:rPr>
                <w:sz w:val="20"/>
                <w:szCs w:val="20"/>
                <w:color w:val="auto"/>
              </w:rPr>
            </w:pPr>
            <w:r>
              <w:rPr>
                <w:rFonts w:ascii="Times New Roman" w:cs="Times New Roman" w:eastAsia="Times New Roman" w:hAnsi="Times New Roman"/>
                <w:sz w:val="14"/>
                <w:szCs w:val="14"/>
                <w:color w:val="auto"/>
                <w:w w:val="93"/>
              </w:rPr>
              <w:t>13,243</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589</w:t>
            </w:r>
          </w:p>
        </w:tc>
        <w:tc>
          <w:tcPr>
            <w:tcW w:w="120" w:type="dxa"/>
            <w:vAlign w:val="bottom"/>
          </w:tcPr>
          <w:p>
            <w:pPr>
              <w:spacing w:after="0"/>
              <w:rPr>
                <w:sz w:val="13"/>
                <w:szCs w:val="13"/>
                <w:color w:val="auto"/>
              </w:rPr>
            </w:pPr>
          </w:p>
        </w:tc>
        <w:tc>
          <w:tcPr>
            <w:tcW w:w="380" w:type="dxa"/>
            <w:vAlign w:val="bottom"/>
            <w:tcBorders>
              <w:top w:val="single" w:sz="8" w:color="auto"/>
              <w:bottom w:val="single" w:sz="8" w:color="auto"/>
            </w:tcBorders>
          </w:tcPr>
          <w:p>
            <w:pPr>
              <w:jc w:val="right"/>
              <w:ind w:right="2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(715</w:t>
            </w:r>
          </w:p>
        </w:tc>
        <w:tc>
          <w:tcPr>
            <w:tcW w:w="100" w:type="dxa"/>
            <w:vAlign w:val="bottom"/>
          </w:tcPr>
          <w:p>
            <w:pPr>
              <w:jc w:val="right"/>
              <w:ind w:right="19"/>
              <w:spacing w:after="0"/>
              <w:rPr>
                <w:sz w:val="20"/>
                <w:szCs w:val="20"/>
                <w:color w:val="auto"/>
              </w:rPr>
            </w:pPr>
            <w:r>
              <w:rPr>
                <w:rFonts w:ascii="Times New Roman" w:cs="Times New Roman" w:eastAsia="Times New Roman" w:hAnsi="Times New Roman"/>
                <w:sz w:val="8"/>
                <w:szCs w:val="8"/>
                <w:color w:val="auto"/>
                <w:w w:val="73"/>
              </w:rPr>
              <w:t>)</w:t>
            </w: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1,223</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jc w:val="right"/>
              <w:ind w:right="19"/>
              <w:spacing w:after="0"/>
              <w:rPr>
                <w:sz w:val="20"/>
                <w:szCs w:val="20"/>
                <w:color w:val="auto"/>
              </w:rPr>
            </w:pPr>
            <w:r>
              <w:rPr>
                <w:rFonts w:ascii="Times New Roman" w:cs="Times New Roman" w:eastAsia="Times New Roman" w:hAnsi="Times New Roman"/>
                <w:sz w:val="8"/>
                <w:szCs w:val="8"/>
                <w:color w:val="auto"/>
                <w:w w:val="73"/>
              </w:rPr>
              <w:t>)</w:t>
            </w:r>
          </w:p>
        </w:tc>
        <w:tc>
          <w:tcPr>
            <w:tcW w:w="200" w:type="dxa"/>
            <w:vAlign w:val="bottom"/>
            <w:tcBorders>
              <w:top w:val="single" w:sz="8" w:color="auto"/>
              <w:bottom w:val="single" w:sz="8" w:color="auto"/>
            </w:tcBorders>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14,323</w:t>
            </w:r>
          </w:p>
        </w:tc>
        <w:tc>
          <w:tcPr>
            <w:tcW w:w="12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tcPr>
          <w:p>
            <w:pPr>
              <w:ind w:left="660"/>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1,223</w:t>
            </w:r>
          </w:p>
        </w:tc>
        <w:tc>
          <w:tcPr>
            <w:tcW w:w="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1513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715135" cy="8890"/>
                    </a:xfrm>
                    <a:prstGeom prst="rect">
                      <a:avLst/>
                    </a:prstGeom>
                    <a:noFill/>
                  </pic:spPr>
                </pic:pic>
              </a:graphicData>
            </a:graphic>
          </wp:anchor>
        </w:drawing>
      </w:r>
    </w:p>
    <w:p>
      <w:pPr>
        <w:spacing w:after="0" w:line="200" w:lineRule="exact"/>
        <w:rPr>
          <w:sz w:val="20"/>
          <w:szCs w:val="20"/>
          <w:color w:val="auto"/>
        </w:rPr>
      </w:pPr>
    </w:p>
    <w:p>
      <w:pPr>
        <w:jc w:val="both"/>
        <w:ind w:left="340" w:hanging="332"/>
        <w:spacing w:after="0" w:line="236" w:lineRule="auto"/>
        <w:tabs>
          <w:tab w:leader="none" w:pos="3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and Arena are the members of HSLFI, a joint venture formed as a Delaware limited liability company that is not consolidated by either member for financial reporting purposes. The members provide cash or securities in portfolio companies to HSLFI in exchange for limited liability company equity interests. All HSLFI investment decisions require unanimous approval of a quorum of HSLFI’s board of managers, which consists of two representatives of the Company and Arena. Because management of HSLFI is shared equally between the Company and Arena, the Company does not have sole control over significant actions of HSLFI for purposes of the 1940 Act or otherwise.</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Transactions related to investments in controlled affiliated companies for the year ended December 31, 2018 were as follows: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8"/>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Year ended December 31, 2018</w:t>
            </w: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100" w:type="dxa"/>
            <w:vAlign w:val="bottom"/>
          </w:tcPr>
          <w:p>
            <w:pPr>
              <w:spacing w:after="0"/>
              <w:rPr>
                <w:sz w:val="15"/>
                <w:szCs w:val="15"/>
                <w:color w:val="auto"/>
              </w:rPr>
            </w:pPr>
          </w:p>
        </w:tc>
        <w:tc>
          <w:tcPr>
            <w:tcW w:w="9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Net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Portfolio</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Transfers</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Dividends</w:t>
            </w:r>
          </w:p>
        </w:tc>
        <w:tc>
          <w:tcPr>
            <w:tcW w:w="100" w:type="dxa"/>
            <w:vAlign w:val="bottom"/>
          </w:tcPr>
          <w:p>
            <w:pPr>
              <w:spacing w:after="0"/>
              <w:rPr>
                <w:sz w:val="10"/>
                <w:szCs w:val="10"/>
                <w:color w:val="auto"/>
              </w:rPr>
            </w:pPr>
          </w:p>
        </w:tc>
        <w:tc>
          <w:tcPr>
            <w:tcW w:w="820" w:type="dxa"/>
            <w:vAlign w:val="bottom"/>
          </w:tcPr>
          <w:p>
            <w:pPr>
              <w:jc w:val="center"/>
              <w:ind w:right="29"/>
              <w:spacing w:after="0" w:line="118" w:lineRule="exact"/>
              <w:rPr>
                <w:sz w:val="20"/>
                <w:szCs w:val="20"/>
                <w:color w:val="auto"/>
              </w:rPr>
            </w:pPr>
            <w:r>
              <w:rPr>
                <w:rFonts w:ascii="Times New Roman" w:cs="Times New Roman" w:eastAsia="Times New Roman" w:hAnsi="Times New Roman"/>
                <w:sz w:val="13"/>
                <w:szCs w:val="13"/>
                <w:b w:val="1"/>
                <w:bCs w:val="1"/>
                <w:color w:val="auto"/>
              </w:rPr>
              <w:t>Net</w:t>
            </w:r>
          </w:p>
        </w:tc>
        <w:tc>
          <w:tcPr>
            <w:tcW w:w="100" w:type="dxa"/>
            <w:vAlign w:val="bottom"/>
          </w:tcPr>
          <w:p>
            <w:pPr>
              <w:spacing w:after="0"/>
              <w:rPr>
                <w:sz w:val="10"/>
                <w:szCs w:val="10"/>
                <w:color w:val="auto"/>
              </w:rPr>
            </w:pPr>
          </w:p>
        </w:tc>
        <w:tc>
          <w:tcPr>
            <w:tcW w:w="102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Dividend</w:t>
            </w:r>
          </w:p>
        </w:tc>
        <w:tc>
          <w:tcPr>
            <w:tcW w:w="0" w:type="dxa"/>
            <w:vAlign w:val="bottom"/>
          </w:tcPr>
          <w:p>
            <w:pPr>
              <w:spacing w:after="0"/>
              <w:rPr>
                <w:sz w:val="1"/>
                <w:szCs w:val="1"/>
                <w:color w:val="auto"/>
              </w:rPr>
            </w:pPr>
          </w:p>
        </w:tc>
      </w:tr>
      <w:tr>
        <w:trPr>
          <w:trHeight w:val="149"/>
        </w:trPr>
        <w:tc>
          <w:tcPr>
            <w:tcW w:w="20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Purchases</w:t>
            </w:r>
          </w:p>
        </w:tc>
        <w:tc>
          <w:tcPr>
            <w:tcW w:w="1140" w:type="dxa"/>
            <w:vAlign w:val="bottom"/>
            <w:gridSpan w:val="4"/>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Distributions</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in/(out) at</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159"/>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02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realized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2017</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140" w:type="dxa"/>
            <w:vAlign w:val="bottom"/>
            <w:gridSpan w:val="4"/>
            <w:vMerge w:val="continue"/>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declared</w:t>
            </w:r>
          </w:p>
        </w:tc>
        <w:tc>
          <w:tcPr>
            <w:tcW w:w="100" w:type="dxa"/>
            <w:vAlign w:val="bottom"/>
          </w:tcPr>
          <w:p>
            <w:pPr>
              <w:spacing w:after="0"/>
              <w:rPr>
                <w:sz w:val="15"/>
                <w:szCs w:val="15"/>
                <w:color w:val="auto"/>
              </w:rPr>
            </w:pPr>
          </w:p>
        </w:tc>
        <w:tc>
          <w:tcPr>
            <w:tcW w:w="920" w:type="dxa"/>
            <w:vAlign w:val="bottom"/>
            <w:gridSpan w:val="2"/>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gain/(loss)</w:t>
            </w:r>
          </w:p>
        </w:tc>
        <w:tc>
          <w:tcPr>
            <w:tcW w:w="200" w:type="dxa"/>
            <w:vAlign w:val="bottom"/>
          </w:tcPr>
          <w:p>
            <w:pPr>
              <w:spacing w:after="0"/>
              <w:rPr>
                <w:sz w:val="15"/>
                <w:szCs w:val="15"/>
                <w:color w:val="auto"/>
              </w:rPr>
            </w:pPr>
          </w:p>
        </w:tc>
        <w:tc>
          <w:tcPr>
            <w:tcW w:w="70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gain/(loss)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0" w:type="dxa"/>
            <w:vAlign w:val="bottom"/>
          </w:tcPr>
          <w:p>
            <w:pPr>
              <w:spacing w:after="0"/>
              <w:rPr>
                <w:sz w:val="1"/>
                <w:szCs w:val="1"/>
                <w:color w:val="auto"/>
              </w:rPr>
            </w:pPr>
          </w:p>
        </w:tc>
      </w:tr>
      <w:tr>
        <w:trPr>
          <w:trHeight w:val="142"/>
        </w:trPr>
        <w:tc>
          <w:tcPr>
            <w:tcW w:w="20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4"/>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8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4"/>
                <w:szCs w:val="14"/>
                <w:color w:val="auto"/>
              </w:rPr>
              <w:t>HSLFI</w:t>
            </w:r>
            <w:r>
              <w:rPr>
                <w:rFonts w:ascii="Times New Roman" w:cs="Times New Roman" w:eastAsia="Times New Roman" w:hAnsi="Times New Roman"/>
                <w:sz w:val="23"/>
                <w:szCs w:val="23"/>
                <w:color w:val="auto"/>
                <w:vertAlign w:val="superscript"/>
              </w:rPr>
              <w:t>(1)</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13,262</w:t>
            </w:r>
          </w:p>
        </w:tc>
        <w:tc>
          <w:tcPr>
            <w:tcW w:w="38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 $</w:t>
            </w:r>
          </w:p>
        </w:tc>
        <w:tc>
          <w:tcPr>
            <w:tcW w:w="660" w:type="dxa"/>
            <w:vAlign w:val="bottom"/>
            <w:shd w:val="clear" w:color="auto" w:fill="CCEEFF"/>
          </w:tcPr>
          <w:p>
            <w:pPr>
              <w:spacing w:after="0"/>
              <w:rPr>
                <w:sz w:val="17"/>
                <w:szCs w:val="17"/>
                <w:color w:val="auto"/>
              </w:rPr>
            </w:pP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255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3"/>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(19) $</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13,243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255</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Total controlled affiliates</w:t>
            </w:r>
          </w:p>
        </w:tc>
        <w:tc>
          <w:tcPr>
            <w:tcW w:w="12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tcPr>
          <w:p>
            <w:pPr>
              <w:ind w:left="720"/>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13,262</w:t>
            </w:r>
          </w:p>
        </w:tc>
        <w:tc>
          <w:tcPr>
            <w:tcW w:w="120" w:type="dxa"/>
            <w:vAlign w:val="bottom"/>
          </w:tcPr>
          <w:p>
            <w:pPr>
              <w:spacing w:after="0"/>
              <w:rPr>
                <w:sz w:val="13"/>
                <w:szCs w:val="13"/>
                <w:color w:val="auto"/>
              </w:rPr>
            </w:pPr>
          </w:p>
        </w:tc>
        <w:tc>
          <w:tcPr>
            <w:tcW w:w="380" w:type="dxa"/>
            <w:vAlign w:val="bottom"/>
            <w:tcBorders>
              <w:top w:val="single" w:sz="8" w:color="auto"/>
              <w:bottom w:val="single" w:sz="8" w:color="auto"/>
            </w:tcBorders>
          </w:tcPr>
          <w:p>
            <w:pPr>
              <w:jc w:val="right"/>
              <w:ind w:right="2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(255</w:t>
            </w:r>
          </w:p>
        </w:tc>
        <w:tc>
          <w:tcPr>
            <w:tcW w:w="100" w:type="dxa"/>
            <w:vAlign w:val="bottom"/>
          </w:tcPr>
          <w:p>
            <w:pPr>
              <w:jc w:val="right"/>
              <w:ind w:right="19"/>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255</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(19</w:t>
            </w:r>
          </w:p>
        </w:tc>
        <w:tc>
          <w:tcPr>
            <w:tcW w:w="100" w:type="dxa"/>
            <w:vAlign w:val="bottom"/>
          </w:tcPr>
          <w:p>
            <w:pPr>
              <w:jc w:val="right"/>
              <w:ind w:right="19"/>
              <w:spacing w:after="0"/>
              <w:rPr>
                <w:sz w:val="20"/>
                <w:szCs w:val="20"/>
                <w:color w:val="auto"/>
              </w:rPr>
            </w:pPr>
            <w:r>
              <w:rPr>
                <w:rFonts w:ascii="Times New Roman" w:cs="Times New Roman" w:eastAsia="Times New Roman" w:hAnsi="Times New Roman"/>
                <w:sz w:val="8"/>
                <w:szCs w:val="8"/>
                <w:color w:val="auto"/>
                <w:w w:val="73"/>
              </w:rPr>
              <w:t>)</w:t>
            </w:r>
          </w:p>
        </w:tc>
        <w:tc>
          <w:tcPr>
            <w:tcW w:w="200" w:type="dxa"/>
            <w:vAlign w:val="bottom"/>
            <w:tcBorders>
              <w:top w:val="single" w:sz="8" w:color="auto"/>
              <w:bottom w:val="single" w:sz="8" w:color="auto"/>
            </w:tcBorders>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13,243</w:t>
            </w:r>
          </w:p>
        </w:tc>
        <w:tc>
          <w:tcPr>
            <w:tcW w:w="12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tcPr>
          <w:p>
            <w:pPr>
              <w:ind w:left="660"/>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255</w:t>
            </w:r>
          </w:p>
        </w:tc>
        <w:tc>
          <w:tcPr>
            <w:tcW w:w="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171513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715135" cy="889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both"/>
        <w:ind w:left="340" w:hanging="332"/>
        <w:spacing w:after="0" w:line="236" w:lineRule="auto"/>
        <w:tabs>
          <w:tab w:leader="none" w:pos="3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and Arena are the members of HSLFI, a joint venture formed as a Delaware limited liability company that is not consolidated by either member for financial reporting purposes. The members provide cash or securities in portfolio companies to HSLFI in exchange for limited liability company equity interests. All HSLFI investment decisions require unanimous approval of a quorum of HSLFI’s board of managers, which consists of two representatives of the Company and Arena. Because management of HSLFI is shared equally between the Company and Arena, the Company does have sole control over significant actions of HSLFI for purposes of the 1940 Act or otherwise.</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Fair value</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uses fair value measurements to record fair value adjustments to certain assets and liabilities and to determine fair value disclosures. Fair value is the price that would be received to sell an asset or paid to transfer a liability in an orderly transaction between market participants at the measurement date. Fair value is best determined based upon quoted market prices. However, in certain instances, there are no quoted market prices for certain assets or liabilities. In cases where quoted market prices are not available, fair values are based on estimates using present value or other valuation techniques. Those techniques are significantly affected by the assumptions used, including the discount rate and estimates of future cash flows. Accordingly, the fair value estimates may not be realized in an immediate settlement of the asset or liability.</w:t>
      </w:r>
    </w:p>
    <w:p>
      <w:pPr>
        <w:spacing w:after="0" w:line="18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Fair value measurements focus on exit prices in an orderly transaction (that is, not a forced liquidation or distressed sale) between market participants at the measurement date under current market conditions. If there has been a significant decrease in the volume and level of activity for the asset or liability, a change in valuation technique or the use of multiple valuation techniques may be appropriate. In such instances, determining the price at which willing market participants would transact at the measurement date under current market conditions depends on the facts and circumstances and requires the use of significant judgment.</w:t>
      </w:r>
    </w:p>
    <w:p>
      <w:pPr>
        <w:spacing w:after="0" w:line="182"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color w:val="auto"/>
        </w:rPr>
        <w:t xml:space="preserve">The Company’s fair value measurements are classified into a fair value hierarchy in accordance with ASC Topic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based on the markets in which the assets and liabilities are traded and the reliability of the assumptions used to determine fair value. The three categories within the hierarchy are as follows:</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 xml:space="preserve">Level 1 </w:t>
      </w:r>
      <w:r>
        <w:rPr>
          <w:rFonts w:ascii="Times New Roman" w:cs="Times New Roman" w:eastAsia="Times New Roman" w:hAnsi="Times New Roman"/>
          <w:sz w:val="18"/>
          <w:szCs w:val="18"/>
          <w:color w:val="auto"/>
        </w:rPr>
        <w:t>Quoted prices in active markets for identical assets and liabilities.</w:t>
      </w:r>
    </w:p>
    <w:p>
      <w:pPr>
        <w:spacing w:after="0" w:line="225" w:lineRule="exact"/>
        <w:rPr>
          <w:sz w:val="20"/>
          <w:szCs w:val="20"/>
          <w:color w:val="auto"/>
        </w:rPr>
      </w:pPr>
    </w:p>
    <w:p>
      <w:pPr>
        <w:jc w:val="both"/>
        <w:ind w:left="980" w:hanging="647"/>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Level 2 </w:t>
      </w:r>
      <w:r>
        <w:rPr>
          <w:rFonts w:ascii="Times New Roman" w:cs="Times New Roman" w:eastAsia="Times New Roman" w:hAnsi="Times New Roman"/>
          <w:sz w:val="18"/>
          <w:szCs w:val="18"/>
          <w:color w:val="auto"/>
        </w:rPr>
        <w:t>Observable inputs other than Level 1 prices such as quoted prices for similar assets or liabilities in active markets, quoted prices in markets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not active, and model-based valuation techniques for which all significant inputs are observable or can be corroborated by observable market data for substantially the full term of the assets or liabilities.</w:t>
      </w:r>
    </w:p>
    <w:p>
      <w:pPr>
        <w:spacing w:after="0" w:line="171" w:lineRule="exact"/>
        <w:rPr>
          <w:sz w:val="20"/>
          <w:szCs w:val="20"/>
          <w:color w:val="auto"/>
        </w:rPr>
      </w:pPr>
    </w:p>
    <w:p>
      <w:pPr>
        <w:jc w:val="both"/>
        <w:ind w:left="980" w:hanging="647"/>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Level 3 </w:t>
      </w:r>
      <w:r>
        <w:rPr>
          <w:rFonts w:ascii="Times New Roman" w:cs="Times New Roman" w:eastAsia="Times New Roman" w:hAnsi="Times New Roman"/>
          <w:sz w:val="18"/>
          <w:szCs w:val="18"/>
          <w:color w:val="auto"/>
        </w:rPr>
        <w:t>Unobservable inputs that are supported by little or no market activity and that are significant to the fair value of the assets or liabilities. Level 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assets and liabilities include financial instruments whose value is determined using pricing models, discounted cash flow methodologies or similar techniques, as well as instruments for which the determination of fair value requires significant management judgment or estimation.</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Investments are valued at fair value as determined in good faith by the Board, based on input of management, the audit committee and independent valuation firms which are engaged at the direction of the Board to assist in the valuation of each portfolio investment lacking a readily available market quotation at least once during a trailing twelve-month period under a valuation policy and a consistently applied valuation process. This valuation process is conducted at the end of each fiscal quarter, with at least 25% (based on fair value) of the Company’s valuation of portfolio companies lacking readily available market quotations subject to review by an independent valuation firm.</w:t>
      </w:r>
    </w:p>
    <w:p>
      <w:pPr>
        <w:spacing w:after="0" w:line="18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Because there is not a readily available market value for most of the investments in its portfolio, the Company values substantially all of its portfolio investments at fair value as determined in good faith by the Board, as described herein. Due to the inherent uncertainty of determining the fair value of investments that do not have a readily available market value, the fair value of the Company's investments may fluctuate from period to period. Additionally, the fair value of the Company's investments may differ significantly from the values that would have been used had a ready market existed for such investments and may differ materially from the values that the Company may ultimately realize. Further, such investments are generally subject to legal and other restrictions on resale or otherwise are less liquid than publicly traded securities. If the Company was required to liquidate a portfolio investment in a forced or liquidation sale, the Company could realize significantly less than the value at which the Company has recorded such portfolio investment.</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7" w:lineRule="exact"/>
        <w:rPr>
          <w:sz w:val="20"/>
          <w:szCs w:val="20"/>
          <w:color w:val="auto"/>
        </w:rPr>
      </w:pPr>
    </w:p>
    <w:p>
      <w:pPr>
        <w:jc w:val="both"/>
        <w:ind w:right="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Cash and interest receivable: </w:t>
      </w:r>
      <w:r>
        <w:rPr>
          <w:rFonts w:ascii="Times New Roman" w:cs="Times New Roman" w:eastAsia="Times New Roman" w:hAnsi="Times New Roman"/>
          <w:sz w:val="18"/>
          <w:szCs w:val="18"/>
          <w:color w:val="auto"/>
        </w:rPr>
        <w:t>The carrying amount is a reasonable estimate of fair value. These financial instruments are not recorded at fair value on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recurring basis and are categorized as Level 1 within the fair value hierarchy described above.</w:t>
      </w:r>
    </w:p>
    <w:p>
      <w:pPr>
        <w:spacing w:after="0" w:line="158"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Debt investments: </w:t>
      </w:r>
      <w:r>
        <w:rPr>
          <w:rFonts w:ascii="Times New Roman" w:cs="Times New Roman" w:eastAsia="Times New Roman" w:hAnsi="Times New Roman"/>
          <w:sz w:val="18"/>
          <w:szCs w:val="18"/>
          <w:color w:val="auto"/>
        </w:rPr>
        <w:t>The fair value of debt investments is estimated by discounting the expected future cash flows using the period end rates at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similar debt investments would be made to borrowers with similar credit ratings and for the same remaining maturities. At September 30, 2019 and December 31, 2018, the hypothetical market yields used ranged from 10% to 25%. Significant increases (decreases) in this unobservable input would result in a significantly lower (higher) fair value measurement. These assets are recorded at fair value on a recurring basis and are categorized as Level 3 within the fair value hierarchy described above.</w:t>
      </w:r>
    </w:p>
    <w:p>
      <w:pPr>
        <w:spacing w:after="0" w:line="18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Under certain circumstances, the Company may use an alternative technique to value debt investments that better reflects its fair value such as the use of multiple probability weighted cash flow models when the expected future cash flows contain elements of variability.</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Warrant investments: </w:t>
      </w:r>
      <w:r>
        <w:rPr>
          <w:rFonts w:ascii="Times New Roman" w:cs="Times New Roman" w:eastAsia="Times New Roman" w:hAnsi="Times New Roman"/>
          <w:sz w:val="18"/>
          <w:szCs w:val="18"/>
          <w:color w:val="auto"/>
        </w:rPr>
        <w:t>The Company values its warrants using the Black-Scholes valuation model incorporating the following material assumptions:</w:t>
      </w:r>
    </w:p>
    <w:p>
      <w:pPr>
        <w:spacing w:after="0" w:line="227" w:lineRule="exact"/>
        <w:rPr>
          <w:sz w:val="20"/>
          <w:szCs w:val="20"/>
          <w:color w:val="auto"/>
        </w:rPr>
      </w:pPr>
    </w:p>
    <w:p>
      <w:pPr>
        <w:ind w:left="6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Underlying asset value of the issuer is estimated based on information available, including any information regarding the most recent rounds of borrower funding. Significant increases (decreases) in this unobservable input would result in a significantly higher (lower) fair value measurement.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or the amount of uncertainty or risk about the size of the changes in the warrant price, is based on indices of publicly traded companies similar in nature to the underlying company issuing the warrant. A total of seven such indices are used. Significant increases (decreases) in this unobservable input would result in a significantly higher (lower) fair value measurement.</w:t>
      </w:r>
    </w:p>
    <w:p>
      <w:pPr>
        <w:spacing w:after="0" w:line="176"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risk-free interest rates are derived from the U.S. Treasury yield curve. The risk-free interest rates are calculated based on a weighted average of the risk-free interest rates that correspond closest to the expected remaining life of the warrant.</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adjustments, including a marketability discount on private company warrants, are estimated based on management’s judgment about the general industry environment.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Historical portfolio experience on cancellations and exercises of the Company’s warrants are utilized as the basis for determining the estimated time to exit of the warrants in each financial reporting period. Warrants may be exercised in the event of acquisitions, mergers or initial public offerings, and cancelled due to events such as bankruptcies, restructuring activities or additional financings. These events cause the expected remaining life assumption to be shorter than the contractual term of the warrants. Significant increases (decreases) in this unobservable input would result in significantly higher (lower) fair value measurement.</w:t>
      </w:r>
    </w:p>
    <w:p>
      <w:pPr>
        <w:spacing w:after="0" w:line="18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Under certain circumstances the Company may use an alternative technique to value warrants that better reflects the warrants’ fair value, such as an expected settlement of a warrant in the near term or a model that incorporates a put feature associated with the warrant. The fair value may be determined based on the expected proceeds to be received from such settlement or based on the net present value of the expected proceeds from the put option.</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fair value of the Company’s warrants held in publicly traded companies is determined based on inputs that are readily available in public markets or can be derived from information available in public markets. Therefore, the Company has categorized these warrants as Level 2 within the fair value hierarchy described above. The fair value of the Company’s warrants held in private companies is determined using both observable and unobservable inputs and represents management’s best estimate of what market participants would use in pricing the warrants at the measurement date. Therefore, the Company has categorized these warrants as Level 3 within the fair value hierarchy described above. These assets are recorded at fair value on a recurring basis.</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Equity investments: </w:t>
      </w:r>
      <w:r>
        <w:rPr>
          <w:rFonts w:ascii="Times New Roman" w:cs="Times New Roman" w:eastAsia="Times New Roman" w:hAnsi="Times New Roman"/>
          <w:sz w:val="18"/>
          <w:szCs w:val="18"/>
          <w:color w:val="auto"/>
        </w:rPr>
        <w:t>The fair value of an equity investment in a privately held company is initially the face value of the amount invested.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adjusts the fair value of equity investments in private companies upon the completion of a new third-party round of equity financing. The Company may make adjustments to fair value, absent a new equity financing event, based upon positive or negative changes in a portfolio company’s financial or operational performance. Significant increases (decreases) in this unobservable input would result in a significantly higher (lower) fair value measurement. The Company has categorized these equity investments as Level 3 within the fair value hierarchy described above. The fair value of an equity investment in a publicly traded company is based upon the closing public share price on the date of measurement. Therefore, the Company has categorized these equity investments as Level 1 within the fair value hierarchy described above. These assets are recorded at fair value on a recurring basis.</w:t>
      </w:r>
    </w:p>
    <w:p>
      <w:pPr>
        <w:spacing w:after="0" w:line="183"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Other investments: </w:t>
      </w:r>
      <w:r>
        <w:rPr>
          <w:rFonts w:ascii="Times New Roman" w:cs="Times New Roman" w:eastAsia="Times New Roman" w:hAnsi="Times New Roman"/>
          <w:sz w:val="18"/>
          <w:szCs w:val="18"/>
          <w:color w:val="auto"/>
        </w:rPr>
        <w:t>Other investments are valued based on the facts and circumstances of the underlying contractual agreement. The Company currently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values these contractual agreements using a multiple probability weighted cash flow model as the contractual future cash flows contain elements of variability. Significant changes in the estimated cash flows and probability weightings would result in a significantly higher or lower fair value measurement. The Company has categorized these other investments as Level 3 within the fair value hierarchy described above. These other investments are recorded at fair value on a recurring basis.</w:t>
      </w:r>
    </w:p>
    <w:p>
      <w:pPr>
        <w:spacing w:after="0" w:line="18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tables provide a summary of quantitative information about the Company’s Level 3 fair value measurements of its investments as of September 30, 2019 and December 31, 2018. In addition to the techniques and inputs noted in the table below, according to the Company’s valuation policy, the Company may also use other valuation techniques and methodologies when determining its fair value measurements.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is not intended to be all-inclusive, but rather provides information on the significant Level 3 inputs as they relate to the Company’s fair value measurements as of September 30, 2019:</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2019</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20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gridSpan w:val="2"/>
          </w:tcPr>
          <w:p>
            <w:pPr>
              <w:jc w:val="right"/>
              <w:ind w:right="440"/>
              <w:spacing w:after="0" w:line="188" w:lineRule="exact"/>
              <w:rPr>
                <w:sz w:val="20"/>
                <w:szCs w:val="20"/>
                <w:color w:val="auto"/>
              </w:rPr>
            </w:pPr>
            <w:r>
              <w:rPr>
                <w:rFonts w:ascii="Times New Roman" w:cs="Times New Roman" w:eastAsia="Times New Roman" w:hAnsi="Times New Roman"/>
                <w:sz w:val="18"/>
                <w:szCs w:val="18"/>
                <w:b w:val="1"/>
                <w:bCs w:val="1"/>
                <w:color w:val="auto"/>
              </w:rPr>
              <w:t>Fair</w:t>
            </w:r>
          </w:p>
        </w:tc>
        <w:tc>
          <w:tcPr>
            <w:tcW w:w="2420" w:type="dxa"/>
            <w:vAlign w:val="bottom"/>
            <w:tcBorders>
              <w:top w:val="single" w:sz="8" w:color="auto"/>
            </w:tcBorders>
          </w:tcPr>
          <w:p>
            <w:pPr>
              <w:ind w:left="400"/>
              <w:spacing w:after="0" w:line="188" w:lineRule="exact"/>
              <w:rPr>
                <w:sz w:val="20"/>
                <w:szCs w:val="20"/>
                <w:color w:val="auto"/>
              </w:rPr>
            </w:pPr>
            <w:r>
              <w:rPr>
                <w:rFonts w:ascii="Times New Roman" w:cs="Times New Roman" w:eastAsia="Times New Roman" w:hAnsi="Times New Roman"/>
                <w:sz w:val="18"/>
                <w:szCs w:val="18"/>
                <w:b w:val="1"/>
                <w:bCs w:val="1"/>
                <w:color w:val="auto"/>
              </w:rPr>
              <w:t>Valuation Techniques/</w:t>
            </w:r>
          </w:p>
        </w:tc>
        <w:tc>
          <w:tcPr>
            <w:tcW w:w="2360" w:type="dxa"/>
            <w:vAlign w:val="bottom"/>
            <w:tcBorders>
              <w:top w:val="single" w:sz="8" w:color="auto"/>
            </w:tcBorders>
          </w:tcPr>
          <w:p>
            <w:pPr>
              <w:jc w:val="right"/>
              <w:ind w:right="510"/>
              <w:spacing w:after="0" w:line="188" w:lineRule="exact"/>
              <w:rPr>
                <w:sz w:val="20"/>
                <w:szCs w:val="20"/>
                <w:color w:val="auto"/>
              </w:rPr>
            </w:pPr>
            <w:r>
              <w:rPr>
                <w:rFonts w:ascii="Times New Roman" w:cs="Times New Roman" w:eastAsia="Times New Roman" w:hAnsi="Times New Roman"/>
                <w:sz w:val="18"/>
                <w:szCs w:val="18"/>
                <w:b w:val="1"/>
                <w:bCs w:val="1"/>
                <w:color w:val="auto"/>
              </w:rPr>
              <w:t>Unobservable</w:t>
            </w:r>
          </w:p>
        </w:tc>
        <w:tc>
          <w:tcPr>
            <w:tcW w:w="164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jc w:val="center"/>
              <w:ind w:right="230"/>
              <w:spacing w:after="0" w:line="188"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279"/>
        </w:trPr>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Investment Type</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2420" w:type="dxa"/>
            <w:vAlign w:val="bottom"/>
          </w:tcPr>
          <w:p>
            <w:pPr>
              <w:ind w:left="700"/>
              <w:spacing w:after="0"/>
              <w:rPr>
                <w:sz w:val="20"/>
                <w:szCs w:val="20"/>
                <w:color w:val="auto"/>
              </w:rPr>
            </w:pPr>
            <w:r>
              <w:rPr>
                <w:rFonts w:ascii="Times New Roman" w:cs="Times New Roman" w:eastAsia="Times New Roman" w:hAnsi="Times New Roman"/>
                <w:sz w:val="18"/>
                <w:szCs w:val="18"/>
                <w:b w:val="1"/>
                <w:bCs w:val="1"/>
                <w:color w:val="auto"/>
              </w:rPr>
              <w:t>Methodologies</w:t>
            </w:r>
          </w:p>
        </w:tc>
        <w:tc>
          <w:tcPr>
            <w:tcW w:w="2360" w:type="dxa"/>
            <w:vAlign w:val="bottom"/>
          </w:tcPr>
          <w:p>
            <w:pPr>
              <w:ind w:left="1000"/>
              <w:spacing w:after="0"/>
              <w:rPr>
                <w:sz w:val="20"/>
                <w:szCs w:val="20"/>
                <w:color w:val="auto"/>
              </w:rPr>
            </w:pPr>
            <w:r>
              <w:rPr>
                <w:rFonts w:ascii="Times New Roman" w:cs="Times New Roman" w:eastAsia="Times New Roman" w:hAnsi="Times New Roman"/>
                <w:sz w:val="18"/>
                <w:szCs w:val="18"/>
                <w:b w:val="1"/>
                <w:bCs w:val="1"/>
                <w:color w:val="auto"/>
              </w:rPr>
              <w:t>Input</w:t>
            </w:r>
          </w:p>
        </w:tc>
        <w:tc>
          <w:tcPr>
            <w:tcW w:w="1640" w:type="dxa"/>
            <w:vAlign w:val="bottom"/>
          </w:tcPr>
          <w:p>
            <w:pPr>
              <w:ind w:left="600"/>
              <w:spacing w:after="0"/>
              <w:rPr>
                <w:sz w:val="20"/>
                <w:szCs w:val="20"/>
                <w:color w:val="auto"/>
              </w:rPr>
            </w:pPr>
            <w:r>
              <w:rPr>
                <w:rFonts w:ascii="Times New Roman" w:cs="Times New Roman" w:eastAsia="Times New Roman" w:hAnsi="Times New Roman"/>
                <w:sz w:val="18"/>
                <w:szCs w:val="18"/>
                <w:b w:val="1"/>
                <w:bCs w:val="1"/>
                <w:color w:val="auto"/>
              </w:rPr>
              <w:t>Range</w:t>
            </w:r>
          </w:p>
        </w:tc>
        <w:tc>
          <w:tcPr>
            <w:tcW w:w="380" w:type="dxa"/>
            <w:vAlign w:val="bottom"/>
          </w:tcPr>
          <w:p>
            <w:pPr>
              <w:spacing w:after="0"/>
              <w:rPr>
                <w:sz w:val="24"/>
                <w:szCs w:val="24"/>
                <w:color w:val="auto"/>
              </w:rPr>
            </w:pPr>
          </w:p>
        </w:tc>
        <w:tc>
          <w:tcPr>
            <w:tcW w:w="1360" w:type="dxa"/>
            <w:vAlign w:val="bottom"/>
          </w:tcPr>
          <w:p>
            <w:pPr>
              <w:jc w:val="center"/>
              <w:ind w:right="230"/>
              <w:spacing w:after="0" w:line="279" w:lineRule="exact"/>
              <w:rPr>
                <w:sz w:val="20"/>
                <w:szCs w:val="20"/>
                <w:color w:val="auto"/>
              </w:rPr>
            </w:pPr>
            <w:r>
              <w:rPr>
                <w:rFonts w:ascii="Times New Roman" w:cs="Times New Roman" w:eastAsia="Times New Roman" w:hAnsi="Times New Roman"/>
                <w:sz w:val="18"/>
                <w:szCs w:val="18"/>
                <w:b w:val="1"/>
                <w:bCs w:val="1"/>
                <w:color w:val="auto"/>
                <w:w w:val="91"/>
              </w:rPr>
              <w:t>Average</w:t>
            </w:r>
            <w:r>
              <w:rPr>
                <w:rFonts w:ascii="Times New Roman" w:cs="Times New Roman" w:eastAsia="Times New Roman" w:hAnsi="Times New Roman"/>
                <w:sz w:val="30"/>
                <w:szCs w:val="30"/>
                <w:b w:val="1"/>
                <w:bCs w:val="1"/>
                <w:color w:val="auto"/>
                <w:w w:val="91"/>
                <w:vertAlign w:val="superscript"/>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780" w:type="dxa"/>
            <w:vAlign w:val="bottom"/>
            <w:tcBorders>
              <w:top w:val="single" w:sz="8" w:color="auto"/>
            </w:tcBorders>
            <w:gridSpan w:val="2"/>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data)</w:t>
            </w:r>
          </w:p>
        </w:tc>
        <w:tc>
          <w:tcPr>
            <w:tcW w:w="164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0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Debt investments</w:t>
            </w:r>
          </w:p>
        </w:tc>
        <w:tc>
          <w:tcPr>
            <w:tcW w:w="320" w:type="dxa"/>
            <w:vAlign w:val="bottom"/>
            <w:gridSpan w:val="2"/>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40"/>
              <w:spacing w:after="0" w:line="198" w:lineRule="exact"/>
              <w:rPr>
                <w:sz w:val="20"/>
                <w:szCs w:val="20"/>
                <w:color w:val="auto"/>
              </w:rPr>
            </w:pPr>
            <w:r>
              <w:rPr>
                <w:rFonts w:ascii="Times New Roman" w:cs="Times New Roman" w:eastAsia="Times New Roman" w:hAnsi="Times New Roman"/>
                <w:sz w:val="18"/>
                <w:szCs w:val="18"/>
                <w:color w:val="auto"/>
              </w:rPr>
              <w:t>241,819</w:t>
            </w:r>
          </w:p>
        </w:tc>
        <w:tc>
          <w:tcPr>
            <w:tcW w:w="242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Discounted Expected Future</w:t>
            </w:r>
          </w:p>
        </w:tc>
        <w:tc>
          <w:tcPr>
            <w:tcW w:w="236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Hypothetical Market Yield</w:t>
            </w:r>
          </w:p>
        </w:tc>
        <w:tc>
          <w:tcPr>
            <w:tcW w:w="1640" w:type="dxa"/>
            <w:vAlign w:val="bottom"/>
            <w:shd w:val="clear" w:color="auto" w:fill="CCEEFF"/>
          </w:tcPr>
          <w:p>
            <w:pPr>
              <w:jc w:val="center"/>
              <w:ind w:left="70"/>
              <w:spacing w:after="0" w:line="198" w:lineRule="exact"/>
              <w:rPr>
                <w:sz w:val="20"/>
                <w:szCs w:val="20"/>
                <w:color w:val="auto"/>
              </w:rPr>
            </w:pPr>
            <w:r>
              <w:rPr>
                <w:rFonts w:ascii="Times New Roman" w:cs="Times New Roman" w:eastAsia="Times New Roman" w:hAnsi="Times New Roman"/>
                <w:sz w:val="18"/>
                <w:szCs w:val="18"/>
                <w:color w:val="auto"/>
                <w:w w:val="99"/>
              </w:rPr>
              <w:t>10% – 25%</w:t>
            </w:r>
          </w:p>
        </w:tc>
        <w:tc>
          <w:tcPr>
            <w:tcW w:w="380" w:type="dxa"/>
            <w:vAlign w:val="bottom"/>
            <w:shd w:val="clear" w:color="auto" w:fill="CCEEFF"/>
          </w:tcPr>
          <w:p>
            <w:pPr>
              <w:spacing w:after="0"/>
              <w:rPr>
                <w:sz w:val="17"/>
                <w:szCs w:val="17"/>
                <w:color w:val="auto"/>
              </w:rPr>
            </w:pPr>
          </w:p>
        </w:tc>
        <w:tc>
          <w:tcPr>
            <w:tcW w:w="1360" w:type="dxa"/>
            <w:vAlign w:val="bottom"/>
            <w:shd w:val="clear" w:color="auto" w:fill="CCEEFF"/>
          </w:tcPr>
          <w:p>
            <w:pPr>
              <w:jc w:val="center"/>
              <w:ind w:right="130"/>
              <w:spacing w:after="0" w:line="198" w:lineRule="exact"/>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0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Flows</w:t>
            </w:r>
          </w:p>
        </w:tc>
        <w:tc>
          <w:tcPr>
            <w:tcW w:w="236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line="198" w:lineRule="exact"/>
              <w:rPr>
                <w:sz w:val="20"/>
                <w:szCs w:val="20"/>
                <w:color w:val="auto"/>
              </w:rPr>
            </w:pPr>
            <w:r>
              <w:rPr>
                <w:rFonts w:ascii="Times New Roman" w:cs="Times New Roman" w:eastAsia="Times New Roman" w:hAnsi="Times New Roman"/>
                <w:sz w:val="18"/>
                <w:szCs w:val="18"/>
                <w:color w:val="auto"/>
              </w:rPr>
              <w:t>9,866</w:t>
            </w:r>
          </w:p>
        </w:tc>
        <w:tc>
          <w:tcPr>
            <w:tcW w:w="242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Multiple Probability Weighted</w:t>
            </w:r>
          </w:p>
        </w:tc>
        <w:tc>
          <w:tcPr>
            <w:tcW w:w="236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Probability Weighting</w:t>
            </w:r>
          </w:p>
        </w:tc>
        <w:tc>
          <w:tcPr>
            <w:tcW w:w="1640" w:type="dxa"/>
            <w:vAlign w:val="bottom"/>
            <w:shd w:val="clear" w:color="auto" w:fill="CCEEFF"/>
          </w:tcPr>
          <w:p>
            <w:pPr>
              <w:jc w:val="center"/>
              <w:ind w:left="70"/>
              <w:spacing w:after="0" w:line="198" w:lineRule="exact"/>
              <w:rPr>
                <w:sz w:val="20"/>
                <w:szCs w:val="20"/>
                <w:color w:val="auto"/>
              </w:rPr>
            </w:pPr>
            <w:r>
              <w:rPr>
                <w:rFonts w:ascii="Times New Roman" w:cs="Times New Roman" w:eastAsia="Times New Roman" w:hAnsi="Times New Roman"/>
                <w:sz w:val="18"/>
                <w:szCs w:val="18"/>
                <w:color w:val="auto"/>
                <w:w w:val="98"/>
              </w:rPr>
              <w:t>10% - 45%</w:t>
            </w:r>
          </w:p>
        </w:tc>
        <w:tc>
          <w:tcPr>
            <w:tcW w:w="380" w:type="dxa"/>
            <w:vAlign w:val="bottom"/>
            <w:shd w:val="clear" w:color="auto" w:fill="CCEEFF"/>
          </w:tcPr>
          <w:p>
            <w:pPr>
              <w:spacing w:after="0"/>
              <w:rPr>
                <w:sz w:val="17"/>
                <w:szCs w:val="17"/>
                <w:color w:val="auto"/>
              </w:rPr>
            </w:pPr>
          </w:p>
        </w:tc>
        <w:tc>
          <w:tcPr>
            <w:tcW w:w="1360" w:type="dxa"/>
            <w:vAlign w:val="bottom"/>
            <w:shd w:val="clear" w:color="auto" w:fill="CCEEFF"/>
          </w:tcPr>
          <w:p>
            <w:pPr>
              <w:jc w:val="center"/>
              <w:ind w:right="130"/>
              <w:spacing w:after="0" w:line="198" w:lineRule="exact"/>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0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Flow Model</w:t>
            </w:r>
          </w:p>
        </w:tc>
        <w:tc>
          <w:tcPr>
            <w:tcW w:w="236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1,500</w:t>
            </w:r>
          </w:p>
        </w:tc>
        <w:tc>
          <w:tcPr>
            <w:tcW w:w="2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Liquidation Scenario</w:t>
            </w:r>
          </w:p>
        </w:tc>
        <w:tc>
          <w:tcPr>
            <w:tcW w:w="2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Probability Weighting</w:t>
            </w:r>
          </w:p>
        </w:tc>
        <w:tc>
          <w:tcPr>
            <w:tcW w:w="164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100%</w:t>
            </w:r>
          </w:p>
        </w:tc>
        <w:tc>
          <w:tcPr>
            <w:tcW w:w="380" w:type="dxa"/>
            <w:vAlign w:val="bottom"/>
            <w:shd w:val="clear" w:color="auto" w:fill="CCEEFF"/>
          </w:tcPr>
          <w:p>
            <w:pPr>
              <w:spacing w:after="0"/>
              <w:rPr>
                <w:sz w:val="18"/>
                <w:szCs w:val="18"/>
                <w:color w:val="auto"/>
              </w:rPr>
            </w:pPr>
          </w:p>
        </w:tc>
        <w:tc>
          <w:tcPr>
            <w:tcW w:w="1360" w:type="dxa"/>
            <w:vAlign w:val="bottom"/>
            <w:shd w:val="clear" w:color="auto" w:fill="CCEEFF"/>
          </w:tcPr>
          <w:p>
            <w:pPr>
              <w:jc w:val="center"/>
              <w:ind w:right="130"/>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0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Warrant investments</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line="198" w:lineRule="exact"/>
              <w:rPr>
                <w:sz w:val="20"/>
                <w:szCs w:val="20"/>
                <w:color w:val="auto"/>
              </w:rPr>
            </w:pPr>
            <w:r>
              <w:rPr>
                <w:rFonts w:ascii="Times New Roman" w:cs="Times New Roman" w:eastAsia="Times New Roman" w:hAnsi="Times New Roman"/>
                <w:sz w:val="18"/>
                <w:szCs w:val="18"/>
                <w:color w:val="auto"/>
              </w:rPr>
              <w:t>7,456</w:t>
            </w:r>
          </w:p>
        </w:tc>
        <w:tc>
          <w:tcPr>
            <w:tcW w:w="242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Black-Scholes Valuation</w:t>
            </w:r>
          </w:p>
        </w:tc>
        <w:tc>
          <w:tcPr>
            <w:tcW w:w="236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Price Per Share</w:t>
            </w:r>
          </w:p>
        </w:tc>
        <w:tc>
          <w:tcPr>
            <w:tcW w:w="1640" w:type="dxa"/>
            <w:vAlign w:val="bottom"/>
            <w:shd w:val="clear" w:color="auto" w:fill="CCEEFF"/>
          </w:tcPr>
          <w:p>
            <w:pPr>
              <w:jc w:val="center"/>
              <w:ind w:left="70"/>
              <w:spacing w:after="0" w:line="198" w:lineRule="exact"/>
              <w:rPr>
                <w:sz w:val="20"/>
                <w:szCs w:val="20"/>
                <w:color w:val="auto"/>
              </w:rPr>
            </w:pPr>
            <w:r>
              <w:rPr>
                <w:rFonts w:ascii="Times New Roman" w:cs="Times New Roman" w:eastAsia="Times New Roman" w:hAnsi="Times New Roman"/>
                <w:sz w:val="18"/>
                <w:szCs w:val="18"/>
                <w:color w:val="auto"/>
                <w:w w:val="99"/>
              </w:rPr>
              <w:t>$0.00 – $980.00</w:t>
            </w:r>
          </w:p>
        </w:tc>
        <w:tc>
          <w:tcPr>
            <w:tcW w:w="380" w:type="dxa"/>
            <w:vAlign w:val="bottom"/>
            <w:shd w:val="clear" w:color="auto" w:fill="CCEEFF"/>
          </w:tcPr>
          <w:p>
            <w:pPr>
              <w:spacing w:after="0"/>
              <w:rPr>
                <w:sz w:val="17"/>
                <w:szCs w:val="17"/>
                <w:color w:val="auto"/>
              </w:rPr>
            </w:pPr>
          </w:p>
        </w:tc>
        <w:tc>
          <w:tcPr>
            <w:tcW w:w="1360" w:type="dxa"/>
            <w:vAlign w:val="bottom"/>
            <w:shd w:val="clear" w:color="auto" w:fill="CCEEFF"/>
          </w:tcPr>
          <w:p>
            <w:pPr>
              <w:jc w:val="center"/>
              <w:ind w:right="130"/>
              <w:spacing w:after="0" w:line="198" w:lineRule="exact"/>
              <w:rPr>
                <w:sz w:val="20"/>
                <w:szCs w:val="20"/>
                <w:color w:val="auto"/>
              </w:rPr>
            </w:pPr>
            <w:r>
              <w:rPr>
                <w:rFonts w:ascii="Times New Roman" w:cs="Times New Roman" w:eastAsia="Times New Roman" w:hAnsi="Times New Roman"/>
                <w:sz w:val="18"/>
                <w:szCs w:val="18"/>
                <w:color w:val="auto"/>
              </w:rPr>
              <w:t>$46.09</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0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Model</w:t>
            </w:r>
          </w:p>
        </w:tc>
        <w:tc>
          <w:tcPr>
            <w:tcW w:w="2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Average Industry Volatility</w:t>
            </w:r>
          </w:p>
        </w:tc>
        <w:tc>
          <w:tcPr>
            <w:tcW w:w="164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6"/>
              </w:rPr>
              <w:t>20%</w:t>
            </w:r>
          </w:p>
        </w:tc>
        <w:tc>
          <w:tcPr>
            <w:tcW w:w="380" w:type="dxa"/>
            <w:vAlign w:val="bottom"/>
            <w:shd w:val="clear" w:color="auto" w:fill="CCEEFF"/>
          </w:tcPr>
          <w:p>
            <w:pPr>
              <w:spacing w:after="0"/>
              <w:rPr>
                <w:sz w:val="20"/>
                <w:szCs w:val="20"/>
                <w:color w:val="auto"/>
              </w:rPr>
            </w:pPr>
          </w:p>
        </w:tc>
        <w:tc>
          <w:tcPr>
            <w:tcW w:w="1360" w:type="dxa"/>
            <w:vAlign w:val="bottom"/>
            <w:shd w:val="clear" w:color="auto" w:fill="CCEEFF"/>
          </w:tcPr>
          <w:p>
            <w:pPr>
              <w:jc w:val="center"/>
              <w:ind w:right="13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Marketability Discount</w:t>
            </w:r>
          </w:p>
        </w:tc>
        <w:tc>
          <w:tcPr>
            <w:tcW w:w="164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6"/>
              </w:rPr>
              <w:t>20%</w:t>
            </w:r>
          </w:p>
        </w:tc>
        <w:tc>
          <w:tcPr>
            <w:tcW w:w="380" w:type="dxa"/>
            <w:vAlign w:val="bottom"/>
          </w:tcPr>
          <w:p>
            <w:pPr>
              <w:spacing w:after="0"/>
              <w:rPr>
                <w:sz w:val="18"/>
                <w:szCs w:val="18"/>
                <w:color w:val="auto"/>
              </w:rPr>
            </w:pPr>
          </w:p>
        </w:tc>
        <w:tc>
          <w:tcPr>
            <w:tcW w:w="13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2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Estimated Time to Exit</w:t>
            </w:r>
          </w:p>
        </w:tc>
        <w:tc>
          <w:tcPr>
            <w:tcW w:w="16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1 to 5 years</w:t>
            </w:r>
          </w:p>
        </w:tc>
        <w:tc>
          <w:tcPr>
            <w:tcW w:w="380" w:type="dxa"/>
            <w:vAlign w:val="bottom"/>
            <w:shd w:val="clear" w:color="auto" w:fill="CCEEFF"/>
          </w:tcPr>
          <w:p>
            <w:pPr>
              <w:spacing w:after="0"/>
              <w:rPr>
                <w:sz w:val="18"/>
                <w:szCs w:val="18"/>
                <w:color w:val="auto"/>
              </w:rPr>
            </w:pPr>
          </w:p>
        </w:tc>
        <w:tc>
          <w:tcPr>
            <w:tcW w:w="13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2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1,678</w:t>
            </w:r>
          </w:p>
        </w:tc>
        <w:tc>
          <w:tcPr>
            <w:tcW w:w="2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Sale proceeds</w:t>
            </w:r>
          </w:p>
        </w:tc>
        <w:tc>
          <w:tcPr>
            <w:tcW w:w="2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Price Per Share</w:t>
            </w:r>
          </w:p>
        </w:tc>
        <w:tc>
          <w:tcPr>
            <w:tcW w:w="164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spacing w:after="0"/>
              <w:rPr>
                <w:sz w:val="18"/>
                <w:szCs w:val="18"/>
                <w:color w:val="auto"/>
              </w:rPr>
            </w:pPr>
          </w:p>
        </w:tc>
        <w:tc>
          <w:tcPr>
            <w:tcW w:w="1360" w:type="dxa"/>
            <w:vAlign w:val="bottom"/>
            <w:shd w:val="clear" w:color="auto" w:fill="CCEEFF"/>
          </w:tcPr>
          <w:p>
            <w:pPr>
              <w:jc w:val="center"/>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0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Other investments</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jc w:val="right"/>
              <w:ind w:right="140"/>
              <w:spacing w:after="0" w:line="198" w:lineRule="exact"/>
              <w:rPr>
                <w:sz w:val="20"/>
                <w:szCs w:val="20"/>
                <w:color w:val="auto"/>
              </w:rPr>
            </w:pPr>
            <w:r>
              <w:rPr>
                <w:rFonts w:ascii="Times New Roman" w:cs="Times New Roman" w:eastAsia="Times New Roman" w:hAnsi="Times New Roman"/>
                <w:sz w:val="18"/>
                <w:szCs w:val="18"/>
                <w:color w:val="auto"/>
              </w:rPr>
              <w:t>888</w:t>
            </w:r>
          </w:p>
        </w:tc>
        <w:tc>
          <w:tcPr>
            <w:tcW w:w="242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Multiple Probability Weighted</w:t>
            </w:r>
          </w:p>
        </w:tc>
        <w:tc>
          <w:tcPr>
            <w:tcW w:w="236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Discount Rate</w:t>
            </w:r>
          </w:p>
        </w:tc>
        <w:tc>
          <w:tcPr>
            <w:tcW w:w="1640" w:type="dxa"/>
            <w:vAlign w:val="bottom"/>
          </w:tcPr>
          <w:p>
            <w:pPr>
              <w:jc w:val="center"/>
              <w:ind w:left="70"/>
              <w:spacing w:after="0" w:line="198" w:lineRule="exact"/>
              <w:rPr>
                <w:sz w:val="20"/>
                <w:szCs w:val="20"/>
                <w:color w:val="auto"/>
              </w:rPr>
            </w:pPr>
            <w:r>
              <w:rPr>
                <w:rFonts w:ascii="Times New Roman" w:cs="Times New Roman" w:eastAsia="Times New Roman" w:hAnsi="Times New Roman"/>
                <w:sz w:val="18"/>
                <w:szCs w:val="18"/>
                <w:color w:val="auto"/>
                <w:w w:val="96"/>
              </w:rPr>
              <w:t>25%</w:t>
            </w:r>
          </w:p>
        </w:tc>
        <w:tc>
          <w:tcPr>
            <w:tcW w:w="380" w:type="dxa"/>
            <w:vAlign w:val="bottom"/>
          </w:tcPr>
          <w:p>
            <w:pPr>
              <w:spacing w:after="0"/>
              <w:rPr>
                <w:sz w:val="17"/>
                <w:szCs w:val="17"/>
                <w:color w:val="auto"/>
              </w:rPr>
            </w:pPr>
          </w:p>
        </w:tc>
        <w:tc>
          <w:tcPr>
            <w:tcW w:w="1360" w:type="dxa"/>
            <w:vAlign w:val="bottom"/>
          </w:tcPr>
          <w:p>
            <w:pPr>
              <w:jc w:val="center"/>
              <w:ind w:right="130"/>
              <w:spacing w:after="0" w:line="198"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Flow Model</w:t>
            </w:r>
          </w:p>
        </w:tc>
        <w:tc>
          <w:tcPr>
            <w:tcW w:w="2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Probability Weighting</w:t>
            </w:r>
          </w:p>
        </w:tc>
        <w:tc>
          <w:tcPr>
            <w:tcW w:w="164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0% – 50%</w:t>
            </w:r>
          </w:p>
        </w:tc>
        <w:tc>
          <w:tcPr>
            <w:tcW w:w="380" w:type="dxa"/>
            <w:vAlign w:val="bottom"/>
          </w:tcPr>
          <w:p>
            <w:pPr>
              <w:spacing w:after="0"/>
              <w:rPr>
                <w:sz w:val="20"/>
                <w:szCs w:val="20"/>
                <w:color w:val="auto"/>
              </w:rPr>
            </w:pPr>
          </w:p>
        </w:tc>
        <w:tc>
          <w:tcPr>
            <w:tcW w:w="13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Equity investments</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3,217</w:t>
            </w:r>
          </w:p>
        </w:tc>
        <w:tc>
          <w:tcPr>
            <w:tcW w:w="2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Last Equity Financing</w:t>
            </w:r>
          </w:p>
        </w:tc>
        <w:tc>
          <w:tcPr>
            <w:tcW w:w="2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Price Per Share</w:t>
            </w:r>
          </w:p>
        </w:tc>
        <w:tc>
          <w:tcPr>
            <w:tcW w:w="164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$0.00 – $13.04</w:t>
            </w:r>
          </w:p>
        </w:tc>
        <w:tc>
          <w:tcPr>
            <w:tcW w:w="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5"/>
              </w:rPr>
              <w:t>1.38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Level 3 investments</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266,424</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420" w:type="dxa"/>
            <w:vAlign w:val="bottom"/>
            <w:tcBorders>
              <w:top w:val="single" w:sz="8" w:color="CCEEFF"/>
              <w:bottom w:val="single" w:sz="8" w:color="CCEEFF"/>
            </w:tcBorders>
            <w:shd w:val="clear" w:color="auto" w:fill="CCEEFF"/>
          </w:tcPr>
          <w:p>
            <w:pPr>
              <w:spacing w:after="0"/>
              <w:rPr>
                <w:sz w:val="19"/>
                <w:szCs w:val="19"/>
                <w:color w:val="auto"/>
              </w:rPr>
            </w:pPr>
          </w:p>
        </w:tc>
        <w:tc>
          <w:tcPr>
            <w:tcW w:w="2360" w:type="dxa"/>
            <w:vAlign w:val="bottom"/>
            <w:tcBorders>
              <w:top w:val="single" w:sz="8" w:color="CCEEFF"/>
              <w:bottom w:val="single" w:sz="8" w:color="CCEEFF"/>
            </w:tcBorders>
            <w:shd w:val="clear" w:color="auto" w:fill="CCEEFF"/>
          </w:tcPr>
          <w:p>
            <w:pPr>
              <w:spacing w:after="0"/>
              <w:rPr>
                <w:sz w:val="19"/>
                <w:szCs w:val="19"/>
                <w:color w:val="auto"/>
              </w:rPr>
            </w:pPr>
          </w:p>
        </w:tc>
        <w:tc>
          <w:tcPr>
            <w:tcW w:w="164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CCEEFF"/>
              <w:bottom w:val="single" w:sz="8" w:color="CCEEFF"/>
            </w:tcBorders>
            <w:shd w:val="clear" w:color="auto" w:fill="CCEEFF"/>
          </w:tcPr>
          <w:p>
            <w:pPr>
              <w:spacing w:after="0"/>
              <w:rPr>
                <w:sz w:val="19"/>
                <w:szCs w:val="19"/>
                <w:color w:val="auto"/>
              </w:rPr>
            </w:pPr>
          </w:p>
        </w:tc>
        <w:tc>
          <w:tcPr>
            <w:tcW w:w="13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1513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715135" cy="8890"/>
                    </a:xfrm>
                    <a:prstGeom prst="rect">
                      <a:avLst/>
                    </a:prstGeom>
                    <a:noFill/>
                  </pic:spPr>
                </pic:pic>
              </a:graphicData>
            </a:graphic>
          </wp:anchor>
        </w:drawing>
      </w:r>
    </w:p>
    <w:p>
      <w:pPr>
        <w:spacing w:after="0" w:line="205" w:lineRule="exact"/>
        <w:rPr>
          <w:sz w:val="20"/>
          <w:szCs w:val="20"/>
          <w:color w:val="auto"/>
        </w:rPr>
      </w:pPr>
    </w:p>
    <w:p>
      <w:pPr>
        <w:ind w:left="340" w:right="20" w:hanging="332"/>
        <w:spacing w:after="0" w:line="282"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Weighted average is calculated by multiplying (a) the unobservable input for each investment in the investment type by (b) (1) the fair value of the related investment in the investment type divided by (2) the total fair value of the investment type.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is not intended to be all-inclusive, but rather provides information on the significant Level 3 inputs as they relate to the Company’s fair value measurements as of December 31, 2018:</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2018</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20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gridSpan w:val="2"/>
          </w:tcPr>
          <w:p>
            <w:pPr>
              <w:jc w:val="right"/>
              <w:ind w:right="320"/>
              <w:spacing w:after="0" w:line="188" w:lineRule="exact"/>
              <w:rPr>
                <w:sz w:val="20"/>
                <w:szCs w:val="20"/>
                <w:color w:val="auto"/>
              </w:rPr>
            </w:pPr>
            <w:r>
              <w:rPr>
                <w:rFonts w:ascii="Times New Roman" w:cs="Times New Roman" w:eastAsia="Times New Roman" w:hAnsi="Times New Roman"/>
                <w:sz w:val="18"/>
                <w:szCs w:val="18"/>
                <w:b w:val="1"/>
                <w:bCs w:val="1"/>
                <w:color w:val="auto"/>
              </w:rPr>
              <w:t>Fair</w:t>
            </w:r>
          </w:p>
        </w:tc>
        <w:tc>
          <w:tcPr>
            <w:tcW w:w="2540" w:type="dxa"/>
            <w:vAlign w:val="bottom"/>
            <w:tcBorders>
              <w:top w:val="single" w:sz="8" w:color="auto"/>
            </w:tcBorders>
          </w:tcPr>
          <w:p>
            <w:pPr>
              <w:ind w:left="520"/>
              <w:spacing w:after="0" w:line="188" w:lineRule="exact"/>
              <w:rPr>
                <w:sz w:val="20"/>
                <w:szCs w:val="20"/>
                <w:color w:val="auto"/>
              </w:rPr>
            </w:pPr>
            <w:r>
              <w:rPr>
                <w:rFonts w:ascii="Times New Roman" w:cs="Times New Roman" w:eastAsia="Times New Roman" w:hAnsi="Times New Roman"/>
                <w:sz w:val="18"/>
                <w:szCs w:val="18"/>
                <w:b w:val="1"/>
                <w:bCs w:val="1"/>
                <w:color w:val="auto"/>
              </w:rPr>
              <w:t>Valuation Techniques/</w:t>
            </w:r>
          </w:p>
        </w:tc>
        <w:tc>
          <w:tcPr>
            <w:tcW w:w="2360" w:type="dxa"/>
            <w:vAlign w:val="bottom"/>
            <w:tcBorders>
              <w:top w:val="single" w:sz="8" w:color="auto"/>
            </w:tcBorders>
          </w:tcPr>
          <w:p>
            <w:pPr>
              <w:jc w:val="right"/>
              <w:ind w:right="510"/>
              <w:spacing w:after="0" w:line="188" w:lineRule="exact"/>
              <w:rPr>
                <w:sz w:val="20"/>
                <w:szCs w:val="20"/>
                <w:color w:val="auto"/>
              </w:rPr>
            </w:pPr>
            <w:r>
              <w:rPr>
                <w:rFonts w:ascii="Times New Roman" w:cs="Times New Roman" w:eastAsia="Times New Roman" w:hAnsi="Times New Roman"/>
                <w:sz w:val="18"/>
                <w:szCs w:val="18"/>
                <w:b w:val="1"/>
                <w:bCs w:val="1"/>
                <w:color w:val="auto"/>
              </w:rPr>
              <w:t>Unobservable</w:t>
            </w:r>
          </w:p>
        </w:tc>
        <w:tc>
          <w:tcPr>
            <w:tcW w:w="182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tcPr>
          <w:p>
            <w:pPr>
              <w:jc w:val="center"/>
              <w:ind w:right="30"/>
              <w:spacing w:after="0" w:line="188"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279"/>
        </w:trPr>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Investment Type</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2540" w:type="dxa"/>
            <w:vAlign w:val="bottom"/>
          </w:tcPr>
          <w:p>
            <w:pPr>
              <w:ind w:left="820"/>
              <w:spacing w:after="0"/>
              <w:rPr>
                <w:sz w:val="20"/>
                <w:szCs w:val="20"/>
                <w:color w:val="auto"/>
              </w:rPr>
            </w:pPr>
            <w:r>
              <w:rPr>
                <w:rFonts w:ascii="Times New Roman" w:cs="Times New Roman" w:eastAsia="Times New Roman" w:hAnsi="Times New Roman"/>
                <w:sz w:val="18"/>
                <w:szCs w:val="18"/>
                <w:b w:val="1"/>
                <w:bCs w:val="1"/>
                <w:color w:val="auto"/>
              </w:rPr>
              <w:t>Methodologies</w:t>
            </w:r>
          </w:p>
        </w:tc>
        <w:tc>
          <w:tcPr>
            <w:tcW w:w="2360" w:type="dxa"/>
            <w:vAlign w:val="bottom"/>
          </w:tcPr>
          <w:p>
            <w:pPr>
              <w:ind w:left="1000"/>
              <w:spacing w:after="0"/>
              <w:rPr>
                <w:sz w:val="20"/>
                <w:szCs w:val="20"/>
                <w:color w:val="auto"/>
              </w:rPr>
            </w:pPr>
            <w:r>
              <w:rPr>
                <w:rFonts w:ascii="Times New Roman" w:cs="Times New Roman" w:eastAsia="Times New Roman" w:hAnsi="Times New Roman"/>
                <w:sz w:val="18"/>
                <w:szCs w:val="18"/>
                <w:b w:val="1"/>
                <w:bCs w:val="1"/>
                <w:color w:val="auto"/>
              </w:rPr>
              <w:t>Input</w:t>
            </w:r>
          </w:p>
        </w:tc>
        <w:tc>
          <w:tcPr>
            <w:tcW w:w="1820" w:type="dxa"/>
            <w:vAlign w:val="bottom"/>
          </w:tcPr>
          <w:p>
            <w:pPr>
              <w:ind w:left="600"/>
              <w:spacing w:after="0"/>
              <w:rPr>
                <w:sz w:val="20"/>
                <w:szCs w:val="20"/>
                <w:color w:val="auto"/>
              </w:rPr>
            </w:pPr>
            <w:r>
              <w:rPr>
                <w:rFonts w:ascii="Times New Roman" w:cs="Times New Roman" w:eastAsia="Times New Roman" w:hAnsi="Times New Roman"/>
                <w:sz w:val="18"/>
                <w:szCs w:val="18"/>
                <w:b w:val="1"/>
                <w:bCs w:val="1"/>
                <w:color w:val="auto"/>
              </w:rPr>
              <w:t>Range</w:t>
            </w:r>
          </w:p>
        </w:tc>
        <w:tc>
          <w:tcPr>
            <w:tcW w:w="1560" w:type="dxa"/>
            <w:vAlign w:val="bottom"/>
          </w:tcPr>
          <w:p>
            <w:pPr>
              <w:jc w:val="center"/>
              <w:ind w:right="30"/>
              <w:spacing w:after="0" w:line="279" w:lineRule="exact"/>
              <w:rPr>
                <w:sz w:val="20"/>
                <w:szCs w:val="20"/>
                <w:color w:val="auto"/>
              </w:rPr>
            </w:pPr>
            <w:r>
              <w:rPr>
                <w:rFonts w:ascii="Times New Roman" w:cs="Times New Roman" w:eastAsia="Times New Roman" w:hAnsi="Times New Roman"/>
                <w:sz w:val="18"/>
                <w:szCs w:val="18"/>
                <w:b w:val="1"/>
                <w:bCs w:val="1"/>
                <w:color w:val="auto"/>
                <w:w w:val="91"/>
              </w:rPr>
              <w:t>Average</w:t>
            </w:r>
            <w:r>
              <w:rPr>
                <w:rFonts w:ascii="Times New Roman" w:cs="Times New Roman" w:eastAsia="Times New Roman" w:hAnsi="Times New Roman"/>
                <w:sz w:val="30"/>
                <w:szCs w:val="30"/>
                <w:b w:val="1"/>
                <w:bCs w:val="1"/>
                <w:color w:val="auto"/>
                <w:w w:val="91"/>
                <w:vertAlign w:val="superscript"/>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900" w:type="dxa"/>
            <w:vAlign w:val="bottom"/>
            <w:tcBorders>
              <w:top w:val="single" w:sz="8" w:color="auto"/>
            </w:tcBorders>
            <w:gridSpan w:val="2"/>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data)</w:t>
            </w:r>
          </w:p>
        </w:tc>
        <w:tc>
          <w:tcPr>
            <w:tcW w:w="182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0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Debt investments</w:t>
            </w:r>
          </w:p>
        </w:tc>
        <w:tc>
          <w:tcPr>
            <w:tcW w:w="280" w:type="dxa"/>
            <w:vAlign w:val="bottom"/>
            <w:gridSpan w:val="3"/>
            <w:shd w:val="clear" w:color="auto" w:fill="CCEEFF"/>
          </w:tcPr>
          <w:p>
            <w:pPr>
              <w:jc w:val="right"/>
              <w:ind w:right="25"/>
              <w:spacing w:after="0" w:line="198"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20"/>
              <w:spacing w:after="0" w:line="198" w:lineRule="exact"/>
              <w:rPr>
                <w:sz w:val="20"/>
                <w:szCs w:val="20"/>
                <w:color w:val="auto"/>
              </w:rPr>
            </w:pPr>
            <w:r>
              <w:rPr>
                <w:rFonts w:ascii="Times New Roman" w:cs="Times New Roman" w:eastAsia="Times New Roman" w:hAnsi="Times New Roman"/>
                <w:sz w:val="18"/>
                <w:szCs w:val="18"/>
                <w:color w:val="auto"/>
              </w:rPr>
              <w:t>216,401</w:t>
            </w:r>
          </w:p>
        </w:tc>
        <w:tc>
          <w:tcPr>
            <w:tcW w:w="2540" w:type="dxa"/>
            <w:vAlign w:val="bottom"/>
            <w:shd w:val="clear" w:color="auto" w:fill="CCEEFF"/>
          </w:tcPr>
          <w:p>
            <w:pPr>
              <w:ind w:left="240"/>
              <w:spacing w:after="0" w:line="198" w:lineRule="exact"/>
              <w:rPr>
                <w:sz w:val="20"/>
                <w:szCs w:val="20"/>
                <w:color w:val="auto"/>
              </w:rPr>
            </w:pPr>
            <w:r>
              <w:rPr>
                <w:rFonts w:ascii="Times New Roman" w:cs="Times New Roman" w:eastAsia="Times New Roman" w:hAnsi="Times New Roman"/>
                <w:sz w:val="18"/>
                <w:szCs w:val="18"/>
                <w:color w:val="auto"/>
              </w:rPr>
              <w:t>Discounted Expected Future</w:t>
            </w:r>
          </w:p>
        </w:tc>
        <w:tc>
          <w:tcPr>
            <w:tcW w:w="236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Hypothetical Market Yield</w:t>
            </w:r>
          </w:p>
        </w:tc>
        <w:tc>
          <w:tcPr>
            <w:tcW w:w="182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11% – 25%</w:t>
            </w:r>
          </w:p>
        </w:tc>
        <w:tc>
          <w:tcPr>
            <w:tcW w:w="156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Flows</w:t>
            </w:r>
          </w:p>
        </w:tc>
        <w:tc>
          <w:tcPr>
            <w:tcW w:w="236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0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Warrant investments</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
              <w:spacing w:after="0" w:line="198" w:lineRule="exact"/>
              <w:rPr>
                <w:sz w:val="20"/>
                <w:szCs w:val="20"/>
                <w:color w:val="auto"/>
              </w:rPr>
            </w:pPr>
            <w:r>
              <w:rPr>
                <w:rFonts w:ascii="Times New Roman" w:cs="Times New Roman" w:eastAsia="Times New Roman" w:hAnsi="Times New Roman"/>
                <w:sz w:val="18"/>
                <w:szCs w:val="18"/>
                <w:color w:val="auto"/>
              </w:rPr>
              <w:t>7,888</w:t>
            </w:r>
          </w:p>
        </w:tc>
        <w:tc>
          <w:tcPr>
            <w:tcW w:w="2540" w:type="dxa"/>
            <w:vAlign w:val="bottom"/>
            <w:shd w:val="clear" w:color="auto" w:fill="CCEEFF"/>
          </w:tcPr>
          <w:p>
            <w:pPr>
              <w:ind w:left="240"/>
              <w:spacing w:after="0" w:line="198" w:lineRule="exact"/>
              <w:rPr>
                <w:sz w:val="20"/>
                <w:szCs w:val="20"/>
                <w:color w:val="auto"/>
              </w:rPr>
            </w:pPr>
            <w:r>
              <w:rPr>
                <w:rFonts w:ascii="Times New Roman" w:cs="Times New Roman" w:eastAsia="Times New Roman" w:hAnsi="Times New Roman"/>
                <w:sz w:val="18"/>
                <w:szCs w:val="18"/>
                <w:color w:val="auto"/>
              </w:rPr>
              <w:t>Black-Scholes Valuation</w:t>
            </w:r>
          </w:p>
        </w:tc>
        <w:tc>
          <w:tcPr>
            <w:tcW w:w="236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Price Per Share</w:t>
            </w:r>
          </w:p>
        </w:tc>
        <w:tc>
          <w:tcPr>
            <w:tcW w:w="182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$0.00 – $980.00</w:t>
            </w:r>
          </w:p>
        </w:tc>
        <w:tc>
          <w:tcPr>
            <w:tcW w:w="156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$44.76</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Model</w:t>
            </w:r>
          </w:p>
        </w:tc>
        <w:tc>
          <w:tcPr>
            <w:tcW w:w="2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Average Industry Volatility</w:t>
            </w: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20%</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2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Marketability Discount</w:t>
            </w: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20%</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2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Estimated Time to Exit</w:t>
            </w:r>
          </w:p>
        </w:tc>
        <w:tc>
          <w:tcPr>
            <w:tcW w:w="18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1 to 5 years</w:t>
            </w:r>
          </w:p>
        </w:tc>
        <w:tc>
          <w:tcPr>
            <w:tcW w:w="15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2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744</w:t>
            </w:r>
          </w:p>
        </w:tc>
        <w:tc>
          <w:tcPr>
            <w:tcW w:w="2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Estimated Proceeds</w:t>
            </w:r>
          </w:p>
        </w:tc>
        <w:tc>
          <w:tcPr>
            <w:tcW w:w="2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Price Per Share</w:t>
            </w: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$0.21</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0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Other investments</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
              <w:spacing w:after="0" w:line="198" w:lineRule="exact"/>
              <w:rPr>
                <w:sz w:val="20"/>
                <w:szCs w:val="20"/>
                <w:color w:val="auto"/>
              </w:rPr>
            </w:pPr>
            <w:r>
              <w:rPr>
                <w:rFonts w:ascii="Times New Roman" w:cs="Times New Roman" w:eastAsia="Times New Roman" w:hAnsi="Times New Roman"/>
                <w:sz w:val="18"/>
                <w:szCs w:val="18"/>
                <w:color w:val="auto"/>
              </w:rPr>
              <w:t>7,640</w:t>
            </w:r>
          </w:p>
        </w:tc>
        <w:tc>
          <w:tcPr>
            <w:tcW w:w="2540" w:type="dxa"/>
            <w:vAlign w:val="bottom"/>
            <w:shd w:val="clear" w:color="auto" w:fill="CCEEFF"/>
          </w:tcPr>
          <w:p>
            <w:pPr>
              <w:ind w:left="240"/>
              <w:spacing w:after="0" w:line="198" w:lineRule="exact"/>
              <w:rPr>
                <w:sz w:val="20"/>
                <w:szCs w:val="20"/>
                <w:color w:val="auto"/>
              </w:rPr>
            </w:pPr>
            <w:r>
              <w:rPr>
                <w:rFonts w:ascii="Times New Roman" w:cs="Times New Roman" w:eastAsia="Times New Roman" w:hAnsi="Times New Roman"/>
                <w:sz w:val="18"/>
                <w:szCs w:val="18"/>
                <w:color w:val="auto"/>
              </w:rPr>
              <w:t>Multiple Probability Weighted</w:t>
            </w:r>
          </w:p>
        </w:tc>
        <w:tc>
          <w:tcPr>
            <w:tcW w:w="236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Discount Rate</w:t>
            </w:r>
          </w:p>
        </w:tc>
        <w:tc>
          <w:tcPr>
            <w:tcW w:w="182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0% – 25%</w:t>
            </w:r>
          </w:p>
        </w:tc>
        <w:tc>
          <w:tcPr>
            <w:tcW w:w="156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Flow Model</w:t>
            </w:r>
          </w:p>
        </w:tc>
        <w:tc>
          <w:tcPr>
            <w:tcW w:w="2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Probability Weighting</w:t>
            </w: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10% – 100%</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investments</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1,289</w:t>
            </w:r>
          </w:p>
        </w:tc>
        <w:tc>
          <w:tcPr>
            <w:tcW w:w="2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Last Equity Financing</w:t>
            </w:r>
          </w:p>
        </w:tc>
        <w:tc>
          <w:tcPr>
            <w:tcW w:w="2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Price Per Share</w:t>
            </w: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$0.00 – $2.24</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$0.80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Total Level 3 investments</w:t>
            </w:r>
          </w:p>
        </w:tc>
        <w:tc>
          <w:tcPr>
            <w:tcW w:w="140" w:type="dxa"/>
            <w:vAlign w:val="bottom"/>
            <w:gridSpan w:val="2"/>
          </w:tcPr>
          <w:p>
            <w:pPr>
              <w:spacing w:after="0"/>
              <w:rPr>
                <w:sz w:val="19"/>
                <w:szCs w:val="19"/>
                <w:color w:val="auto"/>
              </w:rPr>
            </w:pPr>
          </w:p>
        </w:tc>
        <w:tc>
          <w:tcPr>
            <w:tcW w:w="140" w:type="dxa"/>
            <w:vAlign w:val="bottom"/>
            <w:tcBorders>
              <w:top w:val="single" w:sz="8" w:color="auto"/>
            </w:tcBorders>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233,962</w:t>
            </w:r>
          </w:p>
        </w:tc>
        <w:tc>
          <w:tcPr>
            <w:tcW w:w="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1513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715135" cy="8890"/>
                    </a:xfrm>
                    <a:prstGeom prst="rect">
                      <a:avLst/>
                    </a:prstGeom>
                    <a:noFill/>
                  </pic:spPr>
                </pic:pic>
              </a:graphicData>
            </a:graphic>
          </wp:anchor>
        </w:drawing>
      </w:r>
    </w:p>
    <w:p>
      <w:pPr>
        <w:spacing w:after="0" w:line="205" w:lineRule="exact"/>
        <w:rPr>
          <w:sz w:val="20"/>
          <w:szCs w:val="20"/>
          <w:color w:val="auto"/>
        </w:rPr>
      </w:pPr>
    </w:p>
    <w:p>
      <w:pPr>
        <w:ind w:left="340" w:right="20" w:hanging="332"/>
        <w:spacing w:after="0" w:line="282"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Weighted average is calculated by multiplying (a) the unobservable input for each investment in the investment type by (b) (1) the fair value of the related investment in the investment type divided by (2) the total fair value of the investment type.</w:t>
      </w:r>
    </w:p>
    <w:p>
      <w:pPr>
        <w:spacing w:after="0" w:line="160"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Borrowings: </w:t>
      </w:r>
      <w:r>
        <w:rPr>
          <w:rFonts w:ascii="Times New Roman" w:cs="Times New Roman" w:eastAsia="Times New Roman" w:hAnsi="Times New Roman"/>
          <w:sz w:val="18"/>
          <w:szCs w:val="18"/>
          <w:color w:val="auto"/>
        </w:rPr>
        <w:t>The carrying amount of borrowings under the Company’s revolving credit facility (the “Key Facility”) with KeyBank National Association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(“Key”) approximates fair value due to the variable interest rate of the Key Facility and is categorized as Level 2 within the fair value hierarchy described above. Additionally, the Company considers its creditworthiness in determining the fair value of such borrowings. The fair value of the fixed-rate 2022 Notes (as defined in Note 7) is based on the closing public share price on the date of measurement. On September 30, 2019, the closing price of the 2022 Notes on the New York Stock Exchange was $25.54 per note, or $38.2 million. Therefore, the Company has categorized this borrowing as Level 1 within the fair value hierarchy described above.</w:t>
      </w:r>
    </w:p>
    <w:p>
      <w:pPr>
        <w:spacing w:after="0" w:line="183"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Off-balance-sheet instruments: </w:t>
      </w:r>
      <w:r>
        <w:rPr>
          <w:rFonts w:ascii="Times New Roman" w:cs="Times New Roman" w:eastAsia="Times New Roman" w:hAnsi="Times New Roman"/>
          <w:sz w:val="18"/>
          <w:szCs w:val="18"/>
          <w:color w:val="auto"/>
        </w:rPr>
        <w:t>Fair values for off-balance-sheet lending commitments are based on fees currently charged to enter into similar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agreements, taking into account the remaining terms of the agreements and the counterparties’ credit standings. Therefore, the Company has categorized these instruments as Level 3 within the fair value hierarchy described above.</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tables detail the assets that are carried at fair value and measured at fair value on a recurring basis as of September 30, 2019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2018 and indicate the fair value hierarchy of the valuation techniques utilized by the Company to determine the fair value:</w:t>
      </w:r>
    </w:p>
    <w:p>
      <w:pPr>
        <w:spacing w:after="0" w:line="216"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30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 2019</w:t>
            </w:r>
          </w:p>
        </w:tc>
        <w:tc>
          <w:tcPr>
            <w:tcW w:w="6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30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3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ind w:left="36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gridSpan w:val="2"/>
          </w:tcPr>
          <w:p>
            <w:pPr>
              <w:spacing w:after="0"/>
              <w:rPr>
                <w:sz w:val="19"/>
                <w:szCs w:val="19"/>
                <w:color w:val="auto"/>
              </w:rPr>
            </w:pPr>
          </w:p>
        </w:tc>
      </w:tr>
      <w:tr>
        <w:trPr>
          <w:trHeight w:val="210"/>
        </w:trPr>
        <w:tc>
          <w:tcPr>
            <w:tcW w:w="30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60" w:type="dxa"/>
            <w:vAlign w:val="bottom"/>
            <w:gridSpan w:val="5"/>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investments</w:t>
            </w:r>
          </w:p>
        </w:tc>
        <w:tc>
          <w:tcPr>
            <w:tcW w:w="2140" w:type="dxa"/>
            <w:vAlign w:val="bottom"/>
            <w:gridSpan w:val="2"/>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49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253,185</w:t>
            </w:r>
          </w:p>
        </w:tc>
        <w:tc>
          <w:tcPr>
            <w:tcW w:w="280" w:type="dxa"/>
            <w:vAlign w:val="bottom"/>
            <w:gridSpan w:val="2"/>
            <w:shd w:val="clear" w:color="auto" w:fill="CCEEFF"/>
          </w:tcPr>
          <w:p>
            <w:pPr>
              <w:jc w:val="right"/>
              <w:ind w:right="14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253,185</w:t>
            </w:r>
          </w:p>
        </w:tc>
        <w:tc>
          <w:tcPr>
            <w:tcW w:w="80" w:type="dxa"/>
            <w:vAlign w:val="bottom"/>
            <w:shd w:val="clear" w:color="auto" w:fill="CCEEFF"/>
          </w:tcPr>
          <w:p>
            <w:pPr>
              <w:spacing w:after="0"/>
              <w:rPr>
                <w:sz w:val="18"/>
                <w:szCs w:val="18"/>
                <w:color w:val="auto"/>
              </w:rPr>
            </w:pP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Warrant investments</w:t>
            </w:r>
          </w:p>
        </w:tc>
        <w:tc>
          <w:tcPr>
            <w:tcW w:w="10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696</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9,134</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9,830</w:t>
            </w:r>
          </w:p>
        </w:tc>
        <w:tc>
          <w:tcPr>
            <w:tcW w:w="80" w:type="dxa"/>
            <w:vAlign w:val="bottom"/>
          </w:tcPr>
          <w:p>
            <w:pPr>
              <w:spacing w:after="0"/>
              <w:rPr>
                <w:sz w:val="18"/>
                <w:szCs w:val="18"/>
                <w:color w:val="auto"/>
              </w:rPr>
            </w:pPr>
          </w:p>
        </w:tc>
      </w:tr>
      <w:tr>
        <w:trPr>
          <w:trHeight w:val="216"/>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investments</w:t>
            </w:r>
          </w:p>
        </w:tc>
        <w:tc>
          <w:tcPr>
            <w:tcW w:w="10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888</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888</w:t>
            </w:r>
          </w:p>
        </w:tc>
        <w:tc>
          <w:tcPr>
            <w:tcW w:w="80" w:type="dxa"/>
            <w:vAlign w:val="bottom"/>
            <w:shd w:val="clear" w:color="auto" w:fill="CCEEFF"/>
          </w:tcPr>
          <w:p>
            <w:pPr>
              <w:spacing w:after="0"/>
              <w:rPr>
                <w:sz w:val="18"/>
                <w:szCs w:val="18"/>
                <w:color w:val="auto"/>
              </w:rPr>
            </w:pP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Equity investments</w:t>
            </w:r>
          </w:p>
        </w:tc>
        <w:tc>
          <w:tcPr>
            <w:tcW w:w="10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88"/>
              </w:rPr>
              <w:t>76</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3,217</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3,293</w:t>
            </w:r>
          </w:p>
        </w:tc>
        <w:tc>
          <w:tcPr>
            <w:tcW w:w="80" w:type="dxa"/>
            <w:vAlign w:val="bottom"/>
          </w:tcPr>
          <w:p>
            <w:pPr>
              <w:spacing w:after="0"/>
              <w:rPr>
                <w:sz w:val="18"/>
                <w:szCs w:val="18"/>
                <w:color w:val="auto"/>
              </w:rPr>
            </w:pPr>
          </w:p>
        </w:tc>
      </w:tr>
      <w:tr>
        <w:trPr>
          <w:trHeight w:val="270"/>
        </w:trPr>
        <w:tc>
          <w:tcPr>
            <w:tcW w:w="3040" w:type="dxa"/>
            <w:vAlign w:val="bottom"/>
            <w:shd w:val="clear" w:color="auto" w:fill="CCEEFF"/>
          </w:tcPr>
          <w:p>
            <w:pPr>
              <w:spacing w:after="0" w:line="269" w:lineRule="exact"/>
              <w:rPr>
                <w:sz w:val="20"/>
                <w:szCs w:val="20"/>
                <w:color w:val="auto"/>
              </w:rPr>
            </w:pPr>
            <w:r>
              <w:rPr>
                <w:rFonts w:ascii="Times New Roman" w:cs="Times New Roman" w:eastAsia="Times New Roman" w:hAnsi="Times New Roman"/>
                <w:sz w:val="18"/>
                <w:szCs w:val="18"/>
                <w:color w:val="auto"/>
              </w:rPr>
              <w:t>Equity interest in HSLFI</w:t>
            </w:r>
            <w:r>
              <w:rPr>
                <w:rFonts w:ascii="Times New Roman" w:cs="Times New Roman" w:eastAsia="Times New Roman" w:hAnsi="Times New Roman"/>
                <w:sz w:val="30"/>
                <w:szCs w:val="30"/>
                <w:color w:val="auto"/>
                <w:vertAlign w:val="superscript"/>
              </w:rPr>
              <w:t>(1)</w:t>
            </w:r>
          </w:p>
        </w:tc>
        <w:tc>
          <w:tcPr>
            <w:tcW w:w="10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14,323</w:t>
            </w:r>
          </w:p>
        </w:tc>
      </w:tr>
      <w:tr>
        <w:trPr>
          <w:trHeight w:val="223"/>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Total investments</w:t>
            </w:r>
          </w:p>
        </w:tc>
        <w:tc>
          <w:tcPr>
            <w:tcW w:w="108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88"/>
              </w:rPr>
              <w:t>76</w:t>
            </w:r>
          </w:p>
        </w:tc>
        <w:tc>
          <w:tcPr>
            <w:tcW w:w="20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ind w:right="492"/>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266,424</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281,519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30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137160</wp:posOffset>
            </wp:positionV>
            <wp:extent cx="171513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715135" cy="8890"/>
                    </a:xfrm>
                    <a:prstGeom prst="rect">
                      <a:avLst/>
                    </a:prstGeom>
                    <a:noFill/>
                  </pic:spPr>
                </pic:pic>
              </a:graphicData>
            </a:graphic>
          </wp:anchor>
        </w:drawing>
      </w:r>
    </w:p>
    <w:p>
      <w:pPr>
        <w:spacing w:after="0" w:line="218" w:lineRule="exact"/>
        <w:rPr>
          <w:sz w:val="20"/>
          <w:szCs w:val="20"/>
          <w:color w:val="auto"/>
        </w:rPr>
      </w:pPr>
    </w:p>
    <w:p>
      <w:pPr>
        <w:ind w:left="980" w:hanging="324"/>
        <w:spacing w:after="0" w:line="282"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Company’s equity interest in HSLFI is determined using the net asset value of the Company’s ownership interest in member’s capital.</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38" w:name="page39"/>
    <w:bookmarkEnd w:id="38"/>
    <w:tbl>
      <w:tblPr>
        <w:tblLayout w:type="fixed"/>
        <w:tblInd w:w="660" w:type="dxa"/>
        <w:tblCellMar>
          <w:top w:w="0" w:type="dxa"/>
          <w:left w:w="0" w:type="dxa"/>
          <w:bottom w:w="0" w:type="dxa"/>
          <w:right w:w="0" w:type="dxa"/>
        </w:tblCellMar>
      </w:tblPr>
      <w:tr>
        <w:trPr>
          <w:trHeight w:val="238"/>
        </w:trPr>
        <w:tc>
          <w:tcPr>
            <w:tcW w:w="2380" w:type="dxa"/>
            <w:vAlign w:val="bottom"/>
          </w:tcPr>
          <w:p>
            <w:pPr>
              <w:spacing w:after="0"/>
              <w:rPr>
                <w:sz w:val="20"/>
                <w:szCs w:val="20"/>
                <w:color w:val="auto"/>
              </w:rPr>
            </w:pPr>
          </w:p>
        </w:tc>
        <w:tc>
          <w:tcPr>
            <w:tcW w:w="5040" w:type="dxa"/>
            <w:vAlign w:val="bottom"/>
            <w:gridSpan w:val="10"/>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Horizon Technology Finance Corporation and Subsidiaries</w:t>
            </w: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2380" w:type="dxa"/>
            <w:vAlign w:val="bottom"/>
          </w:tcPr>
          <w:p>
            <w:pPr>
              <w:spacing w:after="0"/>
              <w:rPr>
                <w:sz w:val="24"/>
                <w:szCs w:val="24"/>
                <w:color w:val="auto"/>
              </w:rPr>
            </w:pPr>
          </w:p>
        </w:tc>
        <w:tc>
          <w:tcPr>
            <w:tcW w:w="4680" w:type="dxa"/>
            <w:vAlign w:val="bottom"/>
            <w:gridSpan w:val="8"/>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6"/>
        </w:trPr>
        <w:tc>
          <w:tcPr>
            <w:tcW w:w="23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6"/>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December 31, 2018</w:t>
            </w: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3"/>
        </w:trPr>
        <w:tc>
          <w:tcPr>
            <w:tcW w:w="23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gridSpan w:val="2"/>
          </w:tcPr>
          <w:p>
            <w:pPr>
              <w:spacing w:after="0"/>
              <w:rPr>
                <w:sz w:val="19"/>
                <w:szCs w:val="19"/>
                <w:color w:val="auto"/>
              </w:rPr>
            </w:pPr>
          </w:p>
        </w:tc>
      </w:tr>
      <w:tr>
        <w:trPr>
          <w:trHeight w:val="210"/>
        </w:trPr>
        <w:tc>
          <w:tcPr>
            <w:tcW w:w="23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40" w:type="dxa"/>
            <w:vAlign w:val="bottom"/>
            <w:gridSpan w:val="6"/>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investments</w:t>
            </w:r>
          </w:p>
        </w:tc>
        <w:tc>
          <w:tcPr>
            <w:tcW w:w="2740" w:type="dxa"/>
            <w:vAlign w:val="bottom"/>
            <w:gridSpan w:val="2"/>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216,401</w:t>
            </w:r>
          </w:p>
        </w:tc>
        <w:tc>
          <w:tcPr>
            <w:tcW w:w="280" w:type="dxa"/>
            <w:vAlign w:val="bottom"/>
            <w:gridSpan w:val="2"/>
            <w:shd w:val="clear" w:color="auto" w:fill="CCEEFF"/>
          </w:tcPr>
          <w:p>
            <w:pPr>
              <w:jc w:val="right"/>
              <w:ind w:right="14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216,401</w:t>
            </w:r>
          </w:p>
        </w:tc>
        <w:tc>
          <w:tcPr>
            <w:tcW w:w="80" w:type="dxa"/>
            <w:vAlign w:val="bottom"/>
            <w:shd w:val="clear" w:color="auto" w:fill="CCEEFF"/>
          </w:tcPr>
          <w:p>
            <w:pPr>
              <w:spacing w:after="0"/>
              <w:rPr>
                <w:sz w:val="18"/>
                <w:szCs w:val="18"/>
                <w:color w:val="auto"/>
              </w:rPr>
            </w:pPr>
          </w:p>
        </w:tc>
      </w:t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Warrant investments</w:t>
            </w:r>
          </w:p>
        </w:tc>
        <w:tc>
          <w:tcPr>
            <w:tcW w:w="17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8,632</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9,324</w:t>
            </w:r>
          </w:p>
        </w:tc>
        <w:tc>
          <w:tcPr>
            <w:tcW w:w="80" w:type="dxa"/>
            <w:vAlign w:val="bottom"/>
          </w:tcPr>
          <w:p>
            <w:pPr>
              <w:spacing w:after="0"/>
              <w:rPr>
                <w:sz w:val="18"/>
                <w:szCs w:val="18"/>
                <w:color w:val="auto"/>
              </w:rPr>
            </w:pPr>
          </w:p>
        </w:tc>
      </w:tr>
      <w:tr>
        <w:trPr>
          <w:trHeight w:val="216"/>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investments</w:t>
            </w:r>
          </w:p>
        </w:tc>
        <w:tc>
          <w:tcPr>
            <w:tcW w:w="17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7,640</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7,640</w:t>
            </w:r>
          </w:p>
        </w:tc>
        <w:tc>
          <w:tcPr>
            <w:tcW w:w="80" w:type="dxa"/>
            <w:vAlign w:val="bottom"/>
            <w:shd w:val="clear" w:color="auto" w:fill="CCEEFF"/>
          </w:tcPr>
          <w:p>
            <w:pPr>
              <w:spacing w:after="0"/>
              <w:rPr>
                <w:sz w:val="18"/>
                <w:szCs w:val="18"/>
                <w:color w:val="auto"/>
              </w:rPr>
            </w:pPr>
          </w:p>
        </w:tc>
      </w:t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Equity investments</w:t>
            </w:r>
          </w:p>
        </w:tc>
        <w:tc>
          <w:tcPr>
            <w:tcW w:w="17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1,289</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1,833</w:t>
            </w:r>
          </w:p>
        </w:tc>
        <w:tc>
          <w:tcPr>
            <w:tcW w:w="80" w:type="dxa"/>
            <w:vAlign w:val="bottom"/>
          </w:tcPr>
          <w:p>
            <w:pPr>
              <w:spacing w:after="0"/>
              <w:rPr>
                <w:sz w:val="18"/>
                <w:szCs w:val="18"/>
                <w:color w:val="auto"/>
              </w:rPr>
            </w:pPr>
          </w:p>
        </w:tc>
      </w:tr>
      <w:tr>
        <w:trPr>
          <w:trHeight w:val="270"/>
        </w:trPr>
        <w:tc>
          <w:tcPr>
            <w:tcW w:w="2380" w:type="dxa"/>
            <w:vAlign w:val="bottom"/>
            <w:shd w:val="clear" w:color="auto" w:fill="CCEEFF"/>
          </w:tcPr>
          <w:p>
            <w:pPr>
              <w:spacing w:after="0" w:line="269" w:lineRule="exact"/>
              <w:rPr>
                <w:sz w:val="20"/>
                <w:szCs w:val="20"/>
                <w:color w:val="auto"/>
              </w:rPr>
            </w:pPr>
            <w:r>
              <w:rPr>
                <w:rFonts w:ascii="Times New Roman" w:cs="Times New Roman" w:eastAsia="Times New Roman" w:hAnsi="Times New Roman"/>
                <w:sz w:val="18"/>
                <w:szCs w:val="18"/>
                <w:color w:val="auto"/>
              </w:rPr>
              <w:t>Equity interest in HSLFI</w:t>
            </w:r>
            <w:r>
              <w:rPr>
                <w:rFonts w:ascii="Times New Roman" w:cs="Times New Roman" w:eastAsia="Times New Roman" w:hAnsi="Times New Roman"/>
                <w:sz w:val="30"/>
                <w:szCs w:val="30"/>
                <w:color w:val="auto"/>
                <w:vertAlign w:val="superscript"/>
              </w:rPr>
              <w:t>(1)</w:t>
            </w:r>
          </w:p>
        </w:tc>
        <w:tc>
          <w:tcPr>
            <w:tcW w:w="174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13,243</w:t>
            </w:r>
          </w:p>
        </w:tc>
      </w:tr>
      <w:tr>
        <w:trPr>
          <w:trHeight w:val="223"/>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Total investments</w:t>
            </w:r>
          </w:p>
        </w:tc>
        <w:tc>
          <w:tcPr>
            <w:tcW w:w="174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233,962</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248,441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23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137160</wp:posOffset>
            </wp:positionV>
            <wp:extent cx="171513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715135" cy="8890"/>
                    </a:xfrm>
                    <a:prstGeom prst="rect">
                      <a:avLst/>
                    </a:prstGeom>
                    <a:noFill/>
                  </pic:spPr>
                </pic:pic>
              </a:graphicData>
            </a:graphic>
          </wp:anchor>
        </w:drawing>
      </w:r>
    </w:p>
    <w:p>
      <w:pPr>
        <w:spacing w:after="0" w:line="205" w:lineRule="exact"/>
        <w:rPr>
          <w:sz w:val="20"/>
          <w:szCs w:val="20"/>
          <w:color w:val="auto"/>
        </w:rPr>
      </w:pPr>
    </w:p>
    <w:p>
      <w:pPr>
        <w:ind w:left="980" w:hanging="324"/>
        <w:spacing w:after="0" w:line="282"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Company’s equity interest in HSLFI is determined using the net asset value of the Company’s ownership interest in member’s capital.</w:t>
      </w:r>
    </w:p>
    <w:p>
      <w:pPr>
        <w:spacing w:after="0" w:line="16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shows a reconciliation of the beginning and ending balances for Level 3 assets measured at fair value on a recurring basis for the three months ended September 30, 2019:</w:t>
      </w:r>
    </w:p>
    <w:p>
      <w:pPr>
        <w:spacing w:after="0" w:line="171"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3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100" w:type="dxa"/>
            <w:vAlign w:val="bottom"/>
            <w:tcBorders>
              <w:bottom w:val="single" w:sz="8" w:color="auto"/>
            </w:tcBorders>
            <w:gridSpan w:val="9"/>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 30, 2019</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3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right"/>
              <w:ind w:right="540"/>
              <w:spacing w:after="0" w:line="188" w:lineRule="exact"/>
              <w:rPr>
                <w:sz w:val="20"/>
                <w:szCs w:val="20"/>
                <w:color w:val="auto"/>
              </w:rPr>
            </w:pPr>
            <w:r>
              <w:rPr>
                <w:rFonts w:ascii="Times New Roman" w:cs="Times New Roman" w:eastAsia="Times New Roman" w:hAnsi="Times New Roman"/>
                <w:sz w:val="18"/>
                <w:szCs w:val="18"/>
                <w:b w:val="1"/>
                <w:bCs w:val="1"/>
                <w:color w:val="auto"/>
              </w:rPr>
              <w:t>Debt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right"/>
              <w:ind w:right="480"/>
              <w:spacing w:after="0" w:line="188" w:lineRule="exact"/>
              <w:rPr>
                <w:sz w:val="20"/>
                <w:szCs w:val="20"/>
                <w:color w:val="auto"/>
              </w:rPr>
            </w:pPr>
            <w:r>
              <w:rPr>
                <w:rFonts w:ascii="Times New Roman" w:cs="Times New Roman" w:eastAsia="Times New Roman" w:hAnsi="Times New Roman"/>
                <w:sz w:val="18"/>
                <w:szCs w:val="18"/>
                <w:b w:val="1"/>
                <w:bCs w:val="1"/>
                <w:color w:val="auto"/>
              </w:rPr>
              <w:t>Warrant</w:t>
            </w:r>
          </w:p>
        </w:tc>
        <w:tc>
          <w:tcPr>
            <w:tcW w:w="120" w:type="dxa"/>
            <w:vAlign w:val="bottom"/>
          </w:tcPr>
          <w:p>
            <w:pPr>
              <w:spacing w:after="0"/>
              <w:rPr>
                <w:sz w:val="16"/>
                <w:szCs w:val="16"/>
                <w:color w:val="auto"/>
              </w:rPr>
            </w:pPr>
          </w:p>
        </w:tc>
        <w:tc>
          <w:tcPr>
            <w:tcW w:w="1220" w:type="dxa"/>
            <w:vAlign w:val="bottom"/>
            <w:gridSpan w:val="2"/>
          </w:tcPr>
          <w:p>
            <w:pPr>
              <w:jc w:val="center"/>
              <w:ind w:right="260"/>
              <w:spacing w:after="0" w:line="188" w:lineRule="exact"/>
              <w:rPr>
                <w:sz w:val="20"/>
                <w:szCs w:val="20"/>
                <w:color w:val="auto"/>
              </w:rPr>
            </w:pPr>
            <w:r>
              <w:rPr>
                <w:rFonts w:ascii="Times New Roman" w:cs="Times New Roman" w:eastAsia="Times New Roman" w:hAnsi="Times New Roman"/>
                <w:sz w:val="18"/>
                <w:szCs w:val="18"/>
                <w:b w:val="1"/>
                <w:bCs w:val="1"/>
                <w:color w:val="auto"/>
                <w:w w:val="99"/>
              </w:rPr>
              <w:t>Equity</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right"/>
              <w:ind w:right="560"/>
              <w:spacing w:after="0" w:line="188" w:lineRule="exact"/>
              <w:rPr>
                <w:sz w:val="20"/>
                <w:szCs w:val="20"/>
                <w:color w:val="auto"/>
              </w:rPr>
            </w:pPr>
            <w:r>
              <w:rPr>
                <w:rFonts w:ascii="Times New Roman" w:cs="Times New Roman" w:eastAsia="Times New Roman" w:hAnsi="Times New Roman"/>
                <w:sz w:val="18"/>
                <w:szCs w:val="18"/>
                <w:b w:val="1"/>
                <w:bCs w:val="1"/>
                <w:color w:val="auto"/>
              </w:rPr>
              <w:t>Other</w:t>
            </w: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3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Investments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Investments</w:t>
            </w:r>
          </w:p>
        </w:tc>
        <w:tc>
          <w:tcPr>
            <w:tcW w:w="120" w:type="dxa"/>
            <w:vAlign w:val="bottom"/>
          </w:tcPr>
          <w:p>
            <w:pPr>
              <w:spacing w:after="0"/>
              <w:rPr>
                <w:sz w:val="20"/>
                <w:szCs w:val="20"/>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Investments</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8"/>
              </w:rPr>
              <w:t>Investments</w:t>
            </w:r>
          </w:p>
        </w:tc>
        <w:tc>
          <w:tcPr>
            <w:tcW w:w="240" w:type="dxa"/>
            <w:vAlign w:val="bottom"/>
          </w:tcPr>
          <w:p>
            <w:pPr>
              <w:spacing w:after="0"/>
              <w:rPr>
                <w:sz w:val="20"/>
                <w:szCs w:val="20"/>
                <w:color w:val="auto"/>
              </w:rPr>
            </w:pPr>
          </w:p>
        </w:tc>
        <w:tc>
          <w:tcPr>
            <w:tcW w:w="10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3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Level 3 assets, beginning of period</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242,287</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3,110</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6,200</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260,097</w:t>
            </w: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Purchase of investments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42,147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42,147</w:t>
            </w:r>
          </w:p>
        </w:tc>
      </w:tr>
      <w:tr>
        <w:trPr>
          <w:trHeight w:val="198"/>
        </w:trPr>
        <w:tc>
          <w:tcPr>
            <w:tcW w:w="37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Warrants and equity received and classified as</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Level 3</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300</w:t>
            </w: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240</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540</w:t>
            </w: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Principal payments received on investments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(35,913)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(35,913)</w:t>
            </w: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sale of investments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(506)</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(506)</w:t>
            </w: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Net realized gain (loss) on investments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358</w:t>
            </w:r>
          </w:p>
        </w:tc>
        <w:tc>
          <w:tcPr>
            <w:tcW w:w="12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(800)</w:t>
            </w:r>
          </w:p>
        </w:tc>
        <w:tc>
          <w:tcPr>
            <w:tcW w:w="2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(442)</w:t>
            </w:r>
          </w:p>
        </w:tc>
      </w:tr>
      <w:tr>
        <w:trPr>
          <w:trHeight w:val="198"/>
        </w:trPr>
        <w:tc>
          <w:tcPr>
            <w:tcW w:w="37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Unrealized (depreciation) appreciation included in</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earnings</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498</w:t>
            </w: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(133)</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297</w:t>
            </w: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Transfer out of Level 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 of investment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4,500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(4,500)</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204</w:t>
            </w:r>
          </w:p>
        </w:tc>
      </w:tr>
      <w:tr>
        <w:trPr>
          <w:trHeight w:val="223"/>
        </w:trPr>
        <w:tc>
          <w:tcPr>
            <w:tcW w:w="37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Level 3 assets, end of period</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253,185</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3,217</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266,424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During the three months ended September 30, 2019 and 2018, there was no transfer in or out of Level 3.</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shows a reconciliation of the beginning and ending balances for Level 3 assets measured at fair value on a recurring basis for the three months ended September 30, 2018:</w:t>
      </w:r>
    </w:p>
    <w:p>
      <w:pPr>
        <w:spacing w:after="0" w:line="171"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3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100" w:type="dxa"/>
            <w:vAlign w:val="bottom"/>
            <w:tcBorders>
              <w:bottom w:val="single" w:sz="8" w:color="auto"/>
            </w:tcBorders>
            <w:gridSpan w:val="8"/>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 30, 2018</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3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right"/>
              <w:ind w:right="540"/>
              <w:spacing w:after="0" w:line="188" w:lineRule="exact"/>
              <w:rPr>
                <w:sz w:val="20"/>
                <w:szCs w:val="20"/>
                <w:color w:val="auto"/>
              </w:rPr>
            </w:pPr>
            <w:r>
              <w:rPr>
                <w:rFonts w:ascii="Times New Roman" w:cs="Times New Roman" w:eastAsia="Times New Roman" w:hAnsi="Times New Roman"/>
                <w:sz w:val="18"/>
                <w:szCs w:val="18"/>
                <w:b w:val="1"/>
                <w:bCs w:val="1"/>
                <w:color w:val="auto"/>
              </w:rPr>
              <w:t>Debt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right"/>
              <w:ind w:right="480"/>
              <w:spacing w:after="0" w:line="188" w:lineRule="exact"/>
              <w:rPr>
                <w:sz w:val="20"/>
                <w:szCs w:val="20"/>
                <w:color w:val="auto"/>
              </w:rPr>
            </w:pPr>
            <w:r>
              <w:rPr>
                <w:rFonts w:ascii="Times New Roman" w:cs="Times New Roman" w:eastAsia="Times New Roman" w:hAnsi="Times New Roman"/>
                <w:sz w:val="18"/>
                <w:szCs w:val="18"/>
                <w:b w:val="1"/>
                <w:bCs w:val="1"/>
                <w:color w:val="auto"/>
              </w:rPr>
              <w:t>Warrant</w:t>
            </w:r>
          </w:p>
        </w:tc>
        <w:tc>
          <w:tcPr>
            <w:tcW w:w="120" w:type="dxa"/>
            <w:vAlign w:val="bottom"/>
          </w:tcPr>
          <w:p>
            <w:pPr>
              <w:spacing w:after="0"/>
              <w:rPr>
                <w:sz w:val="16"/>
                <w:szCs w:val="16"/>
                <w:color w:val="auto"/>
              </w:rPr>
            </w:pPr>
          </w:p>
        </w:tc>
        <w:tc>
          <w:tcPr>
            <w:tcW w:w="1080" w:type="dxa"/>
            <w:vAlign w:val="bottom"/>
          </w:tcPr>
          <w:p>
            <w:pPr>
              <w:jc w:val="center"/>
              <w:ind w:right="30"/>
              <w:spacing w:after="0" w:line="188" w:lineRule="exact"/>
              <w:rPr>
                <w:sz w:val="20"/>
                <w:szCs w:val="20"/>
                <w:color w:val="auto"/>
              </w:rPr>
            </w:pPr>
            <w:r>
              <w:rPr>
                <w:rFonts w:ascii="Times New Roman" w:cs="Times New Roman" w:eastAsia="Times New Roman" w:hAnsi="Times New Roman"/>
                <w:sz w:val="18"/>
                <w:szCs w:val="18"/>
                <w:b w:val="1"/>
                <w:bCs w:val="1"/>
                <w:color w:val="auto"/>
                <w:w w:val="99"/>
              </w:rPr>
              <w:t>Equity</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right"/>
              <w:ind w:right="560"/>
              <w:spacing w:after="0" w:line="188" w:lineRule="exact"/>
              <w:rPr>
                <w:sz w:val="20"/>
                <w:szCs w:val="20"/>
                <w:color w:val="auto"/>
              </w:rPr>
            </w:pPr>
            <w:r>
              <w:rPr>
                <w:rFonts w:ascii="Times New Roman" w:cs="Times New Roman" w:eastAsia="Times New Roman" w:hAnsi="Times New Roman"/>
                <w:sz w:val="18"/>
                <w:szCs w:val="18"/>
                <w:b w:val="1"/>
                <w:bCs w:val="1"/>
                <w:color w:val="auto"/>
              </w:rPr>
              <w:t>Other</w:t>
            </w: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3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Investments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Investments</w:t>
            </w:r>
          </w:p>
        </w:tc>
        <w:tc>
          <w:tcPr>
            <w:tcW w:w="120" w:type="dxa"/>
            <w:vAlign w:val="bottom"/>
          </w:tcPr>
          <w:p>
            <w:pPr>
              <w:spacing w:after="0"/>
              <w:rPr>
                <w:sz w:val="20"/>
                <w:szCs w:val="20"/>
                <w:color w:val="auto"/>
              </w:rPr>
            </w:pPr>
          </w:p>
        </w:tc>
        <w:tc>
          <w:tcPr>
            <w:tcW w:w="10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Investments</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8"/>
              </w:rPr>
              <w:t>Investments</w:t>
            </w:r>
          </w:p>
        </w:tc>
        <w:tc>
          <w:tcPr>
            <w:tcW w:w="240" w:type="dxa"/>
            <w:vAlign w:val="bottom"/>
          </w:tcPr>
          <w:p>
            <w:pPr>
              <w:spacing w:after="0"/>
              <w:rPr>
                <w:sz w:val="20"/>
                <w:szCs w:val="20"/>
                <w:color w:val="auto"/>
              </w:rPr>
            </w:pPr>
          </w:p>
        </w:tc>
        <w:tc>
          <w:tcPr>
            <w:tcW w:w="10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3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Level 3 assets, beginning of period</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203,459</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7,729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7,700</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220,103</w:t>
            </w: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Purchase of investments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24,200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24,200</w:t>
            </w:r>
          </w:p>
        </w:tc>
      </w:tr>
      <w:tr>
        <w:trPr>
          <w:trHeight w:val="198"/>
        </w:trPr>
        <w:tc>
          <w:tcPr>
            <w:tcW w:w="37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Warrants and equity received and classified as</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Level 3</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618</w:t>
            </w: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692</w:t>
            </w: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Principal payments received on investments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(12,168)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w:t>
            </w:r>
          </w:p>
        </w:tc>
        <w:tc>
          <w:tcPr>
            <w:tcW w:w="2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(12,201)</w:t>
            </w: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sale of investments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(291)</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(294)</w:t>
            </w: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Net realized (loss) gain on investments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w:t>
            </w:r>
          </w:p>
        </w:tc>
      </w:tr>
      <w:tr>
        <w:trPr>
          <w:trHeight w:val="198"/>
        </w:trPr>
        <w:tc>
          <w:tcPr>
            <w:tcW w:w="37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Unrealized (depreciation) appreciation included in</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earnings</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1,242</w:t>
            </w: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1,215</w:t>
            </w:r>
          </w:p>
        </w:tc>
      </w:tr>
      <w:tr>
        <w:trPr>
          <w:trHeight w:val="230"/>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(307)</w:t>
            </w:r>
          </w:p>
        </w:tc>
      </w:tr>
      <w:tr>
        <w:trPr>
          <w:trHeight w:val="223"/>
        </w:trPr>
        <w:tc>
          <w:tcPr>
            <w:tcW w:w="37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Level 3 assets, end of period</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215,144</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233,473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During the three months ended September 30, 2018, there were no transfers in or out of Level 3.</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shows a reconciliation of the beginning and ending balances for Level 3 assets measured at fair value on a recurring basis for the nine months ended September 30, 2019:</w:t>
      </w:r>
    </w:p>
    <w:p>
      <w:pPr>
        <w:spacing w:after="0" w:line="171"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3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100" w:type="dxa"/>
            <w:vAlign w:val="bottom"/>
            <w:tcBorders>
              <w:bottom w:val="single" w:sz="8" w:color="auto"/>
            </w:tcBorders>
            <w:gridSpan w:val="9"/>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 2019</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3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right"/>
              <w:ind w:right="540"/>
              <w:spacing w:after="0" w:line="188" w:lineRule="exact"/>
              <w:rPr>
                <w:sz w:val="20"/>
                <w:szCs w:val="20"/>
                <w:color w:val="auto"/>
              </w:rPr>
            </w:pPr>
            <w:r>
              <w:rPr>
                <w:rFonts w:ascii="Times New Roman" w:cs="Times New Roman" w:eastAsia="Times New Roman" w:hAnsi="Times New Roman"/>
                <w:sz w:val="18"/>
                <w:szCs w:val="18"/>
                <w:b w:val="1"/>
                <w:bCs w:val="1"/>
                <w:color w:val="auto"/>
              </w:rPr>
              <w:t>Debt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right"/>
              <w:ind w:right="480"/>
              <w:spacing w:after="0" w:line="188" w:lineRule="exact"/>
              <w:rPr>
                <w:sz w:val="20"/>
                <w:szCs w:val="20"/>
                <w:color w:val="auto"/>
              </w:rPr>
            </w:pPr>
            <w:r>
              <w:rPr>
                <w:rFonts w:ascii="Times New Roman" w:cs="Times New Roman" w:eastAsia="Times New Roman" w:hAnsi="Times New Roman"/>
                <w:sz w:val="18"/>
                <w:szCs w:val="18"/>
                <w:b w:val="1"/>
                <w:bCs w:val="1"/>
                <w:color w:val="auto"/>
              </w:rPr>
              <w:t>Warrant</w:t>
            </w:r>
          </w:p>
        </w:tc>
        <w:tc>
          <w:tcPr>
            <w:tcW w:w="120" w:type="dxa"/>
            <w:vAlign w:val="bottom"/>
          </w:tcPr>
          <w:p>
            <w:pPr>
              <w:spacing w:after="0"/>
              <w:rPr>
                <w:sz w:val="16"/>
                <w:szCs w:val="16"/>
                <w:color w:val="auto"/>
              </w:rPr>
            </w:pPr>
          </w:p>
        </w:tc>
        <w:tc>
          <w:tcPr>
            <w:tcW w:w="1220" w:type="dxa"/>
            <w:vAlign w:val="bottom"/>
            <w:gridSpan w:val="2"/>
          </w:tcPr>
          <w:p>
            <w:pPr>
              <w:jc w:val="center"/>
              <w:ind w:right="260"/>
              <w:spacing w:after="0" w:line="188" w:lineRule="exact"/>
              <w:rPr>
                <w:sz w:val="20"/>
                <w:szCs w:val="20"/>
                <w:color w:val="auto"/>
              </w:rPr>
            </w:pPr>
            <w:r>
              <w:rPr>
                <w:rFonts w:ascii="Times New Roman" w:cs="Times New Roman" w:eastAsia="Times New Roman" w:hAnsi="Times New Roman"/>
                <w:sz w:val="18"/>
                <w:szCs w:val="18"/>
                <w:b w:val="1"/>
                <w:bCs w:val="1"/>
                <w:color w:val="auto"/>
                <w:w w:val="99"/>
              </w:rPr>
              <w:t>Equity</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right"/>
              <w:ind w:right="560"/>
              <w:spacing w:after="0" w:line="188" w:lineRule="exact"/>
              <w:rPr>
                <w:sz w:val="20"/>
                <w:szCs w:val="20"/>
                <w:color w:val="auto"/>
              </w:rPr>
            </w:pPr>
            <w:r>
              <w:rPr>
                <w:rFonts w:ascii="Times New Roman" w:cs="Times New Roman" w:eastAsia="Times New Roman" w:hAnsi="Times New Roman"/>
                <w:sz w:val="18"/>
                <w:szCs w:val="18"/>
                <w:b w:val="1"/>
                <w:bCs w:val="1"/>
                <w:color w:val="auto"/>
              </w:rPr>
              <w:t>Other</w:t>
            </w: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3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Investments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Investments</w:t>
            </w:r>
          </w:p>
        </w:tc>
        <w:tc>
          <w:tcPr>
            <w:tcW w:w="120" w:type="dxa"/>
            <w:vAlign w:val="bottom"/>
          </w:tcPr>
          <w:p>
            <w:pPr>
              <w:spacing w:after="0"/>
              <w:rPr>
                <w:sz w:val="20"/>
                <w:szCs w:val="20"/>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Investments</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8"/>
              </w:rPr>
              <w:t>Investments</w:t>
            </w:r>
          </w:p>
        </w:tc>
        <w:tc>
          <w:tcPr>
            <w:tcW w:w="240" w:type="dxa"/>
            <w:vAlign w:val="bottom"/>
          </w:tcPr>
          <w:p>
            <w:pPr>
              <w:spacing w:after="0"/>
              <w:rPr>
                <w:sz w:val="20"/>
                <w:szCs w:val="20"/>
                <w:color w:val="auto"/>
              </w:rPr>
            </w:pPr>
          </w:p>
        </w:tc>
        <w:tc>
          <w:tcPr>
            <w:tcW w:w="10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3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Level 3 assets, beginning of period</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216,401</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8,632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7,640</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233,962</w:t>
            </w: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Purchase of investments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135,284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135,284</w:t>
            </w:r>
          </w:p>
        </w:tc>
      </w:tr>
      <w:tr>
        <w:trPr>
          <w:trHeight w:val="198"/>
        </w:trPr>
        <w:tc>
          <w:tcPr>
            <w:tcW w:w="37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Warrants and equity received and classified as</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Level 3</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1,288</w:t>
            </w: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240</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1,528</w:t>
            </w: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Principal payments received on investments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(101,035)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(82)</w:t>
            </w:r>
          </w:p>
        </w:tc>
        <w:tc>
          <w:tcPr>
            <w:tcW w:w="2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(101,117)</w:t>
            </w: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sale of investments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(1,381)</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(45)</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(1,426)</w:t>
            </w: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Net realized gain (loss) on investments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634</w:t>
            </w:r>
          </w:p>
        </w:tc>
        <w:tc>
          <w:tcPr>
            <w:tcW w:w="12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(4,944)</w:t>
            </w:r>
          </w:p>
        </w:tc>
        <w:tc>
          <w:tcPr>
            <w:tcW w:w="2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(4,306)</w:t>
            </w:r>
          </w:p>
        </w:tc>
      </w:tr>
      <w:tr>
        <w:trPr>
          <w:trHeight w:val="198"/>
        </w:trPr>
        <w:tc>
          <w:tcPr>
            <w:tcW w:w="37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Unrealized (depreciation) appreciation included in</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earnings</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(1,602)</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167</w:t>
            </w: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1,729</w:t>
            </w: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2,774</w:t>
            </w:r>
          </w:p>
        </w:tc>
        <w:tc>
          <w:tcPr>
            <w:tcW w:w="2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3,068</w:t>
            </w: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Transfer out of Level 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(190)</w:t>
            </w:r>
          </w:p>
        </w:tc>
        <w:tc>
          <w:tcPr>
            <w:tcW w:w="12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(190)</w:t>
            </w: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 of investment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4,500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(4,500)</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(363)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(379)</w:t>
            </w:r>
          </w:p>
        </w:tc>
      </w:tr>
      <w:tr>
        <w:trPr>
          <w:trHeight w:val="223"/>
        </w:trPr>
        <w:tc>
          <w:tcPr>
            <w:tcW w:w="37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Level 3 assets, end of period</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253,185</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3,217</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266,424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2019, there was one transfer out of Level 3. The transfer out of Level 3 related to warrants held in one portfolio company with an aggregate fair value of $0.2 million that was transferred to Level 2 upon the portfolio company becoming a public company. During the nine months ended September 30, 2019, there were no transfers to Level 3.</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change in unrealized appreciation included in the consolidated statement of operations attributable to Level 3 investments still held at September 30, 2019 includes $3.8 million in unrealized depreciation on debt and other investments, $0.7 million in unrealized appreciation on warrant investments and $1.9 million in unrealized appreciation on equity investments.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shows a reconciliation of the beginning and ending balances for Level 3 assets measured at fair value on a recurring basis for the nine months ended September 30, 2018:</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40" w:name="page41"/>
    <w:bookmarkEnd w:id="40"/>
    <w:tbl>
      <w:tblPr>
        <w:tblLayout w:type="fixed"/>
        <w:tblInd w:w="340" w:type="dxa"/>
        <w:tblCellMar>
          <w:top w:w="0" w:type="dxa"/>
          <w:left w:w="0" w:type="dxa"/>
          <w:bottom w:w="0" w:type="dxa"/>
          <w:right w:w="0" w:type="dxa"/>
        </w:tblCellMar>
      </w:tblPr>
      <w:tr>
        <w:trPr>
          <w:trHeight w:val="238"/>
        </w:trPr>
        <w:tc>
          <w:tcPr>
            <w:tcW w:w="8000" w:type="dxa"/>
            <w:vAlign w:val="bottom"/>
            <w:gridSpan w:val="12"/>
          </w:tcPr>
          <w:p>
            <w:pPr>
              <w:ind w:left="3100"/>
              <w:spacing w:after="0"/>
              <w:rPr>
                <w:sz w:val="20"/>
                <w:szCs w:val="20"/>
                <w:color w:val="auto"/>
              </w:rPr>
            </w:pPr>
            <w:r>
              <w:rPr>
                <w:rFonts w:ascii="Times New Roman" w:cs="Times New Roman" w:eastAsia="Times New Roman" w:hAnsi="Times New Roman"/>
                <w:sz w:val="18"/>
                <w:szCs w:val="18"/>
                <w:b w:val="1"/>
                <w:bCs w:val="1"/>
                <w:color w:val="auto"/>
              </w:rPr>
              <w:t>Horizon Technology Finance Corporation and Subsidiaries</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3660" w:type="dxa"/>
            <w:vAlign w:val="bottom"/>
          </w:tcPr>
          <w:p>
            <w:pPr>
              <w:spacing w:after="0"/>
              <w:rPr>
                <w:sz w:val="24"/>
                <w:szCs w:val="24"/>
                <w:color w:val="auto"/>
              </w:rPr>
            </w:pPr>
          </w:p>
        </w:tc>
        <w:tc>
          <w:tcPr>
            <w:tcW w:w="4340" w:type="dxa"/>
            <w:vAlign w:val="bottom"/>
            <w:gridSpan w:val="11"/>
          </w:tcPr>
          <w:p>
            <w:pPr>
              <w:jc w:val="right"/>
              <w:ind w:right="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6"/>
        </w:trPr>
        <w:tc>
          <w:tcPr>
            <w:tcW w:w="3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gridSpan w:val="9"/>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 2018</w:t>
            </w: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7"/>
        </w:trPr>
        <w:tc>
          <w:tcPr>
            <w:tcW w:w="3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right"/>
              <w:ind w:right="540"/>
              <w:spacing w:after="0" w:line="188" w:lineRule="exact"/>
              <w:rPr>
                <w:sz w:val="20"/>
                <w:szCs w:val="20"/>
                <w:color w:val="auto"/>
              </w:rPr>
            </w:pPr>
            <w:r>
              <w:rPr>
                <w:rFonts w:ascii="Times New Roman" w:cs="Times New Roman" w:eastAsia="Times New Roman" w:hAnsi="Times New Roman"/>
                <w:sz w:val="18"/>
                <w:szCs w:val="18"/>
                <w:b w:val="1"/>
                <w:bCs w:val="1"/>
                <w:color w:val="auto"/>
              </w:rPr>
              <w:t>Debt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right"/>
              <w:ind w:right="480"/>
              <w:spacing w:after="0" w:line="188" w:lineRule="exact"/>
              <w:rPr>
                <w:sz w:val="20"/>
                <w:szCs w:val="20"/>
                <w:color w:val="auto"/>
              </w:rPr>
            </w:pPr>
            <w:r>
              <w:rPr>
                <w:rFonts w:ascii="Times New Roman" w:cs="Times New Roman" w:eastAsia="Times New Roman" w:hAnsi="Times New Roman"/>
                <w:sz w:val="18"/>
                <w:szCs w:val="18"/>
                <w:b w:val="1"/>
                <w:bCs w:val="1"/>
                <w:color w:val="auto"/>
              </w:rPr>
              <w:t>Warrant</w:t>
            </w:r>
          </w:p>
        </w:tc>
        <w:tc>
          <w:tcPr>
            <w:tcW w:w="120" w:type="dxa"/>
            <w:vAlign w:val="bottom"/>
          </w:tcPr>
          <w:p>
            <w:pPr>
              <w:spacing w:after="0"/>
              <w:rPr>
                <w:sz w:val="16"/>
                <w:szCs w:val="16"/>
                <w:color w:val="auto"/>
              </w:rPr>
            </w:pPr>
          </w:p>
        </w:tc>
        <w:tc>
          <w:tcPr>
            <w:tcW w:w="1220" w:type="dxa"/>
            <w:vAlign w:val="bottom"/>
            <w:gridSpan w:val="2"/>
          </w:tcPr>
          <w:p>
            <w:pPr>
              <w:jc w:val="center"/>
              <w:ind w:right="260"/>
              <w:spacing w:after="0" w:line="188" w:lineRule="exact"/>
              <w:rPr>
                <w:sz w:val="20"/>
                <w:szCs w:val="20"/>
                <w:color w:val="auto"/>
              </w:rPr>
            </w:pPr>
            <w:r>
              <w:rPr>
                <w:rFonts w:ascii="Times New Roman" w:cs="Times New Roman" w:eastAsia="Times New Roman" w:hAnsi="Times New Roman"/>
                <w:sz w:val="18"/>
                <w:szCs w:val="18"/>
                <w:b w:val="1"/>
                <w:bCs w:val="1"/>
                <w:color w:val="auto"/>
                <w:w w:val="99"/>
              </w:rPr>
              <w:t>Equity</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right"/>
              <w:ind w:right="560"/>
              <w:spacing w:after="0" w:line="188" w:lineRule="exact"/>
              <w:rPr>
                <w:sz w:val="20"/>
                <w:szCs w:val="20"/>
                <w:color w:val="auto"/>
              </w:rPr>
            </w:pPr>
            <w:r>
              <w:rPr>
                <w:rFonts w:ascii="Times New Roman" w:cs="Times New Roman" w:eastAsia="Times New Roman" w:hAnsi="Times New Roman"/>
                <w:sz w:val="18"/>
                <w:szCs w:val="18"/>
                <w:b w:val="1"/>
                <w:bCs w:val="1"/>
                <w:color w:val="auto"/>
              </w:rPr>
              <w:t>Other</w:t>
            </w: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3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Investments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Investments</w:t>
            </w:r>
          </w:p>
        </w:tc>
        <w:tc>
          <w:tcPr>
            <w:tcW w:w="120" w:type="dxa"/>
            <w:vAlign w:val="bottom"/>
          </w:tcPr>
          <w:p>
            <w:pPr>
              <w:spacing w:after="0"/>
              <w:rPr>
                <w:sz w:val="20"/>
                <w:szCs w:val="20"/>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Investments</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8"/>
              </w:rPr>
              <w:t>Investments</w:t>
            </w:r>
          </w:p>
        </w:tc>
        <w:tc>
          <w:tcPr>
            <w:tcW w:w="240" w:type="dxa"/>
            <w:vAlign w:val="bottom"/>
          </w:tcPr>
          <w:p>
            <w:pPr>
              <w:spacing w:after="0"/>
              <w:rPr>
                <w:sz w:val="20"/>
                <w:szCs w:val="20"/>
                <w:color w:val="auto"/>
              </w:rPr>
            </w:pPr>
          </w:p>
        </w:tc>
        <w:tc>
          <w:tcPr>
            <w:tcW w:w="10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3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Level 3 assets, beginning of period</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203,793</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7,373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249</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7,700</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219,115</w:t>
            </w: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Purchase of investments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62,246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62,246</w:t>
            </w:r>
          </w:p>
        </w:tc>
      </w:tr>
      <w:tr>
        <w:trPr>
          <w:trHeight w:val="198"/>
        </w:trPr>
        <w:tc>
          <w:tcPr>
            <w:tcW w:w="36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Warrants and equity received and classified as</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Level 3</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1,030</w:t>
            </w: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2,120</w:t>
            </w: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Principal payments received on investments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(46,334)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(169)</w:t>
            </w:r>
          </w:p>
        </w:tc>
        <w:tc>
          <w:tcPr>
            <w:tcW w:w="2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(46,503)</w:t>
            </w:r>
          </w:p>
        </w:tc>
      </w:tr>
      <w:tr>
        <w:trPr>
          <w:trHeight w:val="216"/>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sale of investments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(3,064)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(296)</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(3,360)</w:t>
            </w: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Net realized loss on investments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(205)</w:t>
            </w:r>
          </w:p>
        </w:tc>
        <w:tc>
          <w:tcPr>
            <w:tcW w:w="12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(237)</w:t>
            </w:r>
          </w:p>
        </w:tc>
      </w:tr>
      <w:tr>
        <w:trPr>
          <w:trHeight w:val="198"/>
        </w:trPr>
        <w:tc>
          <w:tcPr>
            <w:tcW w:w="36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Unrealized (depreciation) appreciation included in</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earnings</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(180)</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1,478</w:t>
            </w: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(50)</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129</w:t>
            </w:r>
          </w:p>
        </w:tc>
        <w:tc>
          <w:tcPr>
            <w:tcW w:w="2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1,377</w:t>
            </w:r>
          </w:p>
        </w:tc>
      </w:tr>
      <w:tr>
        <w:trPr>
          <w:trHeight w:val="230"/>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(1,285)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(1,285)</w:t>
            </w:r>
          </w:p>
        </w:tc>
      </w:tr>
      <w:tr>
        <w:trPr>
          <w:trHeight w:val="223"/>
        </w:trPr>
        <w:tc>
          <w:tcPr>
            <w:tcW w:w="36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Level 3 assets, end of period</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215,144</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233,473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During the nine months ended September 30, 2018, there were no transfers in or out of Level 3.</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change in unrealized appreciation included in the consolidated statement of operations attributable to Level 3 investments still held at September 30, 2018 includes $0.2 million in unrealized depreciation on debt and other investments, $1.3 million in unrealized appreciation on warrant investments and $0.05 million in unrealized depreciation on equity investments.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discloses fair value information about financial instruments, whether or not recognized in the consolidated statement of assets and liabilities, for which it is practicable to estimate that value. Certain financial instruments are excluded from the disclosure requirements. Accordingly, the aggregate fair value amounts presented do not represent the underlying value of the Company.</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fair value amounts have been measured as of the reporting date and have not been reevaluated or updated for purposes of these financial statements subsequent to that date. As such, the fair values of these financial instruments subsequent to the reporting date may be different than amounts reported.</w:t>
      </w:r>
    </w:p>
    <w:p>
      <w:pPr>
        <w:spacing w:after="0" w:line="16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As of September 30, 2019 and December 31, 2018, all of the balances of all the Company’s financial instruments were recorded at fair value, except for the Company’s 2022 Notes, as previously described.</w:t>
      </w:r>
    </w:p>
    <w:p>
      <w:pPr>
        <w:spacing w:after="0" w:line="15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Market risk</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assumes interest rate risk (the risk that general interest rate levels will change) as a result of its normal operations. As a result, the fair values of the Company’s financial instruments will change when interest rate levels change, and that change may be either favorable or unfavorable to the Company. Management attempts to match maturities of assets and liabilities to the extent believed necessary to minimize interest rate risk. Management monitors rates and maturities of assets and liabilities and attempts to minimize interest rate risk by adjusting terms of new debt investments and by investing in securities with terms that mitigate the Company’s overall interest rate risk.</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Borrowings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shows the Company’s borrowings as of September 30, 2019 and December 31, 2018:</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September 30, 2019</w:t>
            </w: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4"/>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December 31, 2018</w:t>
            </w: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87"/>
        </w:trPr>
        <w:tc>
          <w:tcPr>
            <w:tcW w:w="3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gridSpan w:val="2"/>
          </w:tcPr>
          <w:p>
            <w:pPr>
              <w:jc w:val="center"/>
              <w:ind w:right="260"/>
              <w:spacing w:after="0" w:line="188" w:lineRule="exact"/>
              <w:rPr>
                <w:sz w:val="20"/>
                <w:szCs w:val="20"/>
                <w:color w:val="auto"/>
              </w:rPr>
            </w:pPr>
            <w:r>
              <w:rPr>
                <w:rFonts w:ascii="Times New Roman" w:cs="Times New Roman" w:eastAsia="Times New Roman" w:hAnsi="Times New Roman"/>
                <w:sz w:val="18"/>
                <w:szCs w:val="18"/>
                <w:b w:val="1"/>
                <w:bCs w:val="1"/>
                <w:color w:val="auto"/>
                <w:w w:val="92"/>
              </w:rPr>
              <w:t>Total</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center"/>
              <w:ind w:right="320"/>
              <w:spacing w:after="0" w:line="188" w:lineRule="exact"/>
              <w:rPr>
                <w:sz w:val="20"/>
                <w:szCs w:val="20"/>
                <w:color w:val="auto"/>
              </w:rPr>
            </w:pPr>
            <w:r>
              <w:rPr>
                <w:rFonts w:ascii="Times New Roman" w:cs="Times New Roman" w:eastAsia="Times New Roman" w:hAnsi="Times New Roman"/>
                <w:sz w:val="18"/>
                <w:szCs w:val="18"/>
                <w:b w:val="1"/>
                <w:bCs w:val="1"/>
                <w:color w:val="auto"/>
                <w:w w:val="98"/>
              </w:rPr>
              <w:t>Balance</w:t>
            </w:r>
          </w:p>
        </w:tc>
        <w:tc>
          <w:tcPr>
            <w:tcW w:w="180" w:type="dxa"/>
            <w:vAlign w:val="bottom"/>
          </w:tcPr>
          <w:p>
            <w:pPr>
              <w:spacing w:after="0"/>
              <w:rPr>
                <w:sz w:val="16"/>
                <w:szCs w:val="16"/>
                <w:color w:val="auto"/>
              </w:rPr>
            </w:pPr>
          </w:p>
        </w:tc>
        <w:tc>
          <w:tcPr>
            <w:tcW w:w="960" w:type="dxa"/>
            <w:vAlign w:val="bottom"/>
          </w:tcPr>
          <w:p>
            <w:pPr>
              <w:jc w:val="right"/>
              <w:ind w:right="190"/>
              <w:spacing w:after="0" w:line="188" w:lineRule="exact"/>
              <w:rPr>
                <w:sz w:val="20"/>
                <w:szCs w:val="20"/>
                <w:color w:val="auto"/>
              </w:rPr>
            </w:pPr>
            <w:r>
              <w:rPr>
                <w:rFonts w:ascii="Times New Roman" w:cs="Times New Roman" w:eastAsia="Times New Roman" w:hAnsi="Times New Roman"/>
                <w:sz w:val="18"/>
                <w:szCs w:val="18"/>
                <w:b w:val="1"/>
                <w:bCs w:val="1"/>
                <w:color w:val="auto"/>
              </w:rPr>
              <w:t>Unused</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gridSpan w:val="2"/>
          </w:tcPr>
          <w:p>
            <w:pPr>
              <w:jc w:val="center"/>
              <w:ind w:right="260"/>
              <w:spacing w:after="0" w:line="188" w:lineRule="exact"/>
              <w:rPr>
                <w:sz w:val="20"/>
                <w:szCs w:val="20"/>
                <w:color w:val="auto"/>
              </w:rPr>
            </w:pPr>
            <w:r>
              <w:rPr>
                <w:rFonts w:ascii="Times New Roman" w:cs="Times New Roman" w:eastAsia="Times New Roman" w:hAnsi="Times New Roman"/>
                <w:sz w:val="18"/>
                <w:szCs w:val="18"/>
                <w:b w:val="1"/>
                <w:bCs w:val="1"/>
                <w:color w:val="auto"/>
                <w:w w:val="97"/>
              </w:rPr>
              <w:t>Total</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400"/>
              <w:spacing w:after="0" w:line="188" w:lineRule="exact"/>
              <w:rPr>
                <w:sz w:val="20"/>
                <w:szCs w:val="20"/>
                <w:color w:val="auto"/>
              </w:rPr>
            </w:pPr>
            <w:r>
              <w:rPr>
                <w:rFonts w:ascii="Times New Roman" w:cs="Times New Roman" w:eastAsia="Times New Roman" w:hAnsi="Times New Roman"/>
                <w:sz w:val="18"/>
                <w:szCs w:val="18"/>
                <w:b w:val="1"/>
                <w:bCs w:val="1"/>
                <w:color w:val="auto"/>
              </w:rPr>
              <w:t>Balance</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ind w:right="190"/>
              <w:spacing w:after="0" w:line="188" w:lineRule="exact"/>
              <w:rPr>
                <w:sz w:val="20"/>
                <w:szCs w:val="20"/>
                <w:color w:val="auto"/>
              </w:rPr>
            </w:pPr>
            <w:r>
              <w:rPr>
                <w:rFonts w:ascii="Times New Roman" w:cs="Times New Roman" w:eastAsia="Times New Roman" w:hAnsi="Times New Roman"/>
                <w:sz w:val="18"/>
                <w:szCs w:val="18"/>
                <w:b w:val="1"/>
                <w:bCs w:val="1"/>
                <w:color w:val="auto"/>
              </w:rPr>
              <w:t>Unused</w:t>
            </w:r>
          </w:p>
        </w:tc>
        <w:tc>
          <w:tcPr>
            <w:tcW w:w="100" w:type="dxa"/>
            <w:vAlign w:val="bottom"/>
            <w:gridSpan w:val="2"/>
          </w:tcPr>
          <w:p>
            <w:pPr>
              <w:spacing w:after="0"/>
              <w:rPr>
                <w:sz w:val="16"/>
                <w:szCs w:val="16"/>
                <w:color w:val="auto"/>
              </w:rPr>
            </w:pPr>
          </w:p>
        </w:tc>
      </w:tr>
      <w:tr>
        <w:trPr>
          <w:trHeight w:val="238"/>
        </w:trPr>
        <w:tc>
          <w:tcPr>
            <w:tcW w:w="3340" w:type="dxa"/>
            <w:vAlign w:val="bottom"/>
          </w:tcPr>
          <w:p>
            <w:pPr>
              <w:spacing w:after="0"/>
              <w:rPr>
                <w:sz w:val="20"/>
                <w:szCs w:val="20"/>
                <w:color w:val="auto"/>
              </w:rPr>
            </w:pPr>
          </w:p>
        </w:tc>
        <w:tc>
          <w:tcPr>
            <w:tcW w:w="118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Commitment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2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Commitment</w:t>
            </w:r>
          </w:p>
        </w:tc>
        <w:tc>
          <w:tcPr>
            <w:tcW w:w="120" w:type="dxa"/>
            <w:vAlign w:val="bottom"/>
          </w:tcPr>
          <w:p>
            <w:pPr>
              <w:spacing w:after="0"/>
              <w:rPr>
                <w:sz w:val="20"/>
                <w:szCs w:val="20"/>
                <w:color w:val="auto"/>
              </w:rPr>
            </w:pPr>
          </w:p>
        </w:tc>
        <w:tc>
          <w:tcPr>
            <w:tcW w:w="116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Commitment</w:t>
            </w:r>
          </w:p>
        </w:tc>
        <w:tc>
          <w:tcPr>
            <w:tcW w:w="180" w:type="dxa"/>
            <w:vAlign w:val="bottom"/>
          </w:tcPr>
          <w:p>
            <w:pPr>
              <w:spacing w:after="0"/>
              <w:rPr>
                <w:sz w:val="20"/>
                <w:szCs w:val="20"/>
                <w:color w:val="auto"/>
              </w:rPr>
            </w:pPr>
          </w:p>
        </w:tc>
        <w:tc>
          <w:tcPr>
            <w:tcW w:w="136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20" w:type="dxa"/>
            <w:vAlign w:val="bottom"/>
          </w:tcPr>
          <w:p>
            <w:pPr>
              <w:spacing w:after="0"/>
              <w:rPr>
                <w:sz w:val="20"/>
                <w:szCs w:val="20"/>
                <w:color w:val="auto"/>
              </w:rPr>
            </w:pPr>
          </w:p>
        </w:tc>
        <w:tc>
          <w:tcPr>
            <w:tcW w:w="122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Commitment</w:t>
            </w:r>
          </w:p>
        </w:tc>
      </w:tr>
      <w:tr>
        <w:trPr>
          <w:trHeight w:val="210"/>
        </w:trPr>
        <w:tc>
          <w:tcPr>
            <w:tcW w:w="33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320" w:type="dxa"/>
            <w:vAlign w:val="bottom"/>
            <w:tcBorders>
              <w:top w:val="single" w:sz="8" w:color="auto"/>
            </w:tcBorders>
            <w:gridSpan w:val="5"/>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Key Facility</w:t>
            </w:r>
          </w:p>
        </w:tc>
        <w:tc>
          <w:tcPr>
            <w:tcW w:w="2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125,000</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15,000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110,000</w:t>
            </w:r>
          </w:p>
        </w:tc>
        <w:tc>
          <w:tcPr>
            <w:tcW w:w="34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125,000</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90,500</w:t>
            </w:r>
          </w:p>
        </w:tc>
        <w:tc>
          <w:tcPr>
            <w:tcW w:w="180" w:type="dxa"/>
            <w:vAlign w:val="bottom"/>
            <w:gridSpan w:val="2"/>
            <w:shd w:val="clear" w:color="auto" w:fill="CCEEFF"/>
          </w:tcPr>
          <w:p>
            <w:pPr>
              <w:jc w:val="right"/>
              <w:ind w:right="27"/>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34,500</w:t>
            </w:r>
          </w:p>
        </w:tc>
        <w:tc>
          <w:tcPr>
            <w:tcW w:w="80" w:type="dxa"/>
            <w:vAlign w:val="bottom"/>
            <w:shd w:val="clear" w:color="auto" w:fill="CCEEFF"/>
          </w:tcPr>
          <w:p>
            <w:pPr>
              <w:spacing w:after="0"/>
              <w:rPr>
                <w:sz w:val="18"/>
                <w:szCs w:val="18"/>
                <w:color w:val="auto"/>
              </w:rPr>
            </w:pP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Asset-Backed Notes</w:t>
            </w:r>
          </w:p>
        </w:tc>
        <w:tc>
          <w:tcPr>
            <w:tcW w:w="2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100,000</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 Notes</w:t>
            </w:r>
          </w:p>
        </w:tc>
        <w:tc>
          <w:tcPr>
            <w:tcW w:w="2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37,375</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37,375</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37,375</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37,375</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before debt issuance costs</w:t>
            </w:r>
          </w:p>
        </w:tc>
        <w:tc>
          <w:tcPr>
            <w:tcW w:w="2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262,375</w:t>
            </w: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152,375</w:t>
            </w:r>
          </w:p>
        </w:tc>
        <w:tc>
          <w:tcPr>
            <w:tcW w:w="2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110,000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162,375</w:t>
            </w: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127,875</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34,500</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178"/>
        </w:trPr>
        <w:tc>
          <w:tcPr>
            <w:tcW w:w="3340" w:type="dxa"/>
            <w:vAlign w:val="bottom"/>
            <w:shd w:val="clear" w:color="auto" w:fill="CCEEFF"/>
          </w:tcPr>
          <w:p>
            <w:pPr>
              <w:spacing w:after="0" w:line="178" w:lineRule="exact"/>
              <w:rPr>
                <w:sz w:val="20"/>
                <w:szCs w:val="20"/>
                <w:color w:val="auto"/>
              </w:rPr>
            </w:pPr>
            <w:r>
              <w:rPr>
                <w:rFonts w:ascii="Times New Roman" w:cs="Times New Roman" w:eastAsia="Times New Roman" w:hAnsi="Times New Roman"/>
                <w:sz w:val="18"/>
                <w:szCs w:val="18"/>
                <w:color w:val="auto"/>
              </w:rPr>
              <w:t>Unamortized debt issuance costs</w:t>
            </w: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248"/>
        </w:trPr>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attributable to term borrowings</w:t>
            </w:r>
          </w:p>
        </w:tc>
        <w:tc>
          <w:tcPr>
            <w:tcW w:w="22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(2,455)</w:t>
            </w: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(1,022)</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Total borrowings outstanding, net</w:t>
            </w:r>
          </w:p>
        </w:tc>
        <w:tc>
          <w:tcPr>
            <w:tcW w:w="22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262,375</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149,920</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110,000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162,375</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126,853</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3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517"/>
        <w:spacing w:after="0" w:line="254" w:lineRule="auto"/>
        <w:rPr>
          <w:sz w:val="20"/>
          <w:szCs w:val="20"/>
          <w:color w:val="auto"/>
        </w:rPr>
      </w:pPr>
      <w:r>
        <w:rPr>
          <w:rFonts w:ascii="Times New Roman" w:cs="Times New Roman" w:eastAsia="Times New Roman" w:hAnsi="Times New Roman"/>
          <w:sz w:val="18"/>
          <w:szCs w:val="18"/>
          <w:color w:val="auto"/>
        </w:rPr>
        <w:t>On March 23, 2018, President Trump signed into law the Small Business Credit Availability Act as part of an omnibus spending bill, which, among other things, amends the 1940 Act to reduce the minimum required asset coverage applicable to BDCs under the 1940 Act from 200% to 150% if certain approval and disclosure requirements are met. Before such reduced asset coverage requirement can apply to the Company, such reduced asset coverage requirement must be approved by either (a) a “required majority” (as defined in Section 57(o) of the 1940 Act) of the Board, in which case such reduced asset coverage requirement would take effect on the first anniversary of the date of such Board approval, or (b) a majority of votes cast by the stockholders of the Company at a special or annual meeting at which a quorum is present, in which case such reduced asset coverage requirement shall take effect on the day after such approval. On June 7, 2018, a “required majority” of the Board approved the reduced asset coverage requirements and separately recommended that the Company’s stockholders approve the reduced asset coverage requirements at a special meeting of the Company’s stockholders. The Company held a special meeting on October 30, 2018 during which the reduced asset coverage requirements were approved by stockholders. The reduced asset coverage requirements took effect October 31, 2018.</w:t>
      </w:r>
    </w:p>
    <w:p>
      <w:pPr>
        <w:spacing w:after="0" w:line="18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September 30, 2019, with certain limited exceptions, as a BDC, the Company is only allowed to borrow amounts such that the Company’s asset coverage, as defined in the 1940 Act, is at least 150% after such borrowings. As of September 30, 2019, the asset coverage for borrowed amounts was 210%.</w:t>
      </w:r>
    </w:p>
    <w:p>
      <w:pPr>
        <w:spacing w:after="0" w:line="16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Company entered into the Key Facility with Key effective November 4, 2013. On December 28, 2018, the Company amended the Key Facility, increasing the aggregate commitments under the Key Facility by $25 million to $125 million. The Key Facility has an accordion feature which allows for an increase in the total loan commitment to $150 million from the $125 million commitment. The Key Facility is collateralized by all debt investments and warrants held by Credit II and permits an advance rate of up to 50% of eligible debt investments held by Credit II. The Key Facility contains covenants that, among other things, require the Company to maintain a minimum net worth and to restrict the debt investments securing the Key Facility to certain criteria for qualified debt investments and includes portfolio company concentration limits as defined in the related loan agreement. The Key Facility has a revolving period that extends to April 6, 2021, followed by a two-year amortization period and is scheduled to mature on April 6, 2023. The interest rate is based upon the one-month LIBOR, plus a spread of 3.25%, with a LIBOR floor of 0.75%. The LIBOR rate was 2.03% and 2.50% on September 30, 2019 and December 31, 2018, respectively. The average interest rate for the three months ended September 30, 2019 and 2018 was 5.49% and 5.34%, respectively. The average interest rate for the nine months ended September 30, 2019 and 2018 was 5.65% and 5.12%, respectively. The Key Facility requires the payment of an unused line fee in an amount up to 0.50% of any unborrowed amount available under the facility annually. As of September 30, 2019 and December 31, 2018, the Company had borrowing capacity under the Key Facility of $110.0 million and $34.5 million, respectively. At September 30, 2019 and December 31, 2018, $14.6 million and $0.9 million, respectively, was available, subject to existing terms and advance rates.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September 29, 2017, the Company issued and sold an aggregate principal amount of $32.5 million of 6.25% notes due in 2022 and on October 11, 2017, pursuant to the underwriters’ 30 day option to purchase additional notes, the Company sold an additional $4.9 million of such notes (collectively, the “2022 Notes”). The 2022 Notes have a stated maturity of September 15, 2022 and may be redeemed in whole or in part at the Company’s option at any time or from time to time on or after September 15, 2019 at a redemption price of $25 per security plus accrued and unpaid interest. The 2022 Notes bear interest at a rate of 6.25% per year, payable quarterly on March 15, June 15, September 15 and December 15 of each year. The 2022 Notes are the Company’s direct unsecured obligations and (i) rank equally in right of payment with the Company’s current and future unsecured indebtedness; (ii) are senior in right of payment to any of the Company’s future indebtedness that expressly provides it is subordinated to the 2022 Notes; (iii) are effectively subordinated to all of the Company’s existing and future secured indebtedness (including indebtedness that is initially unsecured to which the Company subsequently grants security), to the extent of the value of the assets securing such indebtedness, and (iv) are structurally subordinated to all existing and future indebtedness and other obligations of any of the Company’s subsidiaries. As of September 30, 2019, the Company was in material compliance with the terms of the 2022 Notes. The 2022 Notes are listed on the New York Stock Exchange under the symbol “HTFA”.</w:t>
      </w:r>
    </w:p>
    <w:p>
      <w:pPr>
        <w:spacing w:after="0" w:line="19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August 13, 2019, the Company completed a term debt securitization in connection with which an affiliate of the Company made an offering of $100.0 million in aggregate principal amount of fixed rate asset-backed notes (the “Asset-Backed Notes”). The Asset-Backed Notes were rated A+(sf) by Morningstar Credit Ratings, LLC.</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Asset-Backed Notes were issued by the 2019-1 Trust pursuant to a note purchase agreement, dated as of August 13, 2019, by and among the Company and Keybanc Capital Markets Inc. as Initial Purchaser, and are backed by a pool of loans made to certain portfolio companies of the Company and secured by certain assets of those portfolio companies and are to be serviced by the Company. Interest on the Asset-Backed Notes will be paid, to the extent of funds available, at a fixed rate of 4.21% per annum. The Asset-Backed Notes have a two-year reinvestment period and a stated maturity of September 15, 2027.</w:t>
      </w:r>
    </w:p>
    <w:p>
      <w:pPr>
        <w:spacing w:after="0" w:line="18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At September 30, 2019, the Asset-Backed Notes had an outstanding principal balance of $100.0 million. There was no outstanding principal balance for the Asset-Backed Notes at December 31, 2018.</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Under the terms of the Asset-Backed Notes, the Company is required to maintain a reserve cash balance, funded through proceeds from the sale of the Asset-Backed Notes, which may be used to pay monthly interest and principal payments on the Asset-Backed Notes. The Company has segregated these funds and classified them as restricted investments in money market funds. At September 30, 2019, there was approximately $1.2 million of restricted investments. There were no funds segregated as restricted investments related to the Asset-Backed Notes at December 31, 2018.</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Financial instruments with off-balance-sheet risk</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the normal course of business, the Company is party to financial instruments with off-balance-sheet risk to meet the financing needs of its borrowers. These financial instruments include commitments to extend credit and involve, to varying degrees, elements of credit risk in excess of the amount recognized in the consolidated statement of assets and liabilities. The Company attempts to limit its credit risk by conducting extensive due diligence and obtaining collateral where appropriate.</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balance of unfunded commitments to extend credit was $37.8 million and $27.5 million as of September 30, 2019 and December 31, 2018, respectively. Commitments to extend credit consist principally of the unused portions of commitments that obligate the Company to extend credit, such as revolving credit arrangements or similar transactions. These commitments are often subject to financial or non-financial milestones and other conditions to borrow that must be achieved before the commitment can be drawn. In addition, the commitments generally have fixed expiration dates or other termination clauses. Since commitments may expire without being drawn upon, the total commitment amounts do not necessarily represent future cash requirements. This includes the undrawn revolver commitments discussed in Note 4.</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the Company’s unfunded commitments by portfolio company as of September 30, 2019:</w:t>
      </w:r>
    </w:p>
    <w:p>
      <w:pPr>
        <w:spacing w:after="0" w:line="235"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6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0" w:type="dxa"/>
            <w:vAlign w:val="bottom"/>
            <w:gridSpan w:val="6"/>
          </w:tcPr>
          <w:p>
            <w:pPr>
              <w:ind w:left="420"/>
              <w:spacing w:after="0"/>
              <w:rPr>
                <w:sz w:val="20"/>
                <w:szCs w:val="20"/>
                <w:color w:val="auto"/>
              </w:rPr>
            </w:pPr>
            <w:r>
              <w:rPr>
                <w:rFonts w:ascii="Times New Roman" w:cs="Times New Roman" w:eastAsia="Times New Roman" w:hAnsi="Times New Roman"/>
                <w:sz w:val="18"/>
                <w:szCs w:val="18"/>
                <w:b w:val="1"/>
                <w:bCs w:val="1"/>
                <w:color w:val="auto"/>
              </w:rPr>
              <w:t>September 30, 2019</w:t>
            </w:r>
          </w:p>
        </w:tc>
      </w:tr>
      <w:tr>
        <w:trPr>
          <w:trHeight w:val="187"/>
        </w:trPr>
        <w:tc>
          <w:tcPr>
            <w:tcW w:w="69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center"/>
              <w:ind w:right="30"/>
              <w:spacing w:after="0" w:line="188" w:lineRule="exact"/>
              <w:rPr>
                <w:sz w:val="20"/>
                <w:szCs w:val="20"/>
                <w:color w:val="auto"/>
              </w:rPr>
            </w:pPr>
            <w:r>
              <w:rPr>
                <w:rFonts w:ascii="Times New Roman" w:cs="Times New Roman" w:eastAsia="Times New Roman" w:hAnsi="Times New Roman"/>
                <w:sz w:val="18"/>
                <w:szCs w:val="18"/>
                <w:b w:val="1"/>
                <w:bCs w:val="1"/>
                <w:color w:val="auto"/>
                <w:w w:val="98"/>
              </w:rPr>
              <w:t>Fair Value of</w:t>
            </w:r>
          </w:p>
        </w:tc>
        <w:tc>
          <w:tcPr>
            <w:tcW w:w="80" w:type="dxa"/>
            <w:vAlign w:val="bottom"/>
            <w:gridSpan w:val="2"/>
          </w:tcPr>
          <w:p>
            <w:pPr>
              <w:spacing w:after="0"/>
              <w:rPr>
                <w:sz w:val="16"/>
                <w:szCs w:val="16"/>
                <w:color w:val="auto"/>
              </w:rPr>
            </w:pPr>
          </w:p>
        </w:tc>
      </w:tr>
      <w:tr>
        <w:trPr>
          <w:trHeight w:val="216"/>
        </w:trPr>
        <w:tc>
          <w:tcPr>
            <w:tcW w:w="6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Unfunded</w:t>
            </w:r>
          </w:p>
        </w:tc>
      </w:tr>
      <w:tr>
        <w:trPr>
          <w:trHeight w:val="216"/>
        </w:trPr>
        <w:tc>
          <w:tcPr>
            <w:tcW w:w="6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100" w:type="dxa"/>
            <w:vAlign w:val="bottom"/>
          </w:tcPr>
          <w:p>
            <w:pPr>
              <w:spacing w:after="0"/>
              <w:rPr>
                <w:sz w:val="18"/>
                <w:szCs w:val="18"/>
                <w:color w:val="auto"/>
              </w:rPr>
            </w:pPr>
          </w:p>
        </w:tc>
        <w:tc>
          <w:tcPr>
            <w:tcW w:w="124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Commitment</w:t>
            </w:r>
          </w:p>
        </w:tc>
      </w:tr>
      <w:tr>
        <w:trPr>
          <w:trHeight w:val="238"/>
        </w:trPr>
        <w:tc>
          <w:tcPr>
            <w:tcW w:w="6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00" w:type="dxa"/>
            <w:vAlign w:val="bottom"/>
          </w:tcPr>
          <w:p>
            <w:pPr>
              <w:spacing w:after="0"/>
              <w:rPr>
                <w:sz w:val="20"/>
                <w:szCs w:val="20"/>
                <w:color w:val="auto"/>
              </w:rPr>
            </w:pPr>
          </w:p>
        </w:tc>
        <w:tc>
          <w:tcPr>
            <w:tcW w:w="124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Liability</w:t>
            </w:r>
          </w:p>
        </w:tc>
      </w:tr>
      <w:tr>
        <w:trPr>
          <w:trHeight w:val="210"/>
        </w:trPr>
        <w:tc>
          <w:tcPr>
            <w:tcW w:w="69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520" w:type="dxa"/>
            <w:vAlign w:val="bottom"/>
            <w:tcBorders>
              <w:top w:val="single" w:sz="8" w:color="auto"/>
            </w:tcBorders>
            <w:gridSpan w:val="4"/>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80" w:type="dxa"/>
            <w:vAlign w:val="bottom"/>
            <w:gridSpan w:val="2"/>
          </w:tcPr>
          <w:p>
            <w:pPr>
              <w:spacing w:after="0"/>
              <w:rPr>
                <w:sz w:val="18"/>
                <w:szCs w:val="18"/>
                <w:color w:val="auto"/>
              </w:rPr>
            </w:pPr>
          </w:p>
        </w:tc>
      </w:tr>
      <w:tr>
        <w:trPr>
          <w:trHeight w:val="216"/>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Betabrand Corporation</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4,500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66</w:t>
            </w:r>
          </w:p>
        </w:tc>
        <w:tc>
          <w:tcPr>
            <w:tcW w:w="60" w:type="dxa"/>
            <w:vAlign w:val="bottom"/>
            <w:shd w:val="clear" w:color="auto" w:fill="CCEEFF"/>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CSA Medical, Inc.</w:t>
            </w:r>
          </w:p>
        </w:tc>
        <w:tc>
          <w:tcPr>
            <w:tcW w:w="1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w:t>
            </w:r>
          </w:p>
        </w:tc>
        <w:tc>
          <w:tcPr>
            <w:tcW w:w="60" w:type="dxa"/>
            <w:vAlign w:val="bottom"/>
          </w:tcPr>
          <w:p>
            <w:pPr>
              <w:spacing w:after="0"/>
              <w:rPr>
                <w:sz w:val="18"/>
                <w:szCs w:val="18"/>
                <w:color w:val="auto"/>
              </w:rPr>
            </w:pPr>
          </w:p>
        </w:tc>
      </w:tr>
      <w:tr>
        <w:trPr>
          <w:trHeight w:val="216"/>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Encore Dermatology, Inc.</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88</w:t>
            </w:r>
          </w:p>
        </w:tc>
        <w:tc>
          <w:tcPr>
            <w:tcW w:w="60" w:type="dxa"/>
            <w:vAlign w:val="bottom"/>
            <w:shd w:val="clear" w:color="auto" w:fill="CCEEFF"/>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Espero Biopharma, Inc.</w:t>
            </w:r>
          </w:p>
        </w:tc>
        <w:tc>
          <w:tcPr>
            <w:tcW w:w="1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18"/>
                <w:szCs w:val="18"/>
                <w:color w:val="auto"/>
              </w:rPr>
            </w:pPr>
          </w:p>
        </w:tc>
        <w:tc>
          <w:tcPr>
            <w:tcW w:w="12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LogicBio, Inc.</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Maculogix, Inc.</w:t>
            </w:r>
          </w:p>
        </w:tc>
        <w:tc>
          <w:tcPr>
            <w:tcW w:w="1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3,750</w:t>
            </w:r>
          </w:p>
        </w:tc>
        <w:tc>
          <w:tcPr>
            <w:tcW w:w="1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w:t>
            </w:r>
          </w:p>
        </w:tc>
        <w:tc>
          <w:tcPr>
            <w:tcW w:w="60" w:type="dxa"/>
            <w:vAlign w:val="bottom"/>
          </w:tcPr>
          <w:p>
            <w:pPr>
              <w:spacing w:after="0"/>
              <w:rPr>
                <w:sz w:val="18"/>
                <w:szCs w:val="18"/>
                <w:color w:val="auto"/>
              </w:rPr>
            </w:pPr>
          </w:p>
        </w:tc>
      </w:tr>
      <w:tr>
        <w:trPr>
          <w:trHeight w:val="216"/>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Mustang Bio, Inc.</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97</w:t>
            </w:r>
          </w:p>
        </w:tc>
        <w:tc>
          <w:tcPr>
            <w:tcW w:w="60" w:type="dxa"/>
            <w:vAlign w:val="bottom"/>
            <w:shd w:val="clear" w:color="auto" w:fill="CCEEFF"/>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Revinate, Inc.</w:t>
            </w:r>
          </w:p>
        </w:tc>
        <w:tc>
          <w:tcPr>
            <w:tcW w:w="1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120</w:t>
            </w:r>
          </w:p>
        </w:tc>
        <w:tc>
          <w:tcPr>
            <w:tcW w:w="60" w:type="dxa"/>
            <w:vAlign w:val="bottom"/>
          </w:tcPr>
          <w:p>
            <w:pPr>
              <w:spacing w:after="0"/>
              <w:rPr>
                <w:sz w:val="18"/>
                <w:szCs w:val="18"/>
                <w:color w:val="auto"/>
              </w:rPr>
            </w:pPr>
          </w:p>
        </w:tc>
      </w:tr>
      <w:tr>
        <w:trPr>
          <w:trHeight w:val="230"/>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StereoVision Imaging, Inc.</w:t>
            </w: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37,750</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6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table above also provides the fair value of the Company’s unfunded commitment liability as of September 30, 2019, which totaled $0.5 million. The fair value at inception of the delay draw credit agreements is equal to the fees and/or warrants received to enter into these agreements, taking into account the remaining terms of the agreements and the counterparties’ credit profile. The unfunded commitment liability reflects the fair value of these future funding commitments and is included in the Company’s consolidated statement of assets and liabilities.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w:t>
      </w:r>
      <w:r>
        <w:rPr>
          <w:rFonts w:ascii="Times New Roman" w:cs="Times New Roman" w:eastAsia="Times New Roman" w:hAnsi="Times New Roman"/>
          <w:sz w:val="18"/>
          <w:szCs w:val="18"/>
          <w:b w:val="1"/>
          <w:bCs w:val="1"/>
          <w:color w:val="auto"/>
        </w:rPr>
        <w:t>ote 9. Concentrations of credit risk</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Company’s debt investments consist primarily of loans to development-stage companies at various stages of development in the technology, life science, healthcare information and services and sustainability industries. Many of these companies may have relatively limited operating histories and also may experience variation in operating results. Many of these companies conduct business in regulated industries and could be affected by changes in government regulations. Most of the Company’s borrowers will need additional capital to satisfy their continuing working capital needs and other requirements, and in many instances, to service the interest and principal payments on the loans.</w:t>
      </w:r>
    </w:p>
    <w:p>
      <w:pPr>
        <w:spacing w:after="0" w:line="18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Company’s largest debt investments may vary from period to period as new debt investments are recorded and existing debt investments are repaid. The Company’s five largest debt investments, at cost, represented 31% and 32% of total debt investments outstanding as of September 30, 2019 and December 31, 2018, respectively. No single debt investment represented more than 10% of the total debt investments as of September 30, 2019 and December 31, 2018. Investment income, consisting of interest and fees, can fluctuate significantly upon repayment of large debt investments. Interest income from the five largest debt investments accounted for 24% and 31% of total interest and fee income on investments for the three months ended September 30, 2019 and 2018, respectively. Interest income from the five largest debt investments accounted for 24% and 31% of total interest and fee income on investments for the nine months ended September 30, 2019 and 2018, respectively.</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Distributions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Company’s distributions are recorded on the declaration date. The following table summarizes the Company’s distribution activity for the nine months ended September 30, 2019 and for the years ended December 31, 2018 and 2017:</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DRIP</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DRIP</w:t>
            </w:r>
          </w:p>
        </w:tc>
        <w:tc>
          <w:tcPr>
            <w:tcW w:w="0" w:type="dxa"/>
            <w:vAlign w:val="bottom"/>
          </w:tcPr>
          <w:p>
            <w:pPr>
              <w:spacing w:after="0"/>
              <w:rPr>
                <w:sz w:val="1"/>
                <w:szCs w:val="1"/>
                <w:color w:val="auto"/>
              </w:rPr>
            </w:pPr>
          </w:p>
        </w:tc>
      </w:tr>
      <w:tr>
        <w:trPr>
          <w:trHeight w:val="216"/>
        </w:trPr>
        <w:tc>
          <w:tcPr>
            <w:tcW w:w="3080" w:type="dxa"/>
            <w:vAlign w:val="bottom"/>
          </w:tcPr>
          <w:p>
            <w:pPr>
              <w:jc w:val="right"/>
              <w:ind w:right="1310"/>
              <w:spacing w:after="0"/>
              <w:rPr>
                <w:sz w:val="20"/>
                <w:szCs w:val="20"/>
                <w:color w:val="auto"/>
              </w:rPr>
            </w:pPr>
            <w:r>
              <w:rPr>
                <w:rFonts w:ascii="Times New Roman" w:cs="Times New Roman" w:eastAsia="Times New Roman" w:hAnsi="Times New Roman"/>
                <w:sz w:val="18"/>
                <w:szCs w:val="18"/>
                <w:b w:val="1"/>
                <w:bCs w:val="1"/>
                <w:color w:val="auto"/>
              </w:rPr>
              <w:t>Date</w:t>
            </w:r>
          </w:p>
        </w:tc>
        <w:tc>
          <w:tcPr>
            <w:tcW w:w="1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18"/>
                <w:szCs w:val="18"/>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Cash</w:t>
            </w:r>
          </w:p>
        </w:tc>
        <w:tc>
          <w:tcPr>
            <w:tcW w:w="134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0" w:type="dxa"/>
            <w:vAlign w:val="bottom"/>
          </w:tcPr>
          <w:p>
            <w:pPr>
              <w:spacing w:after="0"/>
              <w:rPr>
                <w:sz w:val="1"/>
                <w:szCs w:val="1"/>
                <w:color w:val="auto"/>
              </w:rPr>
            </w:pPr>
          </w:p>
        </w:tc>
      </w:tr>
      <w:tr>
        <w:trPr>
          <w:trHeight w:val="238"/>
        </w:trPr>
        <w:tc>
          <w:tcPr>
            <w:tcW w:w="3080" w:type="dxa"/>
            <w:vAlign w:val="bottom"/>
          </w:tcPr>
          <w:p>
            <w:pPr>
              <w:jc w:val="right"/>
              <w:ind w:right="1150"/>
              <w:spacing w:after="0"/>
              <w:rPr>
                <w:sz w:val="20"/>
                <w:szCs w:val="20"/>
                <w:color w:val="auto"/>
              </w:rPr>
            </w:pPr>
            <w:r>
              <w:rPr>
                <w:rFonts w:ascii="Times New Roman" w:cs="Times New Roman" w:eastAsia="Times New Roman" w:hAnsi="Times New Roman"/>
                <w:sz w:val="18"/>
                <w:szCs w:val="18"/>
                <w:b w:val="1"/>
                <w:bCs w:val="1"/>
                <w:color w:val="auto"/>
              </w:rPr>
              <w:t>Declared</w:t>
            </w:r>
          </w:p>
        </w:tc>
        <w:tc>
          <w:tcPr>
            <w:tcW w:w="12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Record Date</w:t>
            </w: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Payment Date</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120" w:type="dxa"/>
            <w:vAlign w:val="bottom"/>
          </w:tcPr>
          <w:p>
            <w:pPr>
              <w:spacing w:after="0"/>
              <w:rPr>
                <w:sz w:val="20"/>
                <w:szCs w:val="20"/>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Distribution</w:t>
            </w:r>
          </w:p>
        </w:tc>
        <w:tc>
          <w:tcPr>
            <w:tcW w:w="134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Issued</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210"/>
        </w:trPr>
        <w:tc>
          <w:tcPr>
            <w:tcW w:w="30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4520" w:type="dxa"/>
            <w:vAlign w:val="bottom"/>
            <w:tcBorders>
              <w:top w:val="single" w:sz="8" w:color="auto"/>
            </w:tcBorders>
            <w:gridSpan w:val="9"/>
          </w:tcPr>
          <w:p>
            <w:pPr>
              <w:ind w:left="80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Nine Months Ended September 30, 2019</w:t>
            </w:r>
          </w:p>
        </w:tc>
        <w:tc>
          <w:tcPr>
            <w:tcW w:w="1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7/26/19</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11/19/19</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12/16/19</w:t>
            </w:r>
          </w:p>
        </w:tc>
        <w:tc>
          <w:tcPr>
            <w:tcW w:w="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0.10</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7/26/19</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10/18/19</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11/15/19</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0.10</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7/26/19</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9/19/19</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10/16/19</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0.10</w:t>
            </w: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1,412</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4/26/19</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8/19/19</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9/17/19</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0.10</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1,366</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3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4/26/19</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7/18/19</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8/15/19</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0.10</w:t>
            </w: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1,339</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4/26/19</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6/19/19</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7/16/19</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0.10</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1,338</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3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3/1/19</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5/17/19</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6/17/19</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0.10</w:t>
            </w: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1,339</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3/1/19</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4/18/19</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5/15/19</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0.10</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1,332</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1,885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30"/>
        </w:trPr>
        <w:tc>
          <w:tcPr>
            <w:tcW w:w="3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3/1/19</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3/19/19</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4/16/19</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0.10</w:t>
            </w:r>
          </w:p>
        </w:tc>
        <w:tc>
          <w:tcPr>
            <w:tcW w:w="12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1,139</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1,199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3"/>
        </w:trPr>
        <w:tc>
          <w:tcPr>
            <w:tcW w:w="308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CCEEFF"/>
              <w:bottom w:val="single" w:sz="8" w:color="CCEEFF"/>
            </w:tcBorders>
            <w:shd w:val="clear" w:color="auto" w:fill="CCEEFF"/>
          </w:tcPr>
          <w:p>
            <w:pPr>
              <w:spacing w:after="0"/>
              <w:rPr>
                <w:sz w:val="19"/>
                <w:szCs w:val="19"/>
                <w:color w:val="auto"/>
              </w:rPr>
            </w:pPr>
          </w:p>
        </w:tc>
        <w:tc>
          <w:tcPr>
            <w:tcW w:w="120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w w:val="88"/>
              </w:rPr>
              <w:t>0.90</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Year Ended December 31, 2018</w:t>
            </w:r>
          </w:p>
        </w:tc>
        <w:tc>
          <w:tcPr>
            <w:tcW w:w="1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080" w:type="dxa"/>
            <w:vAlign w:val="bottom"/>
            <w:vMerge w:val="continue"/>
          </w:tcPr>
          <w:p>
            <w:pPr>
              <w:spacing w:after="0"/>
              <w:rPr>
                <w:sz w:val="17"/>
                <w:szCs w:val="17"/>
                <w:color w:val="auto"/>
              </w:rPr>
            </w:pPr>
          </w:p>
        </w:tc>
        <w:tc>
          <w:tcPr>
            <w:tcW w:w="1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10/26/18</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2/20/19</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3/15/19</w:t>
            </w:r>
          </w:p>
        </w:tc>
        <w:tc>
          <w:tcPr>
            <w:tcW w:w="2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0.10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1,140</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1,061</w:t>
            </w:r>
          </w:p>
        </w:tc>
        <w:tc>
          <w:tcPr>
            <w:tcW w:w="4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3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10/26/18</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1/17/19</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2/15/19</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0.10</w:t>
            </w: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1,139</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10/26/18</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12/18/18</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1/15/19</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0.10</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1,140</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3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7/27/18</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11/19/18</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12/14/18</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0.10</w:t>
            </w: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1,139</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7/27/18</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10/18/18</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11/15/18</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0.10</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1,138</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3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7/27/18</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9/18/18</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10/16/18</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0.10</w:t>
            </w: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1,138</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4/27/18</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8/17/18</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9/14/18</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0.10</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1,139</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3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4/27/18</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7/19/18</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8/15/18</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0.10</w:t>
            </w: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1,139</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4/27/18</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6/19/18</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7/17/18</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0.10</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1,140</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3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3/1/18</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5/17/18</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6/15/18</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0.10</w:t>
            </w: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1,140</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1,271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3/1/18</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4/19/18</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5/15/18</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0.10</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1,140</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0"/>
        </w:trPr>
        <w:tc>
          <w:tcPr>
            <w:tcW w:w="3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3/1/18</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3/19/18</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4/17/18</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0.10</w:t>
            </w:r>
          </w:p>
        </w:tc>
        <w:tc>
          <w:tcPr>
            <w:tcW w:w="12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1,139</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3"/>
        </w:trPr>
        <w:tc>
          <w:tcPr>
            <w:tcW w:w="308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CCEEFF"/>
              <w:bottom w:val="single" w:sz="8" w:color="CCEEFF"/>
            </w:tcBorders>
            <w:shd w:val="clear" w:color="auto" w:fill="CCEEFF"/>
          </w:tcPr>
          <w:p>
            <w:pPr>
              <w:spacing w:after="0"/>
              <w:rPr>
                <w:sz w:val="19"/>
                <w:szCs w:val="19"/>
                <w:color w:val="auto"/>
              </w:rPr>
            </w:pPr>
          </w:p>
        </w:tc>
        <w:tc>
          <w:tcPr>
            <w:tcW w:w="120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w w:val="88"/>
              </w:rPr>
              <w:t>1.20</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Year Ended December 31, 2017</w:t>
            </w:r>
          </w:p>
        </w:tc>
        <w:tc>
          <w:tcPr>
            <w:tcW w:w="1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080" w:type="dxa"/>
            <w:vAlign w:val="bottom"/>
            <w:vMerge w:val="continue"/>
          </w:tcPr>
          <w:p>
            <w:pPr>
              <w:spacing w:after="0"/>
              <w:rPr>
                <w:sz w:val="17"/>
                <w:szCs w:val="17"/>
                <w:color w:val="auto"/>
              </w:rPr>
            </w:pPr>
          </w:p>
        </w:tc>
        <w:tc>
          <w:tcPr>
            <w:tcW w:w="1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10/27/17</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2/21/18</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3/15/18</w:t>
            </w:r>
          </w:p>
        </w:tc>
        <w:tc>
          <w:tcPr>
            <w:tcW w:w="2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0.10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1,138</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1,241</w:t>
            </w:r>
          </w:p>
        </w:tc>
        <w:tc>
          <w:tcPr>
            <w:tcW w:w="4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3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10/27/17</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1/22/18</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2/15/18</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0.10</w:t>
            </w: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1,139</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10/27/17</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12/20/17</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1/17/18</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0.10</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1,139</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3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7/28/17</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11/20/17</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12/15/17</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0.10</w:t>
            </w: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1,139</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7/28/17</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10/19/17</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11/15/17</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0.10</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1,139</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1,195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3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7/28/17</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9/20/17</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10/16/17</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0.10</w:t>
            </w: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1,138</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4/27/17</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8/18/17</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9/15/17</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0.10</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1,140</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1,199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3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4/27/17</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7/20/17</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8/15/17</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0.10</w:t>
            </w: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1,140</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4/27/17</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6/20/17</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7/14/17</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0.10</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1,138</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3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3/3/17</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5/19/17</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6/15/17</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0.10</w:t>
            </w: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1,137</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3/3/17</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4/21/17</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5/16/17</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0.10</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1,137</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0"/>
        </w:trPr>
        <w:tc>
          <w:tcPr>
            <w:tcW w:w="3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3/3/17</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3/20/17</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4/18/17</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0.10</w:t>
            </w:r>
          </w:p>
        </w:tc>
        <w:tc>
          <w:tcPr>
            <w:tcW w:w="12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1,134</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1,510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23"/>
        </w:trPr>
        <w:tc>
          <w:tcPr>
            <w:tcW w:w="308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CCEEFF"/>
              <w:bottom w:val="single" w:sz="8" w:color="CCEEFF"/>
            </w:tcBorders>
            <w:shd w:val="clear" w:color="auto" w:fill="CCEEFF"/>
          </w:tcPr>
          <w:p>
            <w:pPr>
              <w:spacing w:after="0"/>
              <w:rPr>
                <w:sz w:val="19"/>
                <w:szCs w:val="19"/>
                <w:color w:val="auto"/>
              </w:rPr>
            </w:pPr>
          </w:p>
        </w:tc>
        <w:tc>
          <w:tcPr>
            <w:tcW w:w="120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w w:val="88"/>
              </w:rPr>
              <w:t>1.20</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0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43</w:t>
            </w:r>
          </w:p>
        </w:tc>
        <w:tc>
          <w:tcPr>
            <w:tcW w:w="10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0" w:right="239" w:bottom="1440" w:gutter="0" w:footer="0" w:header="0"/>
        </w:sectPr>
      </w:pPr>
    </w:p>
    <w:bookmarkStart w:id="45" w:name="page46"/>
    <w:bookmarkEnd w:id="4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160" w:type="dxa"/>
            <w:vAlign w:val="bottom"/>
            <w:gridSpan w:val="3"/>
          </w:tcPr>
          <w:p>
            <w:pPr>
              <w:jc w:val="center"/>
              <w:ind w:right="1050"/>
              <w:spacing w:after="0"/>
              <w:rPr>
                <w:sz w:val="20"/>
                <w:szCs w:val="20"/>
                <w:color w:val="auto"/>
              </w:rPr>
            </w:pPr>
            <w:r>
              <w:rPr>
                <w:rFonts w:ascii="Times New Roman" w:cs="Times New Roman" w:eastAsia="Times New Roman" w:hAnsi="Times New Roman"/>
                <w:sz w:val="18"/>
                <w:szCs w:val="18"/>
                <w:b w:val="1"/>
                <w:bCs w:val="1"/>
                <w:color w:val="auto"/>
                <w:w w:val="99"/>
              </w:rPr>
              <w:t>Horizon Technology Finance Corporation and Subsidiaries</w:t>
            </w: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2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160" w:type="dxa"/>
            <w:vAlign w:val="bottom"/>
            <w:gridSpan w:val="3"/>
          </w:tcPr>
          <w:p>
            <w:pPr>
              <w:jc w:val="center"/>
              <w:ind w:right="1050"/>
              <w:spacing w:after="0"/>
              <w:rPr>
                <w:sz w:val="20"/>
                <w:szCs w:val="20"/>
                <w:color w:val="auto"/>
              </w:rPr>
            </w:pPr>
            <w:r>
              <w:rPr>
                <w:rFonts w:ascii="Times New Roman" w:cs="Times New Roman" w:eastAsia="Times New Roman" w:hAnsi="Times New Roman"/>
                <w:sz w:val="18"/>
                <w:szCs w:val="18"/>
                <w:b w:val="1"/>
                <w:bCs w:val="1"/>
                <w:color w:val="auto"/>
                <w:w w:val="99"/>
              </w:rPr>
              <w:t>Notes to Consolidated Financial Statements</w:t>
            </w: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936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On October 25, 2019, the Board declared monthly distributions per share, payable as set forth in the following table:</w:t>
            </w: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6"/>
        </w:trPr>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Ex-Dividend Date</w:t>
            </w:r>
          </w:p>
        </w:tc>
        <w:tc>
          <w:tcPr>
            <w:tcW w:w="3200" w:type="dxa"/>
            <w:vAlign w:val="bottom"/>
            <w:gridSpan w:val="2"/>
          </w:tcPr>
          <w:p>
            <w:pPr>
              <w:ind w:left="1020"/>
              <w:spacing w:after="0"/>
              <w:rPr>
                <w:sz w:val="20"/>
                <w:szCs w:val="20"/>
                <w:color w:val="auto"/>
              </w:rPr>
            </w:pPr>
            <w:r>
              <w:rPr>
                <w:rFonts w:ascii="Times New Roman" w:cs="Times New Roman" w:eastAsia="Times New Roman" w:hAnsi="Times New Roman"/>
                <w:sz w:val="18"/>
                <w:szCs w:val="18"/>
                <w:b w:val="1"/>
                <w:bCs w:val="1"/>
                <w:color w:val="auto"/>
              </w:rPr>
              <w:t>Record Date</w:t>
            </w:r>
          </w:p>
        </w:tc>
        <w:tc>
          <w:tcPr>
            <w:tcW w:w="2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Payment Date</w:t>
            </w:r>
          </w:p>
        </w:tc>
        <w:tc>
          <w:tcPr>
            <w:tcW w:w="2060" w:type="dxa"/>
            <w:vAlign w:val="bottom"/>
            <w:gridSpan w:val="4"/>
          </w:tcPr>
          <w:p>
            <w:pPr>
              <w:ind w:left="220"/>
              <w:spacing w:after="0"/>
              <w:rPr>
                <w:sz w:val="20"/>
                <w:szCs w:val="20"/>
                <w:color w:val="auto"/>
              </w:rPr>
            </w:pPr>
            <w:r>
              <w:rPr>
                <w:rFonts w:ascii="Times New Roman" w:cs="Times New Roman" w:eastAsia="Times New Roman" w:hAnsi="Times New Roman"/>
                <w:sz w:val="18"/>
                <w:szCs w:val="18"/>
                <w:b w:val="1"/>
                <w:bCs w:val="1"/>
                <w:color w:val="auto"/>
              </w:rPr>
              <w:t>Distributions Declared</w:t>
            </w:r>
          </w:p>
        </w:tc>
      </w:tr>
      <w:tr>
        <w:trPr>
          <w:trHeight w:val="210"/>
        </w:trPr>
        <w:tc>
          <w:tcPr>
            <w:tcW w:w="2980" w:type="dxa"/>
            <w:vAlign w:val="bottom"/>
            <w:tcBorders>
              <w:top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December 17, 2019</w:t>
            </w:r>
          </w:p>
        </w:tc>
        <w:tc>
          <w:tcPr>
            <w:tcW w:w="220" w:type="dxa"/>
            <w:vAlign w:val="bottom"/>
            <w:tcBorders>
              <w:top w:val="single" w:sz="8" w:color="CCEEFF"/>
            </w:tcBorders>
            <w:shd w:val="clear" w:color="auto" w:fill="CCEEFF"/>
          </w:tcPr>
          <w:p>
            <w:pPr>
              <w:spacing w:after="0"/>
              <w:rPr>
                <w:sz w:val="18"/>
                <w:szCs w:val="18"/>
                <w:color w:val="auto"/>
              </w:rPr>
            </w:pPr>
          </w:p>
        </w:tc>
        <w:tc>
          <w:tcPr>
            <w:tcW w:w="2980" w:type="dxa"/>
            <w:vAlign w:val="bottom"/>
            <w:tcBorders>
              <w:top w:val="single" w:sz="8" w:color="auto"/>
            </w:tcBorders>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December 18, 2019</w:t>
            </w:r>
          </w:p>
        </w:tc>
        <w:tc>
          <w:tcPr>
            <w:tcW w:w="220" w:type="dxa"/>
            <w:vAlign w:val="bottom"/>
            <w:tcBorders>
              <w:top w:val="single" w:sz="8" w:color="CCEEFF"/>
            </w:tcBorders>
            <w:shd w:val="clear" w:color="auto" w:fill="CCEEFF"/>
          </w:tcPr>
          <w:p>
            <w:pPr>
              <w:spacing w:after="0"/>
              <w:rPr>
                <w:sz w:val="18"/>
                <w:szCs w:val="18"/>
                <w:color w:val="auto"/>
              </w:rPr>
            </w:pPr>
          </w:p>
        </w:tc>
        <w:tc>
          <w:tcPr>
            <w:tcW w:w="29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January 15, 2020</w:t>
            </w: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2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January 16, 2020</w:t>
            </w:r>
          </w:p>
        </w:tc>
        <w:tc>
          <w:tcPr>
            <w:tcW w:w="32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January 17, 2020</w:t>
            </w:r>
          </w:p>
        </w:tc>
        <w:tc>
          <w:tcPr>
            <w:tcW w:w="2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14, 2020</w:t>
            </w:r>
          </w:p>
        </w:tc>
        <w:tc>
          <w:tcPr>
            <w:tcW w:w="9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0.10</w:t>
            </w:r>
          </w:p>
        </w:tc>
      </w:tr>
      <w:tr>
        <w:trPr>
          <w:trHeight w:val="216"/>
        </w:trPr>
        <w:tc>
          <w:tcPr>
            <w:tcW w:w="32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February 18, 2020</w:t>
            </w:r>
          </w:p>
        </w:tc>
        <w:tc>
          <w:tcPr>
            <w:tcW w:w="32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February 19, 2020</w:t>
            </w:r>
          </w:p>
        </w:tc>
        <w:tc>
          <w:tcPr>
            <w:tcW w:w="2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March 16, 2020</w:t>
            </w:r>
          </w:p>
        </w:tc>
        <w:tc>
          <w:tcPr>
            <w:tcW w:w="9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0.10</w:t>
            </w: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After paying distributions of $0.30 per share and earning net investment income of $0.42 per share for the quarter, the Company’s undistributed spillover income as of September 30, 2019 was $0.29 per share. Spillover income includes any ordinary income and net capital gains from the preceding tax years that were not distributed during such tax years.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11. Financial highlights</w:t>
            </w: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432"/>
        </w:trPr>
        <w:tc>
          <w:tcPr>
            <w:tcW w:w="55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The following table shows financial highlights for the Company:</w:t>
            </w: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446"/>
        </w:trPr>
        <w:tc>
          <w:tcPr>
            <w:tcW w:w="116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20" w:type="dxa"/>
            <w:vAlign w:val="bottom"/>
            <w:gridSpan w:val="6"/>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116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32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340" w:type="dxa"/>
            <w:vAlign w:val="bottom"/>
          </w:tcPr>
          <w:p>
            <w:pPr>
              <w:spacing w:after="0"/>
              <w:rPr>
                <w:sz w:val="19"/>
                <w:szCs w:val="19"/>
                <w:color w:val="auto"/>
              </w:rPr>
            </w:pPr>
          </w:p>
        </w:tc>
      </w:tr>
      <w:tr>
        <w:trPr>
          <w:trHeight w:val="210"/>
        </w:trPr>
        <w:tc>
          <w:tcPr>
            <w:tcW w:w="116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0" w:type="dxa"/>
            <w:vAlign w:val="bottom"/>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tc>
        <w:tc>
          <w:tcPr>
            <w:tcW w:w="3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Per share data:</w:t>
            </w: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Net asset value at beginning of period</w:t>
            </w:r>
          </w:p>
        </w:tc>
        <w:tc>
          <w:tcPr>
            <w:tcW w:w="900" w:type="dxa"/>
            <w:vAlign w:val="bottom"/>
            <w:gridSpan w:val="2"/>
          </w:tcPr>
          <w:p>
            <w:pPr>
              <w:jc w:val="right"/>
              <w:ind w:right="153"/>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320" w:type="dxa"/>
            <w:vAlign w:val="bottom"/>
          </w:tcPr>
          <w:p>
            <w:pPr>
              <w:spacing w:after="0"/>
              <w:rPr>
                <w:sz w:val="18"/>
                <w:szCs w:val="18"/>
                <w:color w:val="auto"/>
              </w:rPr>
            </w:pPr>
          </w:p>
        </w:tc>
        <w:tc>
          <w:tcPr>
            <w:tcW w:w="54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w:t>
            </w:r>
          </w:p>
        </w:tc>
        <w:tc>
          <w:tcPr>
            <w:tcW w:w="3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0.86</w:t>
            </w:r>
          </w:p>
        </w:tc>
        <w:tc>
          <w:tcPr>
            <w:tcW w:w="340" w:type="dxa"/>
            <w:vAlign w:val="bottom"/>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Realized loss on investments</w:t>
            </w: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(0.30)</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(0.02)</w:t>
            </w:r>
          </w:p>
        </w:tc>
      </w:tr>
      <w:tr>
        <w:trPr>
          <w:trHeight w:val="230"/>
        </w:trPr>
        <w:tc>
          <w:tcPr>
            <w:tcW w:w="1160" w:type="dxa"/>
            <w:vAlign w:val="bottom"/>
          </w:tcPr>
          <w:p>
            <w:pPr>
              <w:spacing w:after="0"/>
              <w:rPr>
                <w:sz w:val="19"/>
                <w:szCs w:val="19"/>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appreciation on investments</w:t>
            </w:r>
          </w:p>
        </w:tc>
        <w:tc>
          <w:tcPr>
            <w:tcW w:w="5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340" w:type="dxa"/>
            <w:vAlign w:val="bottom"/>
            <w:shd w:val="clear" w:color="auto" w:fill="CCEEFF"/>
          </w:tcPr>
          <w:p>
            <w:pPr>
              <w:spacing w:after="0"/>
              <w:rPr>
                <w:sz w:val="19"/>
                <w:szCs w:val="19"/>
                <w:color w:val="auto"/>
              </w:rPr>
            </w:pPr>
          </w:p>
        </w:tc>
      </w:tr>
      <w:tr>
        <w:trPr>
          <w:trHeight w:val="210"/>
        </w:trPr>
        <w:tc>
          <w:tcPr>
            <w:tcW w:w="116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in net assets resulting from operations</w:t>
            </w: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0.98</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0.85</w:t>
            </w:r>
          </w:p>
        </w:tc>
        <w:tc>
          <w:tcPr>
            <w:tcW w:w="340" w:type="dxa"/>
            <w:vAlign w:val="bottom"/>
          </w:tcPr>
          <w:p>
            <w:pPr>
              <w:spacing w:after="0"/>
              <w:rPr>
                <w:sz w:val="18"/>
                <w:szCs w:val="18"/>
                <w:color w:val="auto"/>
              </w:rPr>
            </w:pPr>
          </w:p>
        </w:tc>
      </w:tr>
      <w:tr>
        <w:trPr>
          <w:trHeight w:val="257"/>
        </w:trPr>
        <w:tc>
          <w:tcPr>
            <w:tcW w:w="1160" w:type="dxa"/>
            <w:vAlign w:val="bottom"/>
          </w:tcPr>
          <w:p>
            <w:pPr>
              <w:spacing w:after="0"/>
              <w:rPr>
                <w:sz w:val="22"/>
                <w:szCs w:val="22"/>
                <w:color w:val="auto"/>
              </w:rPr>
            </w:pPr>
          </w:p>
        </w:tc>
        <w:tc>
          <w:tcPr>
            <w:tcW w:w="44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Distributions declared</w:t>
            </w:r>
            <w:r>
              <w:rPr>
                <w:rFonts w:ascii="Times New Roman" w:cs="Times New Roman" w:eastAsia="Times New Roman" w:hAnsi="Times New Roman"/>
                <w:sz w:val="29"/>
                <w:szCs w:val="29"/>
                <w:color w:val="auto"/>
                <w:vertAlign w:val="superscript"/>
              </w:rPr>
              <w:t>(1)</w:t>
            </w:r>
          </w:p>
        </w:tc>
        <w:tc>
          <w:tcPr>
            <w:tcW w:w="5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(0.90)</w:t>
            </w:r>
          </w:p>
        </w:tc>
        <w:tc>
          <w:tcPr>
            <w:tcW w:w="1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6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(0.90)</w:t>
            </w:r>
          </w:p>
        </w:tc>
      </w:tr>
      <w:tr>
        <w:trPr>
          <w:trHeight w:val="216"/>
        </w:trPr>
        <w:tc>
          <w:tcPr>
            <w:tcW w:w="1160" w:type="dxa"/>
            <w:vAlign w:val="bottom"/>
          </w:tcPr>
          <w:p>
            <w:pPr>
              <w:spacing w:after="0"/>
              <w:rPr>
                <w:sz w:val="18"/>
                <w:szCs w:val="18"/>
                <w:color w:val="auto"/>
              </w:rPr>
            </w:pPr>
          </w:p>
        </w:tc>
        <w:tc>
          <w:tcPr>
            <w:tcW w:w="44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From net investment income</w:t>
            </w: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(0.90)</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(0.90)</w:t>
            </w:r>
          </w:p>
        </w:tc>
      </w:tr>
      <w:tr>
        <w:trPr>
          <w:trHeight w:val="216"/>
        </w:trPr>
        <w:tc>
          <w:tcPr>
            <w:tcW w:w="1160" w:type="dxa"/>
            <w:vAlign w:val="bottom"/>
          </w:tcPr>
          <w:p>
            <w:pPr>
              <w:spacing w:after="0"/>
              <w:rPr>
                <w:sz w:val="18"/>
                <w:szCs w:val="18"/>
                <w:color w:val="auto"/>
              </w:rPr>
            </w:pPr>
          </w:p>
        </w:tc>
        <w:tc>
          <w:tcPr>
            <w:tcW w:w="44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From net realized gain on investments</w:t>
            </w: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160" w:type="dxa"/>
            <w:vAlign w:val="bottom"/>
          </w:tcPr>
          <w:p>
            <w:pPr>
              <w:spacing w:after="0"/>
              <w:rPr>
                <w:sz w:val="18"/>
                <w:szCs w:val="18"/>
                <w:color w:val="auto"/>
              </w:rPr>
            </w:pPr>
          </w:p>
        </w:tc>
        <w:tc>
          <w:tcPr>
            <w:tcW w:w="44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Return of capital</w:t>
            </w: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160" w:type="dxa"/>
            <w:vAlign w:val="bottom"/>
          </w:tcPr>
          <w:p>
            <w:pPr>
              <w:spacing w:after="0"/>
              <w:rPr>
                <w:sz w:val="23"/>
                <w:szCs w:val="23"/>
                <w:color w:val="auto"/>
              </w:rPr>
            </w:pPr>
          </w:p>
        </w:tc>
        <w:tc>
          <w:tcPr>
            <w:tcW w:w="4400" w:type="dxa"/>
            <w:vAlign w:val="bottom"/>
            <w:shd w:val="clear" w:color="auto" w:fill="CCEEFF"/>
          </w:tcPr>
          <w:p>
            <w:pPr>
              <w:spacing w:after="0" w:line="269"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30"/>
                <w:szCs w:val="30"/>
                <w:color w:val="auto"/>
                <w:vertAlign w:val="superscript"/>
              </w:rPr>
              <w:t>(2)</w:t>
            </w:r>
          </w:p>
        </w:tc>
        <w:tc>
          <w:tcPr>
            <w:tcW w:w="5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(0.05)</w:t>
            </w:r>
          </w:p>
        </w:tc>
        <w:tc>
          <w:tcPr>
            <w:tcW w:w="16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6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(0.01)</w:t>
            </w:r>
          </w:p>
        </w:tc>
      </w:tr>
      <w:tr>
        <w:trPr>
          <w:trHeight w:val="263"/>
        </w:trPr>
        <w:tc>
          <w:tcPr>
            <w:tcW w:w="1160" w:type="dxa"/>
            <w:vAlign w:val="bottom"/>
          </w:tcPr>
          <w:p>
            <w:pPr>
              <w:spacing w:after="0"/>
              <w:rPr>
                <w:sz w:val="22"/>
                <w:szCs w:val="22"/>
                <w:color w:val="auto"/>
              </w:rPr>
            </w:pPr>
          </w:p>
        </w:tc>
        <w:tc>
          <w:tcPr>
            <w:tcW w:w="4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asset value at end of period</w:t>
            </w:r>
          </w:p>
        </w:tc>
        <w:tc>
          <w:tcPr>
            <w:tcW w:w="58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11.67</w:t>
            </w:r>
          </w:p>
        </w:tc>
        <w:tc>
          <w:tcPr>
            <w:tcW w:w="32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340" w:type="dxa"/>
            <w:vAlign w:val="bottom"/>
            <w:tcBorders>
              <w:bottom w:val="single" w:sz="8" w:color="CCEEFF"/>
            </w:tcBorders>
          </w:tcPr>
          <w:p>
            <w:pPr>
              <w:spacing w:after="0"/>
              <w:rPr>
                <w:sz w:val="22"/>
                <w:szCs w:val="22"/>
                <w:color w:val="auto"/>
              </w:rPr>
            </w:pPr>
          </w:p>
        </w:tc>
      </w:tr>
      <w:tr>
        <w:trPr>
          <w:trHeight w:val="197"/>
        </w:trPr>
        <w:tc>
          <w:tcPr>
            <w:tcW w:w="1160" w:type="dxa"/>
            <w:vAlign w:val="bottom"/>
          </w:tcPr>
          <w:p>
            <w:pPr>
              <w:spacing w:after="0"/>
              <w:rPr>
                <w:sz w:val="17"/>
                <w:szCs w:val="17"/>
                <w:color w:val="auto"/>
              </w:rPr>
            </w:pPr>
          </w:p>
        </w:tc>
        <w:tc>
          <w:tcPr>
            <w:tcW w:w="44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Per share market value, beginning of period</w:t>
            </w: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11.25</w:t>
            </w: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11.22</w:t>
            </w:r>
          </w:p>
        </w:tc>
        <w:tc>
          <w:tcPr>
            <w:tcW w:w="340" w:type="dxa"/>
            <w:vAlign w:val="bottom"/>
            <w:shd w:val="clear" w:color="auto" w:fill="CCEEFF"/>
          </w:tcPr>
          <w:p>
            <w:pPr>
              <w:spacing w:after="0"/>
              <w:rPr>
                <w:sz w:val="17"/>
                <w:szCs w:val="17"/>
                <w:color w:val="auto"/>
              </w:rPr>
            </w:pPr>
          </w:p>
        </w:tc>
      </w:tr>
      <w:tr>
        <w:trPr>
          <w:trHeight w:val="216"/>
        </w:trPr>
        <w:tc>
          <w:tcPr>
            <w:tcW w:w="116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Per share market value, end of period</w:t>
            </w:r>
          </w:p>
        </w:tc>
        <w:tc>
          <w:tcPr>
            <w:tcW w:w="900" w:type="dxa"/>
            <w:vAlign w:val="bottom"/>
            <w:gridSpan w:val="2"/>
          </w:tcPr>
          <w:p>
            <w:pPr>
              <w:jc w:val="right"/>
              <w:ind w:right="153"/>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320" w:type="dxa"/>
            <w:vAlign w:val="bottom"/>
          </w:tcPr>
          <w:p>
            <w:pPr>
              <w:spacing w:after="0"/>
              <w:rPr>
                <w:sz w:val="18"/>
                <w:szCs w:val="18"/>
                <w:color w:val="auto"/>
              </w:rPr>
            </w:pPr>
          </w:p>
        </w:tc>
        <w:tc>
          <w:tcPr>
            <w:tcW w:w="54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w:t>
            </w:r>
          </w:p>
        </w:tc>
        <w:tc>
          <w:tcPr>
            <w:tcW w:w="340" w:type="dxa"/>
            <w:vAlign w:val="bottom"/>
          </w:tcPr>
          <w:p>
            <w:pPr>
              <w:spacing w:after="0"/>
              <w:rPr>
                <w:sz w:val="18"/>
                <w:szCs w:val="18"/>
                <w:color w:val="auto"/>
              </w:rPr>
            </w:pPr>
          </w:p>
        </w:tc>
      </w:tr>
      <w:tr>
        <w:trPr>
          <w:trHeight w:val="257"/>
        </w:trPr>
        <w:tc>
          <w:tcPr>
            <w:tcW w:w="1160" w:type="dxa"/>
            <w:vAlign w:val="bottom"/>
          </w:tcPr>
          <w:p>
            <w:pPr>
              <w:spacing w:after="0"/>
              <w:rPr>
                <w:sz w:val="22"/>
                <w:szCs w:val="22"/>
                <w:color w:val="auto"/>
              </w:rPr>
            </w:pPr>
          </w:p>
        </w:tc>
        <w:tc>
          <w:tcPr>
            <w:tcW w:w="44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Total return based on a market value</w:t>
            </w:r>
            <w:r>
              <w:rPr>
                <w:rFonts w:ascii="Times New Roman" w:cs="Times New Roman" w:eastAsia="Times New Roman" w:hAnsi="Times New Roman"/>
                <w:sz w:val="29"/>
                <w:szCs w:val="29"/>
                <w:color w:val="auto"/>
                <w:vertAlign w:val="superscript"/>
              </w:rPr>
              <w:t>(3)</w:t>
            </w:r>
          </w:p>
        </w:tc>
        <w:tc>
          <w:tcPr>
            <w:tcW w:w="5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13.2%</w:t>
            </w:r>
          </w:p>
        </w:tc>
        <w:tc>
          <w:tcPr>
            <w:tcW w:w="1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9.7%</w:t>
            </w:r>
          </w:p>
        </w:tc>
      </w:tr>
      <w:tr>
        <w:trPr>
          <w:trHeight w:val="216"/>
        </w:trPr>
        <w:tc>
          <w:tcPr>
            <w:tcW w:w="116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Shares outstanding at end of period</w:t>
            </w: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14,412,475</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11,531,399</w:t>
            </w:r>
          </w:p>
        </w:tc>
        <w:tc>
          <w:tcPr>
            <w:tcW w:w="3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Ratios, net of waiver, to average net assets:</w:t>
            </w: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420"/>
          </w:cols>
          <w:pgMar w:left="240" w:top="900" w:right="239" w:bottom="0" w:gutter="0" w:footer="0" w:header="0"/>
        </w:sectPr>
      </w:pPr>
    </w:p>
    <w:p>
      <w:pPr>
        <w:spacing w:after="0" w:line="2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Expenses without incentive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17145</wp:posOffset>
            </wp:positionV>
            <wp:extent cx="5797550" cy="1714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797550" cy="171450"/>
                    </a:xfrm>
                    <a:prstGeom prst="rect">
                      <a:avLst/>
                    </a:prstGeom>
                    <a:noFill/>
                  </pic:spPr>
                </pic:pic>
              </a:graphicData>
            </a:graphic>
          </wp:anchor>
        </w:drawing>
      </w:r>
    </w:p>
    <w:p>
      <w:pPr>
        <w:spacing w:after="0" w:line="3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Incentive fees</w:t>
      </w:r>
    </w:p>
    <w:p>
      <w:pPr>
        <w:spacing w:after="0" w:line="6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Net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43180</wp:posOffset>
            </wp:positionV>
            <wp:extent cx="5797550" cy="1631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797550" cy="163195"/>
                    </a:xfrm>
                    <a:prstGeom prst="rect">
                      <a:avLst/>
                    </a:prstGeom>
                    <a:noFill/>
                  </pic:spPr>
                </pic:pic>
              </a:graphicData>
            </a:graphic>
          </wp:anchor>
        </w:drawing>
      </w:r>
    </w:p>
    <w:p>
      <w:pPr>
        <w:spacing w:after="0" w:line="7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Net investment income with incentive fees</w:t>
      </w:r>
    </w:p>
    <w:p>
      <w:pPr>
        <w:spacing w:after="0" w:line="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7"/>
          <w:szCs w:val="17"/>
          <w:b w:val="1"/>
          <w:bCs w:val="1"/>
          <w:color w:val="auto"/>
        </w:rPr>
        <w:t>Ratios, without waiver, to average net assets:</w:t>
      </w:r>
    </w:p>
    <w:p>
      <w:pPr>
        <w:spacing w:after="0" w:line="20" w:lineRule="exact"/>
        <w:rPr>
          <w:sz w:val="20"/>
          <w:szCs w:val="20"/>
          <w:color w:val="auto"/>
        </w:rPr>
      </w:pPr>
      <w:r>
        <w:rPr>
          <w:sz w:val="20"/>
          <w:szCs w:val="20"/>
          <w:color w:val="auto"/>
        </w:rPr>
        <w:br w:type="column"/>
      </w:r>
    </w:p>
    <w:p>
      <w:pPr>
        <w:spacing w:after="0" w:line="207" w:lineRule="auto"/>
        <w:tabs>
          <w:tab w:leader="none" w:pos="2120" w:val="left"/>
        </w:tabs>
        <w:rPr>
          <w:sz w:val="20"/>
          <w:szCs w:val="20"/>
          <w:color w:val="auto"/>
        </w:rPr>
      </w:pPr>
      <w:r>
        <w:rPr>
          <w:rFonts w:ascii="Times New Roman" w:cs="Times New Roman" w:eastAsia="Times New Roman" w:hAnsi="Times New Roman"/>
          <w:sz w:val="18"/>
          <w:szCs w:val="18"/>
          <w:color w:val="auto"/>
        </w:rPr>
        <w:t>10.9%</w:t>
      </w:r>
      <w:r>
        <w:rPr>
          <w:rFonts w:ascii="Times New Roman" w:cs="Times New Roman" w:eastAsia="Times New Roman" w:hAnsi="Times New Roman"/>
          <w:sz w:val="29"/>
          <w:szCs w:val="29"/>
          <w:color w:val="auto"/>
          <w:vertAlign w:val="superscript"/>
        </w:rPr>
        <w:t>(4)</w:t>
      </w:r>
      <w:r>
        <w:rPr>
          <w:sz w:val="20"/>
          <w:szCs w:val="20"/>
          <w:color w:val="auto"/>
        </w:rPr>
        <w:tab/>
      </w:r>
      <w:r>
        <w:rPr>
          <w:rFonts w:ascii="Times New Roman" w:cs="Times New Roman" w:eastAsia="Times New Roman" w:hAnsi="Times New Roman"/>
          <w:sz w:val="16"/>
          <w:szCs w:val="16"/>
          <w:color w:val="auto"/>
        </w:rPr>
        <w:t>10.1%</w:t>
      </w:r>
      <w:r>
        <w:rPr>
          <w:rFonts w:ascii="Times New Roman" w:cs="Times New Roman" w:eastAsia="Times New Roman" w:hAnsi="Times New Roman"/>
          <w:sz w:val="26"/>
          <w:szCs w:val="26"/>
          <w:color w:val="auto"/>
          <w:vertAlign w:val="superscript"/>
        </w:rPr>
        <w:t>(4)</w:t>
      </w:r>
    </w:p>
    <w:p>
      <w:pPr>
        <w:ind w:left="80"/>
        <w:spacing w:after="0" w:line="216" w:lineRule="auto"/>
        <w:tabs>
          <w:tab w:leader="none" w:pos="2220" w:val="left"/>
        </w:tabs>
        <w:rPr>
          <w:sz w:val="20"/>
          <w:szCs w:val="20"/>
          <w:color w:val="auto"/>
        </w:rPr>
      </w:pPr>
      <w:r>
        <w:rPr>
          <w:rFonts w:ascii="Times New Roman" w:cs="Times New Roman" w:eastAsia="Times New Roman" w:hAnsi="Times New Roman"/>
          <w:sz w:val="18"/>
          <w:szCs w:val="18"/>
          <w:color w:val="auto"/>
        </w:rPr>
        <w:t>3.0%</w:t>
      </w:r>
      <w:r>
        <w:rPr>
          <w:rFonts w:ascii="Times New Roman" w:cs="Times New Roman" w:eastAsia="Times New Roman" w:hAnsi="Times New Roman"/>
          <w:sz w:val="30"/>
          <w:szCs w:val="30"/>
          <w:color w:val="auto"/>
          <w:vertAlign w:val="superscript"/>
        </w:rPr>
        <w:t>(4)</w:t>
      </w:r>
      <w:r>
        <w:rPr>
          <w:sz w:val="20"/>
          <w:szCs w:val="20"/>
          <w:color w:val="auto"/>
        </w:rPr>
        <w:tab/>
      </w:r>
      <w:r>
        <w:rPr>
          <w:rFonts w:ascii="Times New Roman" w:cs="Times New Roman" w:eastAsia="Times New Roman" w:hAnsi="Times New Roman"/>
          <w:sz w:val="16"/>
          <w:szCs w:val="16"/>
          <w:color w:val="auto"/>
        </w:rPr>
        <w:t>2.2%</w:t>
      </w:r>
      <w:r>
        <w:rPr>
          <w:rFonts w:ascii="Times New Roman" w:cs="Times New Roman" w:eastAsia="Times New Roman" w:hAnsi="Times New Roman"/>
          <w:sz w:val="26"/>
          <w:szCs w:val="26"/>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-850900</wp:posOffset>
            </wp:positionH>
            <wp:positionV relativeFrom="paragraph">
              <wp:posOffset>0</wp:posOffset>
            </wp:positionV>
            <wp:extent cx="24180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418080" cy="8890"/>
                    </a:xfrm>
                    <a:prstGeom prst="rect">
                      <a:avLst/>
                    </a:prstGeom>
                    <a:noFill/>
                  </pic:spPr>
                </pic:pic>
              </a:graphicData>
            </a:graphic>
          </wp:anchor>
        </w:drawing>
      </w:r>
    </w:p>
    <w:p>
      <w:pPr>
        <w:spacing w:after="0"/>
        <w:tabs>
          <w:tab w:leader="none" w:pos="2120" w:val="left"/>
        </w:tabs>
        <w:rPr>
          <w:sz w:val="20"/>
          <w:szCs w:val="20"/>
          <w:color w:val="auto"/>
        </w:rPr>
      </w:pPr>
      <w:r>
        <w:rPr>
          <w:rFonts w:ascii="Times New Roman" w:cs="Times New Roman" w:eastAsia="Times New Roman" w:hAnsi="Times New Roman"/>
          <w:sz w:val="18"/>
          <w:szCs w:val="18"/>
          <w:color w:val="auto"/>
        </w:rPr>
        <w:t>13.9%</w:t>
      </w:r>
      <w:r>
        <w:rPr>
          <w:rFonts w:ascii="Times New Roman" w:cs="Times New Roman" w:eastAsia="Times New Roman" w:hAnsi="Times New Roman"/>
          <w:sz w:val="30"/>
          <w:szCs w:val="30"/>
          <w:color w:val="auto"/>
          <w:vertAlign w:val="superscript"/>
        </w:rPr>
        <w:t>(4)</w:t>
      </w:r>
      <w:r>
        <w:rPr>
          <w:sz w:val="20"/>
          <w:szCs w:val="20"/>
          <w:color w:val="auto"/>
        </w:rPr>
        <w:tab/>
      </w:r>
      <w:r>
        <w:rPr>
          <w:rFonts w:ascii="Times New Roman" w:cs="Times New Roman" w:eastAsia="Times New Roman" w:hAnsi="Times New Roman"/>
          <w:sz w:val="16"/>
          <w:szCs w:val="16"/>
          <w:color w:val="auto"/>
        </w:rPr>
        <w:t>12.3%</w:t>
      </w:r>
      <w:r>
        <w:rPr>
          <w:rFonts w:ascii="Times New Roman" w:cs="Times New Roman" w:eastAsia="Times New Roman" w:hAnsi="Times New Roman"/>
          <w:sz w:val="26"/>
          <w:szCs w:val="26"/>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-850900</wp:posOffset>
            </wp:positionH>
            <wp:positionV relativeFrom="paragraph">
              <wp:posOffset>-9525</wp:posOffset>
            </wp:positionV>
            <wp:extent cx="24180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418080" cy="8890"/>
                    </a:xfrm>
                    <a:prstGeom prst="rect">
                      <a:avLst/>
                    </a:prstGeom>
                    <a:noFill/>
                  </pic:spPr>
                </pic:pic>
              </a:graphicData>
            </a:graphic>
          </wp:anchor>
        </w:drawing>
      </w:r>
    </w:p>
    <w:p>
      <w:pPr>
        <w:spacing w:after="0"/>
        <w:tabs>
          <w:tab w:leader="none" w:pos="2220" w:val="left"/>
        </w:tabs>
        <w:rPr>
          <w:sz w:val="20"/>
          <w:szCs w:val="20"/>
          <w:color w:val="auto"/>
        </w:rPr>
      </w:pPr>
      <w:r>
        <w:rPr>
          <w:rFonts w:ascii="Times New Roman" w:cs="Times New Roman" w:eastAsia="Times New Roman" w:hAnsi="Times New Roman"/>
          <w:sz w:val="18"/>
          <w:szCs w:val="18"/>
          <w:color w:val="auto"/>
        </w:rPr>
        <w:t>12.1%</w:t>
      </w:r>
      <w:r>
        <w:rPr>
          <w:rFonts w:ascii="Times New Roman" w:cs="Times New Roman" w:eastAsia="Times New Roman" w:hAnsi="Times New Roman"/>
          <w:sz w:val="30"/>
          <w:szCs w:val="30"/>
          <w:color w:val="auto"/>
          <w:vertAlign w:val="superscript"/>
        </w:rPr>
        <w:t>(4)</w:t>
      </w:r>
      <w:r>
        <w:rPr>
          <w:sz w:val="20"/>
          <w:szCs w:val="20"/>
          <w:color w:val="auto"/>
        </w:rPr>
        <w:tab/>
      </w:r>
      <w:r>
        <w:rPr>
          <w:rFonts w:ascii="Times New Roman" w:cs="Times New Roman" w:eastAsia="Times New Roman" w:hAnsi="Times New Roman"/>
          <w:sz w:val="16"/>
          <w:szCs w:val="16"/>
          <w:color w:val="auto"/>
        </w:rPr>
        <w:t>9.8%</w:t>
      </w:r>
      <w:r>
        <w:rPr>
          <w:rFonts w:ascii="Times New Roman" w:cs="Times New Roman" w:eastAsia="Times New Roman" w:hAnsi="Times New Roman"/>
          <w:sz w:val="26"/>
          <w:szCs w:val="26"/>
          <w:color w:val="auto"/>
          <w:vertAlign w:val="superscript"/>
        </w:rPr>
        <w:t>(4)</w:t>
      </w:r>
    </w:p>
    <w:p>
      <w:pPr>
        <w:spacing w:after="0" w:line="106" w:lineRule="exact"/>
        <w:rPr>
          <w:sz w:val="20"/>
          <w:szCs w:val="20"/>
          <w:color w:val="auto"/>
        </w:rPr>
      </w:pPr>
    </w:p>
    <w:p>
      <w:pPr>
        <w:sectPr>
          <w:pgSz w:w="11900" w:h="16838" w:orient="portrait"/>
          <w:cols w:equalWidth="0" w:num="2">
            <w:col w:w="6760" w:space="720"/>
            <w:col w:w="3940"/>
          </w:cols>
          <w:pgMar w:left="240" w:top="900" w:right="239" w:bottom="0" w:gutter="0" w:footer="0" w:header="0"/>
          <w:type w:val="continuous"/>
        </w:sectPr>
      </w:pPr>
    </w:p>
    <w:tbl>
      <w:tblPr>
        <w:tblLayout w:type="fixed"/>
        <w:tblInd w:w="1140" w:type="dxa"/>
        <w:tblCellMar>
          <w:top w:w="0" w:type="dxa"/>
          <w:left w:w="0" w:type="dxa"/>
          <w:bottom w:w="0" w:type="dxa"/>
          <w:right w:w="0" w:type="dxa"/>
        </w:tblCellMar>
      </w:tblPr>
      <w:tr>
        <w:trPr>
          <w:trHeight w:val="277"/>
        </w:trPr>
        <w:tc>
          <w:tcPr>
            <w:tcW w:w="20" w:type="dxa"/>
            <w:vAlign w:val="bottom"/>
          </w:tcPr>
          <w:p>
            <w:pPr>
              <w:spacing w:after="0"/>
              <w:rPr>
                <w:sz w:val="24"/>
                <w:szCs w:val="24"/>
                <w:color w:val="auto"/>
              </w:rPr>
            </w:pPr>
          </w:p>
        </w:tc>
        <w:tc>
          <w:tcPr>
            <w:tcW w:w="4100" w:type="dxa"/>
            <w:vAlign w:val="bottom"/>
            <w:shd w:val="clear" w:color="auto" w:fill="CCEEFF"/>
          </w:tcPr>
          <w:p>
            <w:pPr>
              <w:spacing w:after="0" w:line="276" w:lineRule="exact"/>
              <w:rPr>
                <w:sz w:val="20"/>
                <w:szCs w:val="20"/>
                <w:color w:val="auto"/>
              </w:rPr>
            </w:pPr>
            <w:r>
              <w:rPr>
                <w:rFonts w:ascii="Times New Roman" w:cs="Times New Roman" w:eastAsia="Times New Roman" w:hAnsi="Times New Roman"/>
                <w:sz w:val="18"/>
                <w:szCs w:val="18"/>
                <w:color w:val="auto"/>
              </w:rPr>
              <w:t>Expenses without incentive fees</w:t>
            </w:r>
            <w:r>
              <w:rPr>
                <w:rFonts w:ascii="Times New Roman" w:cs="Times New Roman" w:eastAsia="Times New Roman" w:hAnsi="Times New Roman"/>
                <w:sz w:val="30"/>
                <w:szCs w:val="30"/>
                <w:color w:val="auto"/>
                <w:vertAlign w:val="superscript"/>
              </w:rPr>
              <w:t>(5)</w:t>
            </w:r>
          </w:p>
        </w:tc>
        <w:tc>
          <w:tcPr>
            <w:tcW w:w="88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480" w:type="dxa"/>
            <w:vAlign w:val="bottom"/>
            <w:gridSpan w:val="2"/>
            <w:shd w:val="clear" w:color="auto" w:fill="CCEEFF"/>
          </w:tcPr>
          <w:p>
            <w:pPr>
              <w:jc w:val="right"/>
              <w:ind w:right="12"/>
              <w:spacing w:after="0" w:line="276" w:lineRule="exact"/>
              <w:rPr>
                <w:sz w:val="20"/>
                <w:szCs w:val="20"/>
                <w:color w:val="auto"/>
              </w:rPr>
            </w:pPr>
            <w:r>
              <w:rPr>
                <w:rFonts w:ascii="Times New Roman" w:cs="Times New Roman" w:eastAsia="Times New Roman" w:hAnsi="Times New Roman"/>
                <w:sz w:val="18"/>
                <w:szCs w:val="18"/>
                <w:color w:val="auto"/>
              </w:rPr>
              <w:t>10.9%</w:t>
            </w:r>
            <w:r>
              <w:rPr>
                <w:rFonts w:ascii="Times New Roman" w:cs="Times New Roman" w:eastAsia="Times New Roman" w:hAnsi="Times New Roman"/>
                <w:sz w:val="30"/>
                <w:szCs w:val="30"/>
                <w:color w:val="auto"/>
                <w:vertAlign w:val="superscript"/>
              </w:rPr>
              <w:t>(4)</w:t>
            </w:r>
          </w:p>
        </w:tc>
        <w:tc>
          <w:tcPr>
            <w:tcW w:w="8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jc w:val="right"/>
              <w:spacing w:after="0" w:line="276" w:lineRule="exact"/>
              <w:rPr>
                <w:sz w:val="20"/>
                <w:szCs w:val="20"/>
                <w:color w:val="auto"/>
              </w:rPr>
            </w:pPr>
            <w:r>
              <w:rPr>
                <w:rFonts w:ascii="Times New Roman" w:cs="Times New Roman" w:eastAsia="Times New Roman" w:hAnsi="Times New Roman"/>
                <w:sz w:val="18"/>
                <w:szCs w:val="18"/>
                <w:color w:val="auto"/>
              </w:rPr>
              <w:t>10.1%</w:t>
            </w:r>
            <w:r>
              <w:rPr>
                <w:rFonts w:ascii="Times New Roman" w:cs="Times New Roman" w:eastAsia="Times New Roman" w:hAnsi="Times New Roman"/>
                <w:sz w:val="30"/>
                <w:szCs w:val="30"/>
                <w:color w:val="auto"/>
                <w:vertAlign w:val="superscript"/>
              </w:rPr>
              <w:t>(4)</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100" w:type="dxa"/>
            <w:vAlign w:val="bottom"/>
          </w:tcPr>
          <w:p>
            <w:pPr>
              <w:spacing w:after="0" w:line="269" w:lineRule="exact"/>
              <w:rPr>
                <w:sz w:val="20"/>
                <w:szCs w:val="20"/>
                <w:color w:val="auto"/>
              </w:rPr>
            </w:pPr>
            <w:r>
              <w:rPr>
                <w:rFonts w:ascii="Times New Roman" w:cs="Times New Roman" w:eastAsia="Times New Roman" w:hAnsi="Times New Roman"/>
                <w:sz w:val="18"/>
                <w:szCs w:val="18"/>
                <w:color w:val="auto"/>
              </w:rPr>
              <w:t>Incentive fees</w:t>
            </w:r>
            <w:r>
              <w:rPr>
                <w:rFonts w:ascii="Times New Roman" w:cs="Times New Roman" w:eastAsia="Times New Roman" w:hAnsi="Times New Roman"/>
                <w:sz w:val="30"/>
                <w:szCs w:val="30"/>
                <w:color w:val="auto"/>
                <w:vertAlign w:val="superscript"/>
              </w:rPr>
              <w:t>(5)</w:t>
            </w:r>
          </w:p>
        </w:tc>
        <w:tc>
          <w:tcPr>
            <w:tcW w:w="8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80" w:type="dxa"/>
            <w:vAlign w:val="bottom"/>
            <w:gridSpan w:val="2"/>
          </w:tcPr>
          <w:p>
            <w:pPr>
              <w:jc w:val="right"/>
              <w:ind w:right="12"/>
              <w:spacing w:after="0" w:line="269" w:lineRule="exact"/>
              <w:rPr>
                <w:sz w:val="20"/>
                <w:szCs w:val="20"/>
                <w:color w:val="auto"/>
              </w:rPr>
            </w:pPr>
            <w:r>
              <w:rPr>
                <w:rFonts w:ascii="Times New Roman" w:cs="Times New Roman" w:eastAsia="Times New Roman" w:hAnsi="Times New Roman"/>
                <w:sz w:val="18"/>
                <w:szCs w:val="18"/>
                <w:color w:val="auto"/>
              </w:rPr>
              <w:t>4.6%</w:t>
            </w:r>
            <w:r>
              <w:rPr>
                <w:rFonts w:ascii="Times New Roman" w:cs="Times New Roman" w:eastAsia="Times New Roman" w:hAnsi="Times New Roman"/>
                <w:sz w:val="30"/>
                <w:szCs w:val="30"/>
                <w:color w:val="auto"/>
                <w:vertAlign w:val="superscript"/>
              </w:rPr>
              <w:t>(4)</w:t>
            </w: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2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8"/>
                <w:szCs w:val="18"/>
                <w:color w:val="auto"/>
              </w:rPr>
              <w:t>2.8%</w:t>
            </w:r>
            <w:r>
              <w:rPr>
                <w:rFonts w:ascii="Times New Roman" w:cs="Times New Roman" w:eastAsia="Times New Roman" w:hAnsi="Times New Roman"/>
                <w:sz w:val="30"/>
                <w:szCs w:val="30"/>
                <w:color w:val="auto"/>
                <w:vertAlign w:val="superscript"/>
              </w:rPr>
              <w:t>(4)</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100" w:type="dxa"/>
            <w:vAlign w:val="bottom"/>
            <w:tcBorders>
              <w:top w:val="single" w:sz="8" w:color="CCEEFF"/>
              <w:bottom w:val="single" w:sz="8" w:color="CCEEFF"/>
            </w:tcBorders>
            <w:shd w:val="clear" w:color="auto" w:fill="CCEEFF"/>
          </w:tcPr>
          <w:p>
            <w:pPr>
              <w:spacing w:after="0" w:line="264" w:lineRule="exact"/>
              <w:rPr>
                <w:sz w:val="20"/>
                <w:szCs w:val="20"/>
                <w:color w:val="auto"/>
              </w:rPr>
            </w:pPr>
            <w:r>
              <w:rPr>
                <w:rFonts w:ascii="Times New Roman" w:cs="Times New Roman" w:eastAsia="Times New Roman" w:hAnsi="Times New Roman"/>
                <w:sz w:val="18"/>
                <w:szCs w:val="18"/>
                <w:color w:val="auto"/>
              </w:rPr>
              <w:t>Net expenses</w:t>
            </w:r>
            <w:r>
              <w:rPr>
                <w:rFonts w:ascii="Times New Roman" w:cs="Times New Roman" w:eastAsia="Times New Roman" w:hAnsi="Times New Roman"/>
                <w:sz w:val="30"/>
                <w:szCs w:val="30"/>
                <w:color w:val="auto"/>
                <w:vertAlign w:val="superscript"/>
              </w:rPr>
              <w:t>(5)</w:t>
            </w:r>
          </w:p>
        </w:tc>
        <w:tc>
          <w:tcPr>
            <w:tcW w:w="880" w:type="dxa"/>
            <w:vAlign w:val="bottom"/>
            <w:tcBorders>
              <w:top w:val="single" w:sz="8" w:color="CCEEFF"/>
              <w:bottom w:val="single" w:sz="8" w:color="CCEEFF"/>
            </w:tcBorders>
            <w:shd w:val="clear" w:color="auto" w:fill="CCEEFF"/>
          </w:tcPr>
          <w:p>
            <w:pPr>
              <w:spacing w:after="0"/>
              <w:rPr>
                <w:sz w:val="22"/>
                <w:szCs w:val="22"/>
                <w:color w:val="auto"/>
              </w:rPr>
            </w:pPr>
          </w:p>
        </w:tc>
        <w:tc>
          <w:tcPr>
            <w:tcW w:w="580" w:type="dxa"/>
            <w:vAlign w:val="bottom"/>
            <w:tcBorders>
              <w:top w:val="single" w:sz="8" w:color="auto"/>
              <w:bottom w:val="single" w:sz="8" w:color="auto"/>
            </w:tcBorders>
            <w:shd w:val="clear" w:color="auto" w:fill="CCEEFF"/>
          </w:tcPr>
          <w:p>
            <w:pPr>
              <w:spacing w:after="0"/>
              <w:rPr>
                <w:sz w:val="22"/>
                <w:szCs w:val="22"/>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400" w:type="dxa"/>
            <w:vAlign w:val="bottom"/>
            <w:tcBorders>
              <w:top w:val="single" w:sz="8" w:color="CCEEFF"/>
              <w:bottom w:val="single" w:sz="8" w:color="CCEEFF"/>
            </w:tcBorders>
            <w:shd w:val="clear" w:color="auto" w:fill="CCEEFF"/>
          </w:tcPr>
          <w:p>
            <w:pPr>
              <w:jc w:val="right"/>
              <w:ind w:right="12"/>
              <w:spacing w:after="0" w:line="264" w:lineRule="exact"/>
              <w:rPr>
                <w:sz w:val="20"/>
                <w:szCs w:val="20"/>
                <w:color w:val="auto"/>
              </w:rPr>
            </w:pPr>
            <w:r>
              <w:rPr>
                <w:rFonts w:ascii="Times New Roman" w:cs="Times New Roman" w:eastAsia="Times New Roman" w:hAnsi="Times New Roman"/>
                <w:sz w:val="30"/>
                <w:szCs w:val="30"/>
                <w:color w:val="auto"/>
                <w:w w:val="90"/>
                <w:vertAlign w:val="subscript"/>
              </w:rPr>
              <w:t>%</w:t>
            </w:r>
            <w:r>
              <w:rPr>
                <w:rFonts w:ascii="Times New Roman" w:cs="Times New Roman" w:eastAsia="Times New Roman" w:hAnsi="Times New Roman"/>
                <w:sz w:val="14"/>
                <w:szCs w:val="14"/>
                <w:color w:val="auto"/>
                <w:w w:val="90"/>
              </w:rPr>
              <w:t>(4)</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580" w:type="dxa"/>
            <w:vAlign w:val="bottom"/>
            <w:tcBorders>
              <w:top w:val="single" w:sz="8" w:color="auto"/>
              <w:bottom w:val="single" w:sz="8" w:color="auto"/>
            </w:tcBorders>
            <w:shd w:val="clear" w:color="auto" w:fill="CCEEFF"/>
          </w:tcPr>
          <w:p>
            <w:pPr>
              <w:spacing w:after="0"/>
              <w:rPr>
                <w:sz w:val="22"/>
                <w:szCs w:val="22"/>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340" w:type="dxa"/>
            <w:vAlign w:val="bottom"/>
            <w:tcBorders>
              <w:top w:val="single" w:sz="8" w:color="CCEEFF"/>
              <w:bottom w:val="single" w:sz="8" w:color="CCEEFF"/>
            </w:tcBorders>
            <w:shd w:val="clear" w:color="auto" w:fill="CCEEFF"/>
          </w:tcPr>
          <w:p>
            <w:pPr>
              <w:jc w:val="right"/>
              <w:spacing w:after="0" w:line="264" w:lineRule="exact"/>
              <w:rPr>
                <w:sz w:val="20"/>
                <w:szCs w:val="20"/>
                <w:color w:val="auto"/>
              </w:rPr>
            </w:pPr>
            <w:r>
              <w:rPr>
                <w:rFonts w:ascii="Times New Roman" w:cs="Times New Roman" w:eastAsia="Times New Roman" w:hAnsi="Times New Roman"/>
                <w:sz w:val="30"/>
                <w:szCs w:val="30"/>
                <w:color w:val="auto"/>
                <w:w w:val="90"/>
                <w:vertAlign w:val="subscript"/>
              </w:rPr>
              <w:t>%</w:t>
            </w:r>
            <w:r>
              <w:rPr>
                <w:rFonts w:ascii="Times New Roman" w:cs="Times New Roman" w:eastAsia="Times New Roman" w:hAnsi="Times New Roman"/>
                <w:sz w:val="14"/>
                <w:szCs w:val="14"/>
                <w:color w:val="auto"/>
                <w:w w:val="90"/>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vMerge w:val="restart"/>
          </w:tcPr>
          <w:p>
            <w:pPr>
              <w:spacing w:after="0" w:line="250" w:lineRule="exact"/>
              <w:rPr>
                <w:sz w:val="20"/>
                <w:szCs w:val="20"/>
                <w:color w:val="auto"/>
              </w:rPr>
            </w:pPr>
            <w:r>
              <w:rPr>
                <w:rFonts w:ascii="Times New Roman" w:cs="Times New Roman" w:eastAsia="Times New Roman" w:hAnsi="Times New Roman"/>
                <w:sz w:val="17"/>
                <w:szCs w:val="17"/>
                <w:color w:val="auto"/>
              </w:rPr>
              <w:t>Net investment income with incentive fees</w:t>
            </w:r>
            <w:r>
              <w:rPr>
                <w:rFonts w:ascii="Times New Roman" w:cs="Times New Roman" w:eastAsia="Times New Roman" w:hAnsi="Times New Roman"/>
                <w:sz w:val="28"/>
                <w:szCs w:val="28"/>
                <w:color w:val="auto"/>
                <w:vertAlign w:val="superscript"/>
              </w:rPr>
              <w:t>(5)</w:t>
            </w:r>
          </w:p>
        </w:tc>
        <w:tc>
          <w:tcPr>
            <w:tcW w:w="8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vMerge w:val="continue"/>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80" w:type="dxa"/>
            <w:vAlign w:val="bottom"/>
            <w:gridSpan w:val="2"/>
          </w:tcPr>
          <w:p>
            <w:pPr>
              <w:jc w:val="right"/>
              <w:ind w:right="12"/>
              <w:spacing w:after="0" w:line="210" w:lineRule="exact"/>
              <w:rPr>
                <w:sz w:val="20"/>
                <w:szCs w:val="20"/>
                <w:color w:val="auto"/>
              </w:rPr>
            </w:pPr>
            <w:r>
              <w:rPr>
                <w:rFonts w:ascii="Times New Roman" w:cs="Times New Roman" w:eastAsia="Times New Roman" w:hAnsi="Times New Roman"/>
                <w:sz w:val="15"/>
                <w:szCs w:val="15"/>
                <w:color w:val="auto"/>
              </w:rPr>
              <w:t>10.5%</w:t>
            </w:r>
            <w:r>
              <w:rPr>
                <w:rFonts w:ascii="Times New Roman" w:cs="Times New Roman" w:eastAsia="Times New Roman" w:hAnsi="Times New Roman"/>
                <w:sz w:val="24"/>
                <w:szCs w:val="24"/>
                <w:color w:val="auto"/>
                <w:vertAlign w:val="superscript"/>
              </w:rPr>
              <w:t>(4)</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20" w:type="dxa"/>
            <w:vAlign w:val="bottom"/>
            <w:gridSpan w:val="2"/>
          </w:tcPr>
          <w:p>
            <w:pPr>
              <w:jc w:val="right"/>
              <w:spacing w:after="0" w:line="210" w:lineRule="exact"/>
              <w:rPr>
                <w:sz w:val="20"/>
                <w:szCs w:val="20"/>
                <w:color w:val="auto"/>
              </w:rPr>
            </w:pPr>
            <w:r>
              <w:rPr>
                <w:rFonts w:ascii="Times New Roman" w:cs="Times New Roman" w:eastAsia="Times New Roman" w:hAnsi="Times New Roman"/>
                <w:sz w:val="15"/>
                <w:szCs w:val="15"/>
                <w:color w:val="auto"/>
              </w:rPr>
              <w:t>9.2%</w:t>
            </w:r>
            <w:r>
              <w:rPr>
                <w:rFonts w:ascii="Times New Roman" w:cs="Times New Roman" w:eastAsia="Times New Roman" w:hAnsi="Times New Roman"/>
                <w:sz w:val="24"/>
                <w:szCs w:val="24"/>
                <w:color w:val="auto"/>
                <w:vertAlign w:val="superscript"/>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assets at the end of the period</w:t>
            </w:r>
          </w:p>
        </w:tc>
        <w:tc>
          <w:tcPr>
            <w:tcW w:w="8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168,144</w:t>
            </w:r>
          </w:p>
        </w:tc>
        <w:tc>
          <w:tcPr>
            <w:tcW w:w="4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134,456</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Average net asset value</w:t>
            </w:r>
          </w:p>
        </w:tc>
        <w:tc>
          <w:tcPr>
            <w:tcW w:w="14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153,997</w:t>
            </w:r>
          </w:p>
        </w:tc>
        <w:tc>
          <w:tcPr>
            <w:tcW w:w="400" w:type="dxa"/>
            <w:vAlign w:val="bottom"/>
          </w:tcPr>
          <w:p>
            <w:pPr>
              <w:spacing w:after="0"/>
              <w:rPr>
                <w:sz w:val="18"/>
                <w:szCs w:val="18"/>
                <w:color w:val="auto"/>
              </w:rPr>
            </w:pPr>
          </w:p>
        </w:tc>
        <w:tc>
          <w:tcPr>
            <w:tcW w:w="6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134,391</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debt per share</w:t>
            </w:r>
          </w:p>
        </w:tc>
        <w:tc>
          <w:tcPr>
            <w:tcW w:w="14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w:t>
            </w:r>
          </w:p>
        </w:tc>
        <w:tc>
          <w:tcPr>
            <w:tcW w:w="4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Portfolio turnover ratio</w:t>
            </w:r>
          </w:p>
        </w:tc>
        <w:tc>
          <w:tcPr>
            <w:tcW w:w="8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80" w:type="dxa"/>
            <w:vAlign w:val="bottom"/>
            <w:gridSpan w:val="2"/>
          </w:tcPr>
          <w:p>
            <w:pPr>
              <w:jc w:val="right"/>
              <w:ind w:right="192"/>
              <w:spacing w:after="0"/>
              <w:rPr>
                <w:sz w:val="20"/>
                <w:szCs w:val="20"/>
                <w:color w:val="auto"/>
              </w:rPr>
            </w:pPr>
            <w:r>
              <w:rPr>
                <w:rFonts w:ascii="Times New Roman" w:cs="Times New Roman" w:eastAsia="Times New Roman" w:hAnsi="Times New Roman"/>
                <w:sz w:val="18"/>
                <w:szCs w:val="18"/>
                <w:color w:val="auto"/>
              </w:rPr>
              <w:t>50.0%</w:t>
            </w: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2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color w:val="auto"/>
              </w:rPr>
              <w:t>31.1%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125730</wp:posOffset>
            </wp:positionV>
            <wp:extent cx="171513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715135" cy="8890"/>
                    </a:xfrm>
                    <a:prstGeom prst="rect">
                      <a:avLst/>
                    </a:prstGeom>
                    <a:noFill/>
                  </pic:spPr>
                </pic:pic>
              </a:graphicData>
            </a:graphic>
          </wp:anchor>
        </w:drawing>
      </w:r>
    </w:p>
    <w:p>
      <w:pPr>
        <w:spacing w:after="0" w:line="186" w:lineRule="exact"/>
        <w:rPr>
          <w:sz w:val="20"/>
          <w:szCs w:val="20"/>
          <w:color w:val="auto"/>
        </w:rPr>
      </w:pPr>
    </w:p>
    <w:p>
      <w:pPr>
        <w:jc w:val="both"/>
        <w:ind w:left="1480" w:right="1140" w:hanging="339"/>
        <w:spacing w:after="0" w:line="261" w:lineRule="auto"/>
        <w:tabs>
          <w:tab w:leader="none" w:pos="1460" w:val="left"/>
        </w:tabs>
        <w:rPr>
          <w:sz w:val="20"/>
          <w:szCs w:val="20"/>
          <w:color w:val="auto"/>
        </w:rPr>
      </w:pPr>
      <w:r>
        <w:rPr>
          <w:rFonts w:ascii="Times New Roman" w:cs="Times New Roman" w:eastAsia="Times New Roman" w:hAnsi="Times New Roman"/>
          <w:sz w:val="18"/>
          <w:szCs w:val="18"/>
          <w:color w:val="auto"/>
        </w:rPr>
        <w:t>(1)</w:t>
        <w:tab/>
        <w:t>Distributions are determined based on taxable income calculated in accordance with income tax regulations, which may differ from amounts determined under GAAP due to (i) changes in unrealized appreciation and depreciation,</w:t>
      </w:r>
    </w:p>
    <w:p>
      <w:pPr>
        <w:jc w:val="both"/>
        <w:ind w:left="1480" w:right="1140" w:hanging="7"/>
        <w:spacing w:after="0" w:line="250" w:lineRule="auto"/>
        <w:tabs>
          <w:tab w:leader="none" w:pos="1765"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temporary and permanent differences in income and expense recognition, and (iii) the amount of spillover income carried over from a given tax year for distribution in the following tax year. The final determination of taxable income for each tax year, as well as the tax attributes for distributions in such tax year, will be made after the close of the tax year.</w:t>
      </w:r>
    </w:p>
    <w:p>
      <w:pPr>
        <w:spacing w:after="0" w:line="1" w:lineRule="exact"/>
        <w:rPr>
          <w:rFonts w:ascii="Times New Roman" w:cs="Times New Roman" w:eastAsia="Times New Roman" w:hAnsi="Times New Roman"/>
          <w:sz w:val="18"/>
          <w:szCs w:val="18"/>
          <w:color w:val="auto"/>
        </w:rPr>
      </w:pPr>
    </w:p>
    <w:p>
      <w:pPr>
        <w:jc w:val="both"/>
        <w:ind w:left="1480" w:right="1140" w:hanging="331"/>
        <w:spacing w:after="0" w:line="250" w:lineRule="auto"/>
        <w:tabs>
          <w:tab w:leader="none" w:pos="14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impact of the different share amounts as a result of calculating per share data based on the weighted average basic shares outstanding during the period and certain per share data based on the shares outstanding as of a period end or transaction date.</w:t>
      </w:r>
    </w:p>
    <w:p>
      <w:pPr>
        <w:spacing w:after="0" w:line="1" w:lineRule="exact"/>
        <w:rPr>
          <w:rFonts w:ascii="Times New Roman" w:cs="Times New Roman" w:eastAsia="Times New Roman" w:hAnsi="Times New Roman"/>
          <w:sz w:val="18"/>
          <w:szCs w:val="18"/>
          <w:color w:val="auto"/>
        </w:rPr>
      </w:pPr>
    </w:p>
    <w:p>
      <w:pPr>
        <w:ind w:left="1480" w:right="1140" w:hanging="331"/>
        <w:spacing w:after="0" w:line="250" w:lineRule="auto"/>
        <w:tabs>
          <w:tab w:leader="none" w:pos="14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return equals the change in the ending market value over the beginning of period price per share plus distributions paid per share during the period, divided by the beginning price.</w:t>
      </w:r>
    </w:p>
    <w:p>
      <w:pPr>
        <w:ind w:left="1480" w:hanging="331"/>
        <w:spacing w:after="0"/>
        <w:tabs>
          <w:tab w:leader="none" w:pos="14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Annualized.</w:t>
      </w:r>
    </w:p>
    <w:p>
      <w:pPr>
        <w:spacing w:after="0" w:line="9" w:lineRule="exact"/>
        <w:rPr>
          <w:rFonts w:ascii="Times New Roman" w:cs="Times New Roman" w:eastAsia="Times New Roman" w:hAnsi="Times New Roman"/>
          <w:sz w:val="18"/>
          <w:szCs w:val="18"/>
          <w:color w:val="auto"/>
        </w:rPr>
      </w:pPr>
    </w:p>
    <w:p>
      <w:pPr>
        <w:ind w:left="1480" w:right="1160" w:hanging="331"/>
        <w:spacing w:after="0" w:line="261" w:lineRule="auto"/>
        <w:tabs>
          <w:tab w:leader="none" w:pos="14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nine months ended September 30, 2019 and 2018, the Advisor waived $1.8 million and $0.6 million, respectively, of performance based incentive fee.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0" w:gutter="0" w:footer="0" w:header="0"/>
          <w:type w:val="continuous"/>
        </w:sectPr>
      </w:pPr>
    </w:p>
    <w:bookmarkStart w:id="46" w:name="page47"/>
    <w:bookmarkEnd w:id="4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Horizon Technology Finance Corporation and Subsidiaries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Subsequent Event</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Equity Distribution Agreement</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Subsequent to September 30, 2019, and as of October 29, 2019, the Company sold approximately 0.1 million shares of common stock for total accumulated net proceeds of approximately $1.8 million, net of offering expenses, under the Equity Distribution Agreement. As of October 29, 2019, shares representing approximately $37.8 million of its common stock remain available for issuance and sale under the Equity Distribution Agreement.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October 11, 2019 the Company received proceeds of $1.7 million in connection with the termination of its warrants in Verity Solutions,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(“Verity”) upon Verity’s sale to Express Scripts.</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p>
    <w:p>
      <w:pPr>
        <w:spacing w:after="0" w:line="227"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In this quarterly report on Form 10-Q, except where the context suggests otherwise, the terms “we,” “us,” “our” and “Horizon Technology Finance” refer to Horizon Technology Finance Corporation and its consolidated subsidiaries. The information contained in this section should be read in conjunction with our consolidated financial statements and related notes thereto appearing elsewhere in this quarterly report on Form 10-Q.</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This quarterly report on Form 10-Q, including the Management’s Discussion and Analysis of Financial Condition and Results of Operations, contains statements that constitute forward-looking statements, which relate to future events or our future performance or financial condition. These forward-looking statements are not historical facts, but rather are based on current expectations, estimates and projections about our industry, our beliefs and our assumptions. The forward-looking statements contained in this quarterly report on Form 10-Q involve risks and uncertainties, including statements as to:</w:t>
      </w:r>
    </w:p>
    <w:p>
      <w:pPr>
        <w:spacing w:after="0" w:line="180"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operating results, including the performance of our existing debt investments, warrants and other investments;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withdrawal, success and timing of business initiatives and strategies;</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political, economic or industry conditions, the interest rate environment or financial and capital markets, which could result in changes in the value of our assets;</w:t>
      </w:r>
    </w:p>
    <w:p>
      <w:pPr>
        <w:ind w:left="660" w:hanging="328"/>
        <w:spacing w:after="0" w:line="250"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and absolute investment performance and operations of our investment advisor, Horizon Technology Finance Management LLC, or the Advisor;</w:t>
      </w: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increased competition;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investments we intend to make and future acquisitions and divestitures;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unfavorable resolution of legal proceedings;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prospects and the prospects of our portfolio companies;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extent and timing of technological changes and the adequacy of intellectual property protection;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regulatory structure and tax status;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qualify and maintain qualification as a regulated investment company, or RIC, and as a business development company, or BDC;</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of our cash resources and working capital;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cash flows, if any, from the operations of our portfolio companies;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interest rate volatility on our results, particularly if we use leverage as part of our investment strategy;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portfolio companies to achieve their objective;</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legislative and regulatory actions and reforms and regulatory supervisory or enforcement actions of government agencies relating to us or our Advisor;</w:t>
      </w: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Small Business Credit Availability Act, or SBCAA, on our operations and the BDC industry;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contractual arrangements and relationships with third parties;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capital and any future financings by us;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Advisor to attract and retain highly talented professionals;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changes to tax legislation and, generally, our tax position;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fund unfunded commitments, including revolver commitments.</w:t>
      </w:r>
    </w:p>
    <w:p>
      <w:pPr>
        <w:spacing w:after="0" w:line="20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use words such as “anticipates,” “believes,” “expects,” “intends,” “seeks” and similar expressions to identify forward-looking statements. Undue influence should not be placed on the forward looking statements as our actual results could differ materially from those projected in the forward-looking statements for any reason, including the factors in “Risk Factors” and elsewhere in our annual report on Form 10-K for the year ended December 31, 2018, and elsewhere in this quarterly report on Form 10-Q.</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based the forward-looking statements included in this report on information available to us on the date of this report, and we assume no obligation to update any such forward-looking statements. Although we undertake no obligation to revise or update any forward-looking statements in this quarterly report on Form 10-Q, whether as a result of new information, future events or otherwise, you are advised to consult any additional disclosures that we may make directly to you or through reports that we in the future may file with the U.S. Securities and Exchange Commission, or the SEC, including periodic reports on Form 10-Q and Form 10-K and current reports on Form 8-K.</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are a specialty finance company that lends to and invests in development-stage companies in the technology, life science, healthcare information and services and sustainability industries, which we refer to as our “Target Industries.” Our investment objective is to maximize our investment portfolio’s total return by generating current income from the debt investments we make and capital appreciation from the warrants we receive when making such debt investments. We are focused on making secured debt investments, which we refer to collectively as “Venture Loans,” to venture capital backed companies in our Target Industries, which we refer to as “Venture Lending.” We also selectively provide Venture Loans to publicly traded companies in our Target Industries. Our debt investments are typically secured by first liens or first liens behind a secured revolving line of credit, or Senior Term Loans. As of September 30, 2019, 100%, or $253.2 million, of our debt investment portfolio at fair value consisted of Senior Term Loans. Venture Lending is typically characterized by (1) the making of a secured debt investment after a venture capital or equity investment in the portfolio company has been made, which investment provides a source of cash to fund the portfolio company’s debt service obligations under the Venture Loan, (2) the senior priority of the Venture Loan which requires repayment of the Venture Loan prior to the equity investors realizing a return on their capital, (3) the relatively rapid amortization of the Venture Loan and (4) the lender’s receipt of warrants or other success fees with the making of the Venture Loan.</w:t>
      </w:r>
    </w:p>
    <w:p>
      <w:pPr>
        <w:spacing w:after="0" w:line="19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are an externally managed, closed-end, non-diversified management investment company that has elected to be regulated as a BDC under the Investment Company Act of 1940, as amended, or the 1940 Act. In addition, for U.S. federal income tax purposes, we have elected to be treated as a RIC under Subchapter M of the Internal Revenue Code of 1986, as amended, or the Code. As a BDC, we are required to comply with regulatory requirements, including limitations on our use of debt. We are permitted to, and expect to, finance our investments through borrowings. On March 23, 2018, the SBCAA amended Section 61(a) of the 1940 Act to add Section 61(a)(2) which enables BDCs to reduce their asset coverage requirements from 200% to 150%. This provision permits a BDC to double the maximum amount of leverage that it is permitted to incur. As defined in the 1940 Act, asset coverage of 150% means that for every $100 of net assets a BDC holds, it may raise up to $200 from borrowing and issuing senior securities. We received approval from our stockholders to reduce our asset coverage requirement from 200% to 150% on October 30, 2018. The amount of leverage that we may employ will depend on our assessment of market conditions and other factors at the time of any proposed borrowing. As a RIC, we generally are not subject to corporate-level income taxes on our investment company taxable income, determined without regard to any deductions for dividends paid, and our net capital gain that we distribute as dividends for U.S. federal income tax purposes to our stockholders as long as we meet certain source-of-income, distribution, asset diversification and other requirements.</w:t>
      </w:r>
    </w:p>
    <w:p>
      <w:pPr>
        <w:spacing w:after="0" w:line="19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Compass Horizon Funding Company LLC, or Compass Horizon, our predecessor company, commenced operations in March 2008. We were formed in March 2010 for the purpose of acquiring Compass Horizon and continuing its business as a public entity.</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Horizon Funding I, LLC, or HFI, was formed as a Delaware limited liability company on May 9, 2018, with HSLFI as its sole equity member. HFI is a special purpose bankruptcy-remote entity and is a separate legal entity from HSLFI. Any assets conveyed to HFI are not available to creditors of HSLFI or any other entity other than HFI’s lenders.</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investment activities, and our day-to-day operations, are managed by our Advisor and supervised by our board of directors, or the Board, of which a majority of the members are independent of us. Under an investment management agreement, or the Investment Management Agreement, we have agreed to pay our Advisor a base management fee and an incentive fee for its advisory services to us. We have also entered into an administration agreement, or the Administration Agreement, with our Advisor under which we have agreed to reimburse our Advisor for our allocable portion of overhead and other expenses incurred by our Advisor in performing its obligations under the Administration Agreement.</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38"/>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Portfolio composition and investment activity</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32"/>
        </w:trPr>
        <w:tc>
          <w:tcPr>
            <w:tcW w:w="8800" w:type="dxa"/>
            <w:vAlign w:val="bottom"/>
            <w:gridSpan w:val="11"/>
          </w:tcPr>
          <w:p>
            <w:pPr>
              <w:ind w:left="340"/>
              <w:spacing w:after="0"/>
              <w:rPr>
                <w:sz w:val="20"/>
                <w:szCs w:val="20"/>
                <w:color w:val="auto"/>
              </w:rPr>
            </w:pPr>
            <w:r>
              <w:rPr>
                <w:rFonts w:ascii="Times New Roman" w:cs="Times New Roman" w:eastAsia="Times New Roman" w:hAnsi="Times New Roman"/>
                <w:sz w:val="18"/>
                <w:szCs w:val="18"/>
                <w:color w:val="auto"/>
              </w:rPr>
              <w:t>The following table shows our portfolio by type of investment as of September 30, 2019 and December 31, 2018:</w:t>
            </w: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46"/>
        </w:trPr>
        <w:tc>
          <w:tcPr>
            <w:tcW w:w="2640" w:type="dxa"/>
            <w:vAlign w:val="bottom"/>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4"/>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September 30, 2019</w:t>
            </w:r>
          </w:p>
        </w:tc>
        <w:tc>
          <w:tcPr>
            <w:tcW w:w="124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December 31, 2018</w:t>
            </w:r>
          </w:p>
        </w:tc>
        <w:tc>
          <w:tcPr>
            <w:tcW w:w="12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87"/>
        </w:trPr>
        <w:tc>
          <w:tcPr>
            <w:tcW w:w="26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Percentage of</w:t>
            </w: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Percentage of</w:t>
            </w:r>
          </w:p>
        </w:tc>
        <w:tc>
          <w:tcPr>
            <w:tcW w:w="160" w:type="dxa"/>
            <w:vAlign w:val="bottom"/>
            <w:gridSpan w:val="2"/>
          </w:tcPr>
          <w:p>
            <w:pPr>
              <w:spacing w:after="0"/>
              <w:rPr>
                <w:sz w:val="16"/>
                <w:szCs w:val="16"/>
                <w:color w:val="auto"/>
              </w:rPr>
            </w:pPr>
          </w:p>
        </w:tc>
      </w:tr>
      <w:tr>
        <w:trPr>
          <w:trHeight w:val="216"/>
        </w:trPr>
        <w:tc>
          <w:tcPr>
            <w:tcW w:w="264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Fair</w:t>
            </w:r>
          </w:p>
        </w:tc>
        <w:tc>
          <w:tcPr>
            <w:tcW w:w="1520" w:type="dxa"/>
            <w:vAlign w:val="bottom"/>
            <w:gridSpan w:val="2"/>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6"/>
              </w:rPr>
              <w:t>Fair</w:t>
            </w:r>
          </w:p>
        </w:tc>
        <w:tc>
          <w:tcPr>
            <w:tcW w:w="140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38"/>
        </w:trPr>
        <w:tc>
          <w:tcPr>
            <w:tcW w:w="2640" w:type="dxa"/>
            <w:vAlign w:val="bottom"/>
          </w:tcPr>
          <w:p>
            <w:pPr>
              <w:spacing w:after="0"/>
              <w:rPr>
                <w:sz w:val="20"/>
                <w:szCs w:val="20"/>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Investments</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1520" w:type="dxa"/>
            <w:vAlign w:val="bottom"/>
            <w:gridSpan w:val="2"/>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Portfolio</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Investments</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40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Portfolio</w:t>
            </w:r>
          </w:p>
        </w:tc>
      </w:tr>
      <w:tr>
        <w:trPr>
          <w:trHeight w:val="210"/>
        </w:trPr>
        <w:tc>
          <w:tcPr>
            <w:tcW w:w="2640" w:type="dxa"/>
            <w:vAlign w:val="bottom"/>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760" w:type="dxa"/>
            <w:vAlign w:val="bottom"/>
            <w:tcBorders>
              <w:top w:val="single" w:sz="8" w:color="auto"/>
            </w:tcBorders>
            <w:gridSpan w:val="3"/>
          </w:tcPr>
          <w:p>
            <w:pPr>
              <w:ind w:left="54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investments</w:t>
            </w:r>
          </w:p>
        </w:tc>
        <w:tc>
          <w:tcPr>
            <w:tcW w:w="128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32</w:t>
            </w:r>
          </w:p>
        </w:tc>
        <w:tc>
          <w:tcPr>
            <w:tcW w:w="4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253,185</w:t>
            </w:r>
          </w:p>
        </w:tc>
        <w:tc>
          <w:tcPr>
            <w:tcW w:w="2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89.9%</w:t>
            </w:r>
          </w:p>
        </w:tc>
        <w:tc>
          <w:tcPr>
            <w:tcW w:w="124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34</w:t>
            </w:r>
          </w:p>
        </w:tc>
        <w:tc>
          <w:tcPr>
            <w:tcW w:w="46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216,401</w:t>
            </w:r>
          </w:p>
        </w:tc>
        <w:tc>
          <w:tcPr>
            <w:tcW w:w="14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87.1%</w:t>
            </w:r>
          </w:p>
        </w:tc>
      </w:tr>
      <w:tr>
        <w:trPr>
          <w:trHeight w:val="216"/>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Warrants</w:t>
            </w:r>
          </w:p>
        </w:tc>
        <w:tc>
          <w:tcPr>
            <w:tcW w:w="12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67</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9,830</w:t>
            </w:r>
          </w:p>
        </w:tc>
        <w:tc>
          <w:tcPr>
            <w:tcW w:w="220" w:type="dxa"/>
            <w:vAlign w:val="bottom"/>
          </w:tcPr>
          <w:p>
            <w:pPr>
              <w:spacing w:after="0"/>
              <w:rPr>
                <w:sz w:val="18"/>
                <w:szCs w:val="18"/>
                <w:color w:val="auto"/>
              </w:rPr>
            </w:pPr>
          </w:p>
        </w:tc>
        <w:tc>
          <w:tcPr>
            <w:tcW w:w="152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3.5</w:t>
            </w:r>
          </w:p>
        </w:tc>
        <w:tc>
          <w:tcPr>
            <w:tcW w:w="12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67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9,324</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40" w:type="dxa"/>
            <w:vAlign w:val="bottom"/>
          </w:tcPr>
          <w:p>
            <w:pPr>
              <w:spacing w:after="0"/>
              <w:rPr>
                <w:sz w:val="18"/>
                <w:szCs w:val="18"/>
                <w:color w:val="auto"/>
              </w:rPr>
            </w:pPr>
          </w:p>
        </w:tc>
      </w:tr>
      <w:tr>
        <w:trPr>
          <w:trHeight w:val="216"/>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investments</w:t>
            </w:r>
          </w:p>
        </w:tc>
        <w:tc>
          <w:tcPr>
            <w:tcW w:w="128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88"/>
              </w:rPr>
              <w:t>2</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888</w:t>
            </w:r>
          </w:p>
        </w:tc>
        <w:tc>
          <w:tcPr>
            <w:tcW w:w="152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0.3</w:t>
            </w:r>
          </w:p>
        </w:tc>
        <w:tc>
          <w:tcPr>
            <w:tcW w:w="124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7,640</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shd w:val="clear" w:color="auto" w:fill="CCEEFF"/>
          </w:tcPr>
          <w:p>
            <w:pPr>
              <w:spacing w:after="0"/>
              <w:rPr>
                <w:sz w:val="18"/>
                <w:szCs w:val="18"/>
                <w:color w:val="auto"/>
              </w:rPr>
            </w:pPr>
          </w:p>
        </w:tc>
      </w:tr>
      <w:tr>
        <w:trPr>
          <w:trHeight w:val="216"/>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Equity</w:t>
            </w:r>
          </w:p>
        </w:tc>
        <w:tc>
          <w:tcPr>
            <w:tcW w:w="12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88"/>
              </w:rPr>
              <w:t>8</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3,293</w:t>
            </w:r>
          </w:p>
        </w:tc>
        <w:tc>
          <w:tcPr>
            <w:tcW w:w="220" w:type="dxa"/>
            <w:vAlign w:val="bottom"/>
          </w:tcPr>
          <w:p>
            <w:pPr>
              <w:spacing w:after="0"/>
              <w:rPr>
                <w:sz w:val="18"/>
                <w:szCs w:val="18"/>
                <w:color w:val="auto"/>
              </w:rPr>
            </w:pPr>
          </w:p>
        </w:tc>
        <w:tc>
          <w:tcPr>
            <w:tcW w:w="152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1.2</w:t>
            </w:r>
          </w:p>
        </w:tc>
        <w:tc>
          <w:tcPr>
            <w:tcW w:w="12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1,833</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40" w:type="dxa"/>
            <w:vAlign w:val="bottom"/>
          </w:tcPr>
          <w:p>
            <w:pPr>
              <w:spacing w:after="0"/>
              <w:rPr>
                <w:sz w:val="18"/>
                <w:szCs w:val="18"/>
                <w:color w:val="auto"/>
              </w:rPr>
            </w:pPr>
          </w:p>
        </w:tc>
      </w:tr>
      <w:tr>
        <w:trPr>
          <w:trHeight w:val="230"/>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interest in HSLFI</w:t>
            </w:r>
          </w:p>
        </w:tc>
        <w:tc>
          <w:tcPr>
            <w:tcW w:w="128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88"/>
              </w:rPr>
              <w:t>1</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14,323</w:t>
            </w:r>
          </w:p>
        </w:tc>
        <w:tc>
          <w:tcPr>
            <w:tcW w:w="152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5.1</w:t>
            </w:r>
          </w:p>
        </w:tc>
        <w:tc>
          <w:tcPr>
            <w:tcW w:w="124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13,243</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40" w:type="dxa"/>
            <w:vAlign w:val="bottom"/>
            <w:shd w:val="clear" w:color="auto" w:fill="CCEEFF"/>
          </w:tcPr>
          <w:p>
            <w:pPr>
              <w:spacing w:after="0"/>
              <w:rPr>
                <w:sz w:val="19"/>
                <w:szCs w:val="19"/>
                <w:color w:val="auto"/>
              </w:rPr>
            </w:pPr>
          </w:p>
        </w:tc>
      </w:tr>
      <w:tr>
        <w:trPr>
          <w:trHeight w:val="223"/>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281,519</w:t>
            </w:r>
          </w:p>
        </w:tc>
        <w:tc>
          <w:tcPr>
            <w:tcW w:w="220" w:type="dxa"/>
            <w:vAlign w:val="bottom"/>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top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249,441</w:t>
            </w:r>
          </w:p>
        </w:tc>
        <w:tc>
          <w:tcPr>
            <w:tcW w:w="220" w:type="dxa"/>
            <w:vAlign w:val="bottom"/>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26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shows total portfolio investment activity as of and for the three and nine months ended September 30, 2019 and 2018:</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40" w:type="dxa"/>
            <w:vAlign w:val="bottom"/>
            <w:gridSpan w:val="6"/>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20" w:type="dxa"/>
            <w:vAlign w:val="bottom"/>
            <w:gridSpan w:val="7"/>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r>
      <w:tr>
        <w:trPr>
          <w:trHeight w:val="238"/>
        </w:trPr>
        <w:tc>
          <w:tcPr>
            <w:tcW w:w="56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56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w w:val="99"/>
              </w:rPr>
              <w:t>2018</w:t>
            </w: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4"/>
              </w:rPr>
              <w:t>2018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0"/>
        </w:trPr>
        <w:tc>
          <w:tcPr>
            <w:tcW w:w="5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300" w:type="dxa"/>
            <w:vAlign w:val="bottom"/>
            <w:gridSpan w:val="5"/>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portfolio</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274,759</w:t>
            </w: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226,467</w:t>
            </w:r>
          </w:p>
        </w:tc>
        <w:tc>
          <w:tcPr>
            <w:tcW w:w="26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248,441</w:t>
            </w:r>
          </w:p>
        </w:tc>
        <w:tc>
          <w:tcPr>
            <w:tcW w:w="460" w:type="dxa"/>
            <w:vAlign w:val="bottom"/>
            <w:gridSpan w:val="2"/>
            <w:shd w:val="clear" w:color="auto" w:fill="CCEEFF"/>
          </w:tcPr>
          <w:p>
            <w:pPr>
              <w:jc w:val="right"/>
              <w:ind w:right="275"/>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222,099</w:t>
            </w:r>
          </w:p>
        </w:tc>
        <w:tc>
          <w:tcPr>
            <w:tcW w:w="80" w:type="dxa"/>
            <w:vAlign w:val="bottom"/>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New debt investments</w:t>
            </w:r>
          </w:p>
        </w:tc>
        <w:tc>
          <w:tcPr>
            <w:tcW w:w="18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42,147</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24,200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135,284</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64,725</w:t>
            </w:r>
          </w:p>
        </w:tc>
        <w:tc>
          <w:tcPr>
            <w:tcW w:w="80" w:type="dxa"/>
            <w:vAlign w:val="bottom"/>
          </w:tcPr>
          <w:p>
            <w:pPr>
              <w:spacing w:after="0"/>
              <w:rPr>
                <w:sz w:val="18"/>
                <w:szCs w:val="18"/>
                <w:color w:val="auto"/>
              </w:rPr>
            </w:pPr>
          </w:p>
        </w:tc>
      </w:tr>
      <w:tr>
        <w:trPr>
          <w:trHeight w:val="230"/>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refinanced debt investments</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(7,500)</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(17,500)</w:t>
            </w: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(2,479)</w:t>
            </w:r>
          </w:p>
        </w:tc>
      </w:tr>
      <w:tr>
        <w:trPr>
          <w:trHeight w:val="210"/>
        </w:trPr>
        <w:tc>
          <w:tcPr>
            <w:tcW w:w="5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new debt investments</w:t>
            </w:r>
          </w:p>
        </w:tc>
        <w:tc>
          <w:tcPr>
            <w:tcW w:w="1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34,647</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24,200</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117,784</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62,246</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0"/>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 controlled affiliate investments</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Principal payments received on investments</w:t>
            </w:r>
          </w:p>
        </w:tc>
        <w:tc>
          <w:tcPr>
            <w:tcW w:w="18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(3,413)</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(5,591)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(13,069)</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(19,568)</w:t>
            </w: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Early pay-offs</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(25,000)</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(6,610)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(70,548)</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(26,935)</w:t>
            </w: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Accretion of debt investment fees</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524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2,879</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1,605</w:t>
            </w:r>
          </w:p>
        </w:tc>
        <w:tc>
          <w:tcPr>
            <w:tcW w:w="80" w:type="dxa"/>
            <w:vAlign w:val="bottom"/>
          </w:tcPr>
          <w:p>
            <w:pPr>
              <w:spacing w:after="0"/>
              <w:rPr>
                <w:sz w:val="18"/>
                <w:szCs w:val="18"/>
                <w:color w:val="auto"/>
              </w:rPr>
            </w:pP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debt investment fees</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(658)</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(375)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(1,764)</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(1,884)</w:t>
            </w: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New equity</w:t>
            </w:r>
          </w:p>
        </w:tc>
        <w:tc>
          <w:tcPr>
            <w:tcW w:w="18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240</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240</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1,090</w:t>
            </w:r>
          </w:p>
        </w:tc>
        <w:tc>
          <w:tcPr>
            <w:tcW w:w="80" w:type="dxa"/>
            <w:vAlign w:val="bottom"/>
          </w:tcPr>
          <w:p>
            <w:pPr>
              <w:spacing w:after="0"/>
              <w:rPr>
                <w:sz w:val="18"/>
                <w:szCs w:val="18"/>
                <w:color w:val="auto"/>
              </w:rPr>
            </w:pP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sale of investments</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(506)</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(2,411)</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(3,360)</w:t>
            </w: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Warrants received in settlement of fee income</w:t>
            </w:r>
          </w:p>
        </w:tc>
        <w:tc>
          <w:tcPr>
            <w:tcW w:w="18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161</w:t>
            </w:r>
          </w:p>
        </w:tc>
        <w:tc>
          <w:tcPr>
            <w:tcW w:w="80" w:type="dxa"/>
            <w:vAlign w:val="bottom"/>
          </w:tcPr>
          <w:p>
            <w:pPr>
              <w:spacing w:after="0"/>
              <w:rPr>
                <w:sz w:val="18"/>
                <w:szCs w:val="18"/>
                <w:color w:val="auto"/>
              </w:rPr>
            </w:pP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income from controlled affiliate investment</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461</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1,223</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Distributions from controlled affiliate investment</w:t>
            </w:r>
          </w:p>
        </w:tc>
        <w:tc>
          <w:tcPr>
            <w:tcW w:w="18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(185)</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(715)</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realized (loss) gain on investments</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(444)</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(3,891)</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(237)</w:t>
            </w: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Net unrealized (depreciation) appreciation on investments</w:t>
            </w:r>
          </w:p>
        </w:tc>
        <w:tc>
          <w:tcPr>
            <w:tcW w:w="18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(143)</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791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2,622</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127</w:t>
            </w:r>
          </w:p>
        </w:tc>
        <w:tc>
          <w:tcPr>
            <w:tcW w:w="80" w:type="dxa"/>
            <w:vAlign w:val="bottom"/>
          </w:tcPr>
          <w:p>
            <w:pPr>
              <w:spacing w:after="0"/>
              <w:rPr>
                <w:sz w:val="18"/>
                <w:szCs w:val="18"/>
                <w:color w:val="auto"/>
              </w:rPr>
            </w:pPr>
          </w:p>
        </w:tc>
      </w:tr>
      <w:tr>
        <w:trPr>
          <w:trHeight w:val="230"/>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139</w:t>
            </w: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Ending portfolio</w:t>
            </w: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281,519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239,757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281,519</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ind w:right="27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239,757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receive payments on our debt investments based on scheduled amortization of the outstanding balances. In addition, we receive repayments of some of our debt investments prior to their scheduled maturity date. The frequency or volume of these repayments may fluctuate significantly from period to period.</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50" w:name="page51"/>
    <w:bookmarkEnd w:id="50"/>
    <w:p>
      <w:pPr>
        <w:ind w:left="340"/>
        <w:spacing w:after="0"/>
        <w:rPr>
          <w:sz w:val="20"/>
          <w:szCs w:val="20"/>
          <w:color w:val="auto"/>
        </w:rPr>
      </w:pPr>
      <w:r>
        <w:rPr>
          <w:rFonts w:ascii="Times New Roman" w:cs="Times New Roman" w:eastAsia="Times New Roman" w:hAnsi="Times New Roman"/>
          <w:sz w:val="18"/>
          <w:szCs w:val="18"/>
          <w:color w:val="auto"/>
        </w:rPr>
        <w:t>The following table shows our debt investments by industry sector as of September 30, 2019 and December 31, 2018:</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60" w:type="dxa"/>
            <w:vAlign w:val="bottom"/>
            <w:gridSpan w:val="4"/>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September 30, 2019</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00" w:type="dxa"/>
            <w:vAlign w:val="bottom"/>
            <w:gridSpan w:val="5"/>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December 31, 2018</w:t>
            </w:r>
          </w:p>
        </w:tc>
      </w:tr>
      <w:tr>
        <w:trPr>
          <w:trHeight w:val="187"/>
        </w:trPr>
        <w:tc>
          <w:tcPr>
            <w:tcW w:w="4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jc w:val="center"/>
              <w:ind w:right="360"/>
              <w:spacing w:after="0" w:line="188" w:lineRule="exact"/>
              <w:rPr>
                <w:sz w:val="20"/>
                <w:szCs w:val="20"/>
                <w:color w:val="auto"/>
              </w:rPr>
            </w:pPr>
            <w:r>
              <w:rPr>
                <w:rFonts w:ascii="Times New Roman" w:cs="Times New Roman" w:eastAsia="Times New Roman" w:hAnsi="Times New Roman"/>
                <w:sz w:val="18"/>
                <w:szCs w:val="18"/>
                <w:b w:val="1"/>
                <w:bCs w:val="1"/>
                <w:color w:val="auto"/>
              </w:rPr>
              <w:t>Debt</w:t>
            </w:r>
          </w:p>
        </w:tc>
        <w:tc>
          <w:tcPr>
            <w:tcW w:w="12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Percentage</w:t>
            </w: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jc w:val="center"/>
              <w:ind w:right="420"/>
              <w:spacing w:after="0" w:line="188" w:lineRule="exact"/>
              <w:rPr>
                <w:sz w:val="20"/>
                <w:szCs w:val="20"/>
                <w:color w:val="auto"/>
              </w:rPr>
            </w:pPr>
            <w:r>
              <w:rPr>
                <w:rFonts w:ascii="Times New Roman" w:cs="Times New Roman" w:eastAsia="Times New Roman" w:hAnsi="Times New Roman"/>
                <w:sz w:val="18"/>
                <w:szCs w:val="18"/>
                <w:b w:val="1"/>
                <w:bCs w:val="1"/>
                <w:color w:val="auto"/>
                <w:w w:val="97"/>
              </w:rPr>
              <w:t>Debt</w:t>
            </w:r>
          </w:p>
        </w:tc>
        <w:tc>
          <w:tcPr>
            <w:tcW w:w="12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Percentage</w:t>
            </w:r>
          </w:p>
        </w:tc>
        <w:tc>
          <w:tcPr>
            <w:tcW w:w="160" w:type="dxa"/>
            <w:vAlign w:val="bottom"/>
            <w:gridSpan w:val="2"/>
          </w:tcPr>
          <w:p>
            <w:pPr>
              <w:spacing w:after="0"/>
              <w:rPr>
                <w:sz w:val="16"/>
                <w:szCs w:val="16"/>
                <w:color w:val="auto"/>
              </w:rPr>
            </w:pPr>
          </w:p>
        </w:tc>
      </w:tr>
      <w:tr>
        <w:trPr>
          <w:trHeight w:val="216"/>
        </w:trPr>
        <w:tc>
          <w:tcPr>
            <w:tcW w:w="4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6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Investments at</w:t>
            </w:r>
          </w:p>
        </w:tc>
        <w:tc>
          <w:tcPr>
            <w:tcW w:w="1460" w:type="dxa"/>
            <w:vAlign w:val="bottom"/>
            <w:gridSpan w:val="2"/>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5"/>
              </w:rPr>
              <w:t>of Total</w:t>
            </w:r>
          </w:p>
        </w:tc>
        <w:tc>
          <w:tcPr>
            <w:tcW w:w="60" w:type="dxa"/>
            <w:vAlign w:val="bottom"/>
          </w:tcPr>
          <w:p>
            <w:pPr>
              <w:spacing w:after="0"/>
              <w:rPr>
                <w:sz w:val="18"/>
                <w:szCs w:val="18"/>
                <w:color w:val="auto"/>
              </w:rPr>
            </w:pPr>
          </w:p>
        </w:tc>
        <w:tc>
          <w:tcPr>
            <w:tcW w:w="146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Investments at</w:t>
            </w:r>
          </w:p>
        </w:tc>
        <w:tc>
          <w:tcPr>
            <w:tcW w:w="140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of Total</w:t>
            </w:r>
          </w:p>
        </w:tc>
      </w:tr>
      <w:tr>
        <w:trPr>
          <w:trHeight w:val="238"/>
        </w:trPr>
        <w:tc>
          <w:tcPr>
            <w:tcW w:w="4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1460" w:type="dxa"/>
            <w:vAlign w:val="bottom"/>
            <w:gridSpan w:val="2"/>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Portfolio</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140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Portfolio</w:t>
            </w:r>
          </w:p>
        </w:tc>
      </w:tr>
      <w:tr>
        <w:trPr>
          <w:trHeight w:val="210"/>
        </w:trPr>
        <w:tc>
          <w:tcPr>
            <w:tcW w:w="4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760" w:type="dxa"/>
            <w:vAlign w:val="bottom"/>
            <w:tcBorders>
              <w:top w:val="single" w:sz="8" w:color="auto"/>
            </w:tcBorders>
            <w:gridSpan w:val="5"/>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2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Life Science</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4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Biotechnology</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42,832</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19,369</w:t>
            </w:r>
          </w:p>
        </w:tc>
        <w:tc>
          <w:tcPr>
            <w:tcW w:w="14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4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Drug Delivery</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1,526</w:t>
            </w:r>
          </w:p>
        </w:tc>
        <w:tc>
          <w:tcPr>
            <w:tcW w:w="14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0.6</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1,495</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40" w:type="dxa"/>
            <w:vAlign w:val="bottom"/>
            <w:shd w:val="clear" w:color="auto" w:fill="CCEEFF"/>
          </w:tcPr>
          <w:p>
            <w:pPr>
              <w:spacing w:after="0"/>
              <w:rPr>
                <w:sz w:val="18"/>
                <w:szCs w:val="18"/>
                <w:color w:val="auto"/>
              </w:rPr>
            </w:pPr>
          </w:p>
        </w:tc>
      </w:tr>
      <w:tr>
        <w:trPr>
          <w:trHeight w:val="216"/>
        </w:trPr>
        <w:tc>
          <w:tcPr>
            <w:tcW w:w="4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Medical Device</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67,561</w:t>
            </w:r>
          </w:p>
        </w:tc>
        <w:tc>
          <w:tcPr>
            <w:tcW w:w="14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26.7</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46,162</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40" w:type="dxa"/>
            <w:vAlign w:val="bottom"/>
          </w:tcPr>
          <w:p>
            <w:pPr>
              <w:spacing w:after="0"/>
              <w:rPr>
                <w:sz w:val="18"/>
                <w:szCs w:val="18"/>
                <w:color w:val="auto"/>
              </w:rPr>
            </w:pP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4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Communications</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12,101</w:t>
            </w:r>
          </w:p>
        </w:tc>
        <w:tc>
          <w:tcPr>
            <w:tcW w:w="14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4.8</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10,539</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40" w:type="dxa"/>
            <w:vAlign w:val="bottom"/>
          </w:tcPr>
          <w:p>
            <w:pPr>
              <w:spacing w:after="0"/>
              <w:rPr>
                <w:sz w:val="18"/>
                <w:szCs w:val="18"/>
                <w:color w:val="auto"/>
              </w:rPr>
            </w:pPr>
          </w:p>
        </w:tc>
      </w:tr>
      <w:tr>
        <w:trPr>
          <w:trHeight w:val="216"/>
        </w:trPr>
        <w:tc>
          <w:tcPr>
            <w:tcW w:w="4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Consumer-Related</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23,008</w:t>
            </w:r>
          </w:p>
        </w:tc>
        <w:tc>
          <w:tcPr>
            <w:tcW w:w="14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9.1</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20,491</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40" w:type="dxa"/>
            <w:vAlign w:val="bottom"/>
            <w:shd w:val="clear" w:color="auto" w:fill="CCEEFF"/>
          </w:tcPr>
          <w:p>
            <w:pPr>
              <w:spacing w:after="0"/>
              <w:rPr>
                <w:sz w:val="18"/>
                <w:szCs w:val="18"/>
                <w:color w:val="auto"/>
              </w:rPr>
            </w:pPr>
          </w:p>
        </w:tc>
      </w:tr>
      <w:tr>
        <w:trPr>
          <w:trHeight w:val="216"/>
        </w:trPr>
        <w:tc>
          <w:tcPr>
            <w:tcW w:w="4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Data Storage</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19,581</w:t>
            </w:r>
          </w:p>
        </w:tc>
        <w:tc>
          <w:tcPr>
            <w:tcW w:w="14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7.7</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9,835</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40" w:type="dxa"/>
            <w:vAlign w:val="bottom"/>
          </w:tcPr>
          <w:p>
            <w:pPr>
              <w:spacing w:after="0"/>
              <w:rPr>
                <w:sz w:val="18"/>
                <w:szCs w:val="18"/>
                <w:color w:val="auto"/>
              </w:rPr>
            </w:pPr>
          </w:p>
        </w:tc>
      </w:tr>
      <w:tr>
        <w:trPr>
          <w:trHeight w:val="216"/>
        </w:trPr>
        <w:tc>
          <w:tcPr>
            <w:tcW w:w="4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Internet and Media</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13,687</w:t>
            </w:r>
          </w:p>
        </w:tc>
        <w:tc>
          <w:tcPr>
            <w:tcW w:w="14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5.4</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36,984</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40" w:type="dxa"/>
            <w:vAlign w:val="bottom"/>
            <w:shd w:val="clear" w:color="auto" w:fill="CCEEFF"/>
          </w:tcPr>
          <w:p>
            <w:pPr>
              <w:spacing w:after="0"/>
              <w:rPr>
                <w:sz w:val="18"/>
                <w:szCs w:val="18"/>
                <w:color w:val="auto"/>
              </w:rPr>
            </w:pPr>
          </w:p>
        </w:tc>
      </w:tr>
      <w:tr>
        <w:trPr>
          <w:trHeight w:val="216"/>
        </w:trPr>
        <w:tc>
          <w:tcPr>
            <w:tcW w:w="4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Materials</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8,399</w:t>
            </w:r>
          </w:p>
        </w:tc>
        <w:tc>
          <w:tcPr>
            <w:tcW w:w="14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3.3</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8,372</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40" w:type="dxa"/>
            <w:vAlign w:val="bottom"/>
          </w:tcPr>
          <w:p>
            <w:pPr>
              <w:spacing w:after="0"/>
              <w:rPr>
                <w:sz w:val="18"/>
                <w:szCs w:val="18"/>
                <w:color w:val="auto"/>
              </w:rPr>
            </w:pPr>
          </w:p>
        </w:tc>
      </w:tr>
      <w:tr>
        <w:trPr>
          <w:trHeight w:val="216"/>
        </w:trPr>
        <w:tc>
          <w:tcPr>
            <w:tcW w:w="4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Power Management</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512</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shd w:val="clear" w:color="auto" w:fill="CCEEFF"/>
          </w:tcPr>
          <w:p>
            <w:pPr>
              <w:spacing w:after="0"/>
              <w:rPr>
                <w:sz w:val="18"/>
                <w:szCs w:val="18"/>
                <w:color w:val="auto"/>
              </w:rPr>
            </w:pPr>
          </w:p>
        </w:tc>
      </w:tr>
      <w:tr>
        <w:trPr>
          <w:trHeight w:val="216"/>
        </w:trPr>
        <w:tc>
          <w:tcPr>
            <w:tcW w:w="4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Semiconductors</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3,413</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Pr>
          <w:p>
            <w:pPr>
              <w:spacing w:after="0"/>
              <w:rPr>
                <w:sz w:val="18"/>
                <w:szCs w:val="18"/>
                <w:color w:val="auto"/>
              </w:rPr>
            </w:pPr>
          </w:p>
        </w:tc>
      </w:tr>
      <w:tr>
        <w:trPr>
          <w:trHeight w:val="216"/>
        </w:trPr>
        <w:tc>
          <w:tcPr>
            <w:tcW w:w="4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Software</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49,536</w:t>
            </w:r>
          </w:p>
        </w:tc>
        <w:tc>
          <w:tcPr>
            <w:tcW w:w="14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19.6</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35,747</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40" w:type="dxa"/>
            <w:vAlign w:val="bottom"/>
            <w:shd w:val="clear" w:color="auto" w:fill="CCEEFF"/>
          </w:tcPr>
          <w:p>
            <w:pPr>
              <w:spacing w:after="0"/>
              <w:rPr>
                <w:sz w:val="18"/>
                <w:szCs w:val="18"/>
                <w:color w:val="auto"/>
              </w:rPr>
            </w:pP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Healthcare Information and Services</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0"/>
        </w:trPr>
        <w:tc>
          <w:tcPr>
            <w:tcW w:w="4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Software</w:t>
            </w:r>
          </w:p>
        </w:tc>
        <w:tc>
          <w:tcPr>
            <w:tcW w:w="14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14,954</w:t>
            </w:r>
          </w:p>
        </w:tc>
        <w:tc>
          <w:tcPr>
            <w:tcW w:w="14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5.9</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23,482</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40" w:type="dxa"/>
            <w:vAlign w:val="bottom"/>
            <w:shd w:val="clear" w:color="auto" w:fill="CCEEFF"/>
          </w:tcPr>
          <w:p>
            <w:pPr>
              <w:spacing w:after="0"/>
              <w:rPr>
                <w:sz w:val="19"/>
                <w:szCs w:val="19"/>
                <w:color w:val="auto"/>
              </w:rPr>
            </w:pPr>
          </w:p>
        </w:tc>
      </w:tr>
      <w:tr>
        <w:trPr>
          <w:trHeight w:val="223"/>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46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253,185</w:t>
            </w:r>
          </w:p>
        </w:tc>
        <w:tc>
          <w:tcPr>
            <w:tcW w:w="220" w:type="dxa"/>
            <w:vAlign w:val="bottom"/>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6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216,401</w:t>
            </w:r>
          </w:p>
        </w:tc>
        <w:tc>
          <w:tcPr>
            <w:tcW w:w="220" w:type="dxa"/>
            <w:vAlign w:val="bottom"/>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4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largest debt investments in our portfolio may vary from period to period as new debt investments are originated and existing debt investments are repaid. Our five largest debt investments represented 31% and 32% of total debt investments outstanding as of September 30, 2019 and December 31, 2018, respectively. No single debt investment represented more than 10% of our total debt investments as of September 30, 2019 and December 31, 2018.</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investment asset quality</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use an internal credit rating system which rates each debt investment on a scale of 4 to 1, with 4 being the highest credit quality rating and 3 being the rating for a standard level of risk. A rating of 2 represents an increased level of risk and, while no loss is currently anticipated for a 2-rated debt investment, there is potential for future loss of principal. A rating of 1 represents a deteriorating credit quality and a high degree of risk of loss of principal. Our internal credit rating system is not a national credit rating system. As of September 30, 2019 and December 31, 2018, our debt investments had a weighted average credit rating of 3.1. The following table shows the classification of our debt investment portfolio by credit rating as of September 30, 2019 and December 31, 2018:</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40" w:type="dxa"/>
            <w:vAlign w:val="bottom"/>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4"/>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September 30, 2019</w:t>
            </w:r>
          </w:p>
        </w:tc>
        <w:tc>
          <w:tcPr>
            <w:tcW w:w="12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December 31, 2018</w:t>
            </w:r>
          </w:p>
        </w:tc>
        <w:tc>
          <w:tcPr>
            <w:tcW w:w="12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187"/>
        </w:trPr>
        <w:tc>
          <w:tcPr>
            <w:tcW w:w="26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center"/>
              <w:ind w:right="320"/>
              <w:spacing w:after="0" w:line="188" w:lineRule="exact"/>
              <w:rPr>
                <w:sz w:val="20"/>
                <w:szCs w:val="20"/>
                <w:color w:val="auto"/>
              </w:rPr>
            </w:pPr>
            <w:r>
              <w:rPr>
                <w:rFonts w:ascii="Times New Roman" w:cs="Times New Roman" w:eastAsia="Times New Roman" w:hAnsi="Times New Roman"/>
                <w:sz w:val="18"/>
                <w:szCs w:val="18"/>
                <w:b w:val="1"/>
                <w:bCs w:val="1"/>
                <w:color w:val="auto"/>
              </w:rPr>
              <w:t>Debt</w:t>
            </w:r>
          </w:p>
        </w:tc>
        <w:tc>
          <w:tcPr>
            <w:tcW w:w="124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Percentage</w:t>
            </w: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jc w:val="center"/>
              <w:ind w:right="320"/>
              <w:spacing w:after="0" w:line="188" w:lineRule="exact"/>
              <w:rPr>
                <w:sz w:val="20"/>
                <w:szCs w:val="20"/>
                <w:color w:val="auto"/>
              </w:rPr>
            </w:pPr>
            <w:r>
              <w:rPr>
                <w:rFonts w:ascii="Times New Roman" w:cs="Times New Roman" w:eastAsia="Times New Roman" w:hAnsi="Times New Roman"/>
                <w:sz w:val="18"/>
                <w:szCs w:val="18"/>
                <w:b w:val="1"/>
                <w:bCs w:val="1"/>
                <w:color w:val="auto"/>
                <w:w w:val="97"/>
              </w:rPr>
              <w:t>Debt</w:t>
            </w:r>
          </w:p>
        </w:tc>
        <w:tc>
          <w:tcPr>
            <w:tcW w:w="124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Percentage</w:t>
            </w:r>
          </w:p>
        </w:tc>
        <w:tc>
          <w:tcPr>
            <w:tcW w:w="160" w:type="dxa"/>
            <w:vAlign w:val="bottom"/>
          </w:tcPr>
          <w:p>
            <w:pPr>
              <w:spacing w:after="0"/>
              <w:rPr>
                <w:sz w:val="16"/>
                <w:szCs w:val="16"/>
                <w:color w:val="auto"/>
              </w:rPr>
            </w:pPr>
          </w:p>
        </w:tc>
      </w:tr>
      <w:tr>
        <w:trPr>
          <w:trHeight w:val="216"/>
        </w:trPr>
        <w:tc>
          <w:tcPr>
            <w:tcW w:w="2640" w:type="dxa"/>
            <w:vAlign w:val="bottom"/>
          </w:tcPr>
          <w:p>
            <w:pPr>
              <w:spacing w:after="0"/>
              <w:rPr>
                <w:sz w:val="18"/>
                <w:szCs w:val="18"/>
                <w:color w:val="auto"/>
              </w:rPr>
            </w:pPr>
          </w:p>
        </w:tc>
        <w:tc>
          <w:tcPr>
            <w:tcW w:w="13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Investments</w:t>
            </w:r>
          </w:p>
        </w:tc>
        <w:tc>
          <w:tcPr>
            <w:tcW w:w="1520" w:type="dxa"/>
            <w:vAlign w:val="bottom"/>
            <w:gridSpan w:val="2"/>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of Debt</w:t>
            </w: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Investments</w:t>
            </w:r>
          </w:p>
        </w:tc>
        <w:tc>
          <w:tcPr>
            <w:tcW w:w="1400" w:type="dxa"/>
            <w:vAlign w:val="bottom"/>
            <w:gridSpan w:val="2"/>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of Debt</w:t>
            </w:r>
          </w:p>
        </w:tc>
      </w:tr>
      <w:tr>
        <w:trPr>
          <w:trHeight w:val="238"/>
        </w:trPr>
        <w:tc>
          <w:tcPr>
            <w:tcW w:w="2640" w:type="dxa"/>
            <w:vAlign w:val="bottom"/>
          </w:tcPr>
          <w:p>
            <w:pPr>
              <w:spacing w:after="0"/>
              <w:rPr>
                <w:sz w:val="20"/>
                <w:szCs w:val="20"/>
                <w:color w:val="auto"/>
              </w:rPr>
            </w:pPr>
          </w:p>
        </w:tc>
        <w:tc>
          <w:tcPr>
            <w:tcW w:w="13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Investments</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at Fair Value</w:t>
            </w:r>
          </w:p>
        </w:tc>
        <w:tc>
          <w:tcPr>
            <w:tcW w:w="1520" w:type="dxa"/>
            <w:vAlign w:val="bottom"/>
            <w:gridSpan w:val="2"/>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Investments</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Investments</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at Fair Value</w:t>
            </w:r>
          </w:p>
        </w:tc>
        <w:tc>
          <w:tcPr>
            <w:tcW w:w="1400" w:type="dxa"/>
            <w:vAlign w:val="bottom"/>
            <w:gridSpan w:val="2"/>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Investments</w:t>
            </w:r>
          </w:p>
        </w:tc>
      </w:tr>
      <w:tr>
        <w:trPr>
          <w:trHeight w:val="210"/>
        </w:trPr>
        <w:tc>
          <w:tcPr>
            <w:tcW w:w="2640" w:type="dxa"/>
            <w:vAlign w:val="bottom"/>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760" w:type="dxa"/>
            <w:vAlign w:val="bottom"/>
            <w:tcBorders>
              <w:top w:val="single" w:sz="8" w:color="auto"/>
            </w:tcBorders>
            <w:gridSpan w:val="3"/>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Credit Rating</w:t>
            </w: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640" w:type="dxa"/>
            <w:vAlign w:val="bottom"/>
          </w:tcPr>
          <w:p>
            <w:pPr>
              <w:jc w:val="right"/>
              <w:ind w:right="2290"/>
              <w:spacing w:after="0"/>
              <w:rPr>
                <w:sz w:val="20"/>
                <w:szCs w:val="20"/>
                <w:color w:val="auto"/>
              </w:rPr>
            </w:pPr>
            <w:r>
              <w:rPr>
                <w:rFonts w:ascii="Times New Roman" w:cs="Times New Roman" w:eastAsia="Times New Roman" w:hAnsi="Times New Roman"/>
                <w:sz w:val="18"/>
                <w:szCs w:val="18"/>
                <w:color w:val="auto"/>
              </w:rPr>
              <w:t>4</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43,017</w:t>
            </w:r>
          </w:p>
        </w:tc>
        <w:tc>
          <w:tcPr>
            <w:tcW w:w="15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17.0%</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41,677</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19.3%</w:t>
            </w:r>
          </w:p>
        </w:tc>
      </w:tr>
      <w:tr>
        <w:trPr>
          <w:trHeight w:val="216"/>
        </w:trPr>
        <w:tc>
          <w:tcPr>
            <w:tcW w:w="2640" w:type="dxa"/>
            <w:vAlign w:val="bottom"/>
            <w:shd w:val="clear" w:color="auto" w:fill="CCEEFF"/>
          </w:tcPr>
          <w:p>
            <w:pPr>
              <w:jc w:val="right"/>
              <w:ind w:right="2290"/>
              <w:spacing w:after="0"/>
              <w:rPr>
                <w:sz w:val="20"/>
                <w:szCs w:val="20"/>
                <w:color w:val="auto"/>
              </w:rPr>
            </w:pPr>
            <w:r>
              <w:rPr>
                <w:rFonts w:ascii="Times New Roman" w:cs="Times New Roman" w:eastAsia="Times New Roman" w:hAnsi="Times New Roman"/>
                <w:sz w:val="18"/>
                <w:szCs w:val="18"/>
                <w:color w:val="auto"/>
              </w:rPr>
              <w:t>3</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191,545</w:t>
            </w:r>
          </w:p>
        </w:tc>
        <w:tc>
          <w:tcPr>
            <w:tcW w:w="2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75.7</w:t>
            </w: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155,439</w:t>
            </w:r>
          </w:p>
        </w:tc>
        <w:tc>
          <w:tcPr>
            <w:tcW w:w="14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71.8</w:t>
            </w:r>
          </w:p>
        </w:tc>
      </w:tr>
      <w:tr>
        <w:trPr>
          <w:trHeight w:val="216"/>
        </w:trPr>
        <w:tc>
          <w:tcPr>
            <w:tcW w:w="2640" w:type="dxa"/>
            <w:vAlign w:val="bottom"/>
          </w:tcPr>
          <w:p>
            <w:pPr>
              <w:jc w:val="right"/>
              <w:ind w:right="2290"/>
              <w:spacing w:after="0"/>
              <w:rPr>
                <w:sz w:val="20"/>
                <w:szCs w:val="20"/>
                <w:color w:val="auto"/>
              </w:rPr>
            </w:pPr>
            <w:r>
              <w:rPr>
                <w:rFonts w:ascii="Times New Roman" w:cs="Times New Roman" w:eastAsia="Times New Roman" w:hAnsi="Times New Roman"/>
                <w:sz w:val="18"/>
                <w:szCs w:val="18"/>
                <w:color w:val="auto"/>
              </w:rPr>
              <w:t>2</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17,123</w:t>
            </w:r>
          </w:p>
        </w:tc>
        <w:tc>
          <w:tcPr>
            <w:tcW w:w="152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6.8</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19,285</w:t>
            </w:r>
          </w:p>
        </w:tc>
        <w:tc>
          <w:tcPr>
            <w:tcW w:w="14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8.9</w:t>
            </w:r>
          </w:p>
        </w:tc>
      </w:tr>
      <w:tr>
        <w:trPr>
          <w:trHeight w:val="230"/>
        </w:trPr>
        <w:tc>
          <w:tcPr>
            <w:tcW w:w="2640" w:type="dxa"/>
            <w:vAlign w:val="bottom"/>
            <w:shd w:val="clear" w:color="auto" w:fill="CCEEFF"/>
          </w:tcPr>
          <w:p>
            <w:pPr>
              <w:jc w:val="right"/>
              <w:ind w:right="2290"/>
              <w:spacing w:after="0"/>
              <w:rPr>
                <w:sz w:val="20"/>
                <w:szCs w:val="20"/>
                <w:color w:val="auto"/>
              </w:rPr>
            </w:pPr>
            <w:r>
              <w:rPr>
                <w:rFonts w:ascii="Times New Roman" w:cs="Times New Roman" w:eastAsia="Times New Roman" w:hAnsi="Times New Roman"/>
                <w:sz w:val="18"/>
                <w:szCs w:val="18"/>
                <w:color w:val="auto"/>
              </w:rPr>
              <w:t>1</w:t>
            </w: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22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0.5</w:t>
            </w: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253,185</w:t>
            </w:r>
          </w:p>
        </w:tc>
        <w:tc>
          <w:tcPr>
            <w:tcW w:w="22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216,401</w:t>
            </w:r>
          </w:p>
        </w:tc>
        <w:tc>
          <w:tcPr>
            <w:tcW w:w="22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26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629"/>
        </w:trPr>
        <w:tc>
          <w:tcPr>
            <w:tcW w:w="26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rPr>
              <w:t>49</w:t>
            </w:r>
          </w:p>
        </w:tc>
        <w:tc>
          <w:tcPr>
            <w:tcW w:w="2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121" w:right="239" w:bottom="1440" w:gutter="0" w:footer="0" w:header="0"/>
        </w:sectPr>
      </w:pPr>
    </w:p>
    <w:bookmarkStart w:id="51" w:name="page52"/>
    <w:bookmarkEnd w:id="51"/>
    <w:p>
      <w:pPr>
        <w:ind w:left="340"/>
        <w:spacing w:after="0"/>
        <w:rPr>
          <w:sz w:val="20"/>
          <w:szCs w:val="20"/>
          <w:color w:val="auto"/>
        </w:rPr>
      </w:pPr>
      <w:r>
        <w:rPr>
          <w:rFonts w:ascii="Times New Roman" w:cs="Times New Roman" w:eastAsia="Times New Roman" w:hAnsi="Times New Roman"/>
          <w:sz w:val="18"/>
          <w:szCs w:val="18"/>
          <w:color w:val="auto"/>
        </w:rPr>
        <w:t>As of September 30, 2019, there was one debt investment with an internal credit rating of 1, with a cost of $3.7 million and a fair value of $1.5 million.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2018, there were no debt investments with an internal credit rating of 1.</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Horizon Secured Loan Fund I LLC</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June 1, 2018, we and Arena Sunset SPV, LLC, or Arena, formed a joint venture, Horizon Secured Loan Fund I, or HSLFI, to make investments, either directly or indirectly through subsidiaries, primarily in the form of secured loans to development-stage companies in the technology, life science, healthcare information and services and sustainability industries. HSLFI was formed as a Delaware limited liability company and is not consolidated by either us or Arena for financial reporting purposes. Investments held by HSLFI are measured at fair value. As of September 30, 2019 and December 31, 2018, HSLFI had total assets of $47.1 million and $26.4 million, respectively. HSLFI’s portfolio consisted of debt investments in seven and four portfolio companies as of September 30, 2019 and December 31, 2018, respectively. As of September 30, 2019, the largest investment in a single portfolio company in the HSLFI’s portfolio in aggregate principal amount was $11.3 million and the five largest investments in portfolio companies in the HSLFI totaled $35.5 million. As of December 31, 2018, the largest investment in a single portfolio company in the HSLFI’s portfolio in aggregate principal amount was $8.3 million and the four largest investments in portfolio companies in the HSLFI totaled $25.0 million. As of September 30, 2019 and December 31, 2018, HSLFI had no investments on non-accrual status. HSLFI invests in portfolio companies in the same industries in which we may directly invest.</w:t>
      </w:r>
    </w:p>
    <w:p>
      <w:pPr>
        <w:spacing w:after="0" w:line="18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invest cash or securities in portfolio companies in HSLFI in exchange for limited liability company equity interests in HSLFI. As of September 30, 2019 and December 31, 2018, we and Arena each owned 50.0% of the equity interests of HSLFI. We had an original commitment to fund $25.0 million of equity interests in HSLFI. As of September 30, 2019 and December 31, 2018, $11.1 million and $11.7 million, respectively, was unfunded. Our investment in HSLFI consisted of an equity contribution of $13.9 and $13.3 million as of September 30, 2019 and December 31, 2018, respectively. During the three and nine months ended September 30, 2019, HSLFI distributed $0.4 million and $1.4 million, respectively. For the period September 1, 2018 (the commencement of HSLFI’s operations) through September 30, 2018, there were no distributions from HSLFI.</w:t>
      </w:r>
    </w:p>
    <w:p>
      <w:pPr>
        <w:spacing w:after="0" w:line="18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and Arena each appointed two members to HSLFI’s four-person board of managers. All material decisions with respect to HSLFI, including those involving its investment portfolio, require unanimous approval of a quorum of the board of managers. Quorum is defined as (i) the presence of two members of the board of managers; provided that at least one individual is present that was elected, designated or appointed by each member; (ii) the presence of three members of the board of managers, provided that the individual that was elected, designated or appointed by the member with only one individual present will be entitled to cast two votes on each matter; or (iii) the presence of all four members of the board of managers.</w:t>
      </w:r>
    </w:p>
    <w:p>
      <w:pPr>
        <w:spacing w:after="0" w:line="18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Horizon Funding I, LLC, or HFI, was formed as a Delaware limited liability company on May 9, 2018, with HSLFI as its sole equity member. HFI is a special purpose bankruptcy-remote entity and is a separate legal entity from HSLFI. Any assets conveyed to HFI are not available to creditors of HSLFI or any other entity other than HFI’s lenders.</w:t>
      </w:r>
    </w:p>
    <w:p>
      <w:pPr>
        <w:spacing w:after="0" w:line="17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addition, on June 1, 2018, HSLFI entered into a sale and servicing agreement with HFI, as Issuer, and us, as Servicer, pursuant to which HSLFI will sell or contribute to HFI certain secured loans made to certain portfolio companies. HFI entered into a Note Funding Agreement, or the NYL Facility, with several entities owned or affiliated with New York Life Insurance Company, or the Noteholders, for an aggregate purchase price of up to $100.0 million, with an accordion feature of up to $200.0 million at the mutual discretion and agreement of HSLFI and the Noteholders. The Note Funding Agreement has an investment period that ends on June 1, 2020, if not extended, followed by a five year amortization period and a scheduled final payment date of June 10, 2025, subject to any extension of the investment period. Any notes issued by HFI will be collateralized by all investments held by HFI and permit an advance rate of up to 67% of the aggregate principal amount of eligible debt investments. The interest rate on the notes issued under the NYL Facility is based on the three year USD mid-market swap rate plus a margin of between 2.75% and 3.25% depending on the rating of such notes at the time of issuance. There were $18.4 million in advances made by the Noteholders as of September 30, 2019 at an interest rate of 4.98%. There were no advances made by the Noteholders as of December 31, 2018.</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2" w:name="page53"/>
    <w:bookmarkEnd w:id="52"/>
    <w:p>
      <w:pPr>
        <w:ind w:left="340"/>
        <w:spacing w:after="0"/>
        <w:rPr>
          <w:sz w:val="20"/>
          <w:szCs w:val="20"/>
          <w:color w:val="auto"/>
        </w:rPr>
      </w:pPr>
      <w:r>
        <w:rPr>
          <w:rFonts w:ascii="Times New Roman" w:cs="Times New Roman" w:eastAsia="Times New Roman" w:hAnsi="Times New Roman"/>
          <w:sz w:val="18"/>
          <w:szCs w:val="18"/>
          <w:color w:val="auto"/>
        </w:rPr>
        <w:t>The following table shows a summary of HSLFI’s investment portfolio for the three and nine months ended September 30, 2019 and the period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1, 2018 through September 30, 2018:</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For the period</w:t>
            </w:r>
          </w:p>
        </w:tc>
      </w:tr>
      <w:tr>
        <w:trPr>
          <w:trHeight w:val="216"/>
        </w:trPr>
        <w:tc>
          <w:tcPr>
            <w:tcW w:w="58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rPr>
              <w:t>For the three</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For the nine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June 1, 2018</w:t>
            </w:r>
          </w:p>
        </w:tc>
      </w:tr>
      <w:tr>
        <w:trPr>
          <w:trHeight w:val="216"/>
        </w:trPr>
        <w:tc>
          <w:tcPr>
            <w:tcW w:w="58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40" w:type="dxa"/>
            <w:vAlign w:val="bottom"/>
            <w:gridSpan w:val="3"/>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months ended,</w:t>
            </w:r>
          </w:p>
        </w:tc>
        <w:tc>
          <w:tcPr>
            <w:tcW w:w="60" w:type="dxa"/>
            <w:vAlign w:val="bottom"/>
          </w:tcPr>
          <w:p>
            <w:pPr>
              <w:spacing w:after="0"/>
              <w:rPr>
                <w:sz w:val="18"/>
                <w:szCs w:val="18"/>
                <w:color w:val="auto"/>
              </w:rPr>
            </w:pPr>
          </w:p>
        </w:tc>
        <w:tc>
          <w:tcPr>
            <w:tcW w:w="150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months ended,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through</w:t>
            </w:r>
          </w:p>
        </w:tc>
      </w:tr>
      <w:tr>
        <w:trPr>
          <w:trHeight w:val="216"/>
        </w:trPr>
        <w:tc>
          <w:tcPr>
            <w:tcW w:w="58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40" w:type="dxa"/>
            <w:vAlign w:val="bottom"/>
            <w:gridSpan w:val="3"/>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60" w:type="dxa"/>
            <w:vAlign w:val="bottom"/>
          </w:tcPr>
          <w:p>
            <w:pPr>
              <w:spacing w:after="0"/>
              <w:rPr>
                <w:sz w:val="18"/>
                <w:szCs w:val="18"/>
                <w:color w:val="auto"/>
              </w:rPr>
            </w:pPr>
          </w:p>
        </w:tc>
        <w:tc>
          <w:tcPr>
            <w:tcW w:w="150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0" w:type="dxa"/>
            <w:vAlign w:val="bottom"/>
          </w:tcPr>
          <w:p>
            <w:pPr>
              <w:spacing w:after="0"/>
              <w:rPr>
                <w:sz w:val="18"/>
                <w:szCs w:val="18"/>
                <w:color w:val="auto"/>
              </w:rPr>
            </w:pPr>
          </w:p>
        </w:tc>
        <w:tc>
          <w:tcPr>
            <w:tcW w:w="140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38"/>
        </w:trPr>
        <w:tc>
          <w:tcPr>
            <w:tcW w:w="58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2018</w:t>
            </w:r>
          </w:p>
        </w:tc>
        <w:tc>
          <w:tcPr>
            <w:tcW w:w="160" w:type="dxa"/>
            <w:vAlign w:val="bottom"/>
          </w:tcPr>
          <w:p>
            <w:pPr>
              <w:spacing w:after="0"/>
              <w:rPr>
                <w:sz w:val="20"/>
                <w:szCs w:val="20"/>
                <w:color w:val="auto"/>
              </w:rPr>
            </w:pPr>
          </w:p>
        </w:tc>
      </w:tr>
      <w:tr>
        <w:trPr>
          <w:trHeight w:val="223"/>
        </w:trPr>
        <w:tc>
          <w:tcPr>
            <w:tcW w:w="58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76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(Dollars in thousands)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investments at fair value</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42,882</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42,882</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8,147</w:t>
            </w:r>
          </w:p>
        </w:tc>
      </w:tr>
      <w:tr>
        <w:trPr>
          <w:trHeight w:val="257"/>
        </w:trPr>
        <w:tc>
          <w:tcPr>
            <w:tcW w:w="584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Dollar-weighted annualized yield on average debt investments</w:t>
            </w:r>
            <w:r>
              <w:rPr>
                <w:rFonts w:ascii="Times New Roman" w:cs="Times New Roman" w:eastAsia="Times New Roman" w:hAnsi="Times New Roman"/>
                <w:sz w:val="29"/>
                <w:szCs w:val="29"/>
                <w:color w:val="auto"/>
                <w:vertAlign w:val="superscript"/>
              </w:rPr>
              <w:t>(1)</w:t>
            </w: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12.7%</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12.2%</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portfolio companies in HSLFI</w:t>
            </w: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r>
      <w:tr>
        <w:trPr>
          <w:trHeight w:val="234"/>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Largest portfolio company investment at fair value</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11,158</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11,158</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8,147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80975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86" w:lineRule="exact"/>
        <w:rPr>
          <w:sz w:val="20"/>
          <w:szCs w:val="20"/>
          <w:color w:val="auto"/>
        </w:rPr>
      </w:pPr>
    </w:p>
    <w:p>
      <w:pPr>
        <w:jc w:val="both"/>
        <w:ind w:left="340" w:hanging="332"/>
        <w:spacing w:after="0" w:line="261" w:lineRule="auto"/>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HSLFI calculates the yield on dollar-weighted average debt investments for any period measured as (1) total investment income during the period divided by (2) the average of the fair value of debt investments outstanding on (a) the last day of the calendar month immediately preceding the first day of the period and (b) the last day of each calendar month during the period. The yield on dollar-weighted average debt investments represents the portfolio yield and does not reflect HSLFI’s expenses.</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shows HSLFI’s total portfolio investment activity as of and for the three and nine months ended September 30, 2019 and the period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 2018 through September 30, 2018:</w:t>
      </w:r>
    </w:p>
    <w:p>
      <w:pPr>
        <w:sectPr>
          <w:pgSz w:w="11900" w:h="16838" w:orient="portrait"/>
          <w:cols w:equalWidth="0" w:num="1">
            <w:col w:w="11420"/>
          </w:cols>
          <w:pgMar w:left="240" w:top="90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Beginning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debt investments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Accretion of debt investment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New debt investment fees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unrealized depreciation on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Ending portfolio</w:t>
      </w:r>
    </w:p>
    <w:p>
      <w:pPr>
        <w:spacing w:after="0" w:line="2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following table shows HSLFI’s investments as of September 30, 2019:</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For the period</w:t>
            </w: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For the three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For the nine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June 1, 2018</w:t>
            </w: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months ended</w:t>
            </w:r>
          </w:p>
        </w:tc>
        <w:tc>
          <w:tcPr>
            <w:tcW w:w="100" w:type="dxa"/>
            <w:vAlign w:val="bottom"/>
          </w:tcPr>
          <w:p>
            <w:pPr>
              <w:spacing w:after="0"/>
              <w:rPr>
                <w:sz w:val="18"/>
                <w:szCs w:val="18"/>
                <w:color w:val="auto"/>
              </w:rPr>
            </w:pPr>
          </w:p>
        </w:tc>
        <w:tc>
          <w:tcPr>
            <w:tcW w:w="14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months ended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through</w:t>
            </w:r>
          </w:p>
        </w:tc>
      </w:tr>
      <w:tr>
        <w:trPr>
          <w:trHeight w:val="216"/>
        </w:trPr>
        <w:tc>
          <w:tcPr>
            <w:tcW w:w="20" w:type="dxa"/>
            <w:vAlign w:val="bottom"/>
          </w:tcPr>
          <w:p>
            <w:pPr>
              <w:spacing w:after="0"/>
              <w:rPr>
                <w:sz w:val="18"/>
                <w:szCs w:val="18"/>
                <w:color w:val="auto"/>
              </w:rPr>
            </w:pPr>
          </w:p>
        </w:tc>
        <w:tc>
          <w:tcPr>
            <w:tcW w:w="140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00" w:type="dxa"/>
            <w:vAlign w:val="bottom"/>
          </w:tcPr>
          <w:p>
            <w:pPr>
              <w:spacing w:after="0"/>
              <w:rPr>
                <w:sz w:val="18"/>
                <w:szCs w:val="18"/>
                <w:color w:val="auto"/>
              </w:rPr>
            </w:pPr>
          </w:p>
        </w:tc>
        <w:tc>
          <w:tcPr>
            <w:tcW w:w="14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0" w:type="dxa"/>
            <w:vAlign w:val="bottom"/>
          </w:tcPr>
          <w:p>
            <w:pPr>
              <w:spacing w:after="0"/>
              <w:rPr>
                <w:sz w:val="18"/>
                <w:szCs w:val="18"/>
                <w:color w:val="auto"/>
              </w:rPr>
            </w:pPr>
          </w:p>
        </w:tc>
        <w:tc>
          <w:tcPr>
            <w:tcW w:w="13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38"/>
        </w:trPr>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2018</w:t>
            </w:r>
          </w:p>
        </w:tc>
        <w:tc>
          <w:tcPr>
            <w:tcW w:w="60" w:type="dxa"/>
            <w:vAlign w:val="bottom"/>
          </w:tcPr>
          <w:p>
            <w:pPr>
              <w:spacing w:after="0"/>
              <w:rPr>
                <w:sz w:val="20"/>
                <w:szCs w:val="20"/>
                <w:color w:val="auto"/>
              </w:rPr>
            </w:pPr>
          </w:p>
        </w:tc>
      </w:tr>
      <w:tr>
        <w:trPr>
          <w:trHeight w:val="205"/>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10"/>
              <w:spacing w:after="0" w:line="205"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38,896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24,734</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18,227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48"/>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42,882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42,882</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8,137</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593" w:lineRule="exact"/>
        <w:rPr>
          <w:sz w:val="20"/>
          <w:szCs w:val="20"/>
          <w:color w:val="auto"/>
        </w:rPr>
      </w:pPr>
    </w:p>
    <w:p>
      <w:pPr>
        <w:sectPr>
          <w:pgSz w:w="11900" w:h="16838" w:orient="portrait"/>
          <w:cols w:equalWidth="0" w:num="2">
            <w:col w:w="6380" w:space="720"/>
            <w:col w:w="4320"/>
          </w:cols>
          <w:pgMar w:left="240" w:top="905" w:right="239" w:bottom="1440" w:gutter="0" w:footer="0" w:header="0"/>
          <w:type w:val="continuous"/>
        </w:sectPr>
      </w:pP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Sector</w:t>
            </w:r>
          </w:p>
        </w:tc>
        <w:tc>
          <w:tcPr>
            <w:tcW w:w="2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00" w:type="dxa"/>
            <w:vAlign w:val="bottom"/>
          </w:tcPr>
          <w:p>
            <w:pPr>
              <w:spacing w:after="0"/>
              <w:rPr>
                <w:sz w:val="13"/>
                <w:szCs w:val="13"/>
                <w:color w:val="auto"/>
              </w:rPr>
            </w:pPr>
          </w:p>
        </w:tc>
        <w:tc>
          <w:tcPr>
            <w:tcW w:w="11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Cost of</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204"/>
        </w:trPr>
        <w:tc>
          <w:tcPr>
            <w:tcW w:w="2980" w:type="dxa"/>
            <w:vAlign w:val="bottom"/>
            <w:gridSpan w:val="2"/>
          </w:tcPr>
          <w:p>
            <w:pPr>
              <w:spacing w:after="0" w:line="204" w:lineRule="exact"/>
              <w:rPr>
                <w:sz w:val="20"/>
                <w:szCs w:val="20"/>
                <w:color w:val="auto"/>
              </w:rPr>
            </w:pPr>
            <w:r>
              <w:rPr>
                <w:rFonts w:ascii="Times New Roman" w:cs="Times New Roman" w:eastAsia="Times New Roman" w:hAnsi="Times New Roman"/>
                <w:sz w:val="14"/>
                <w:szCs w:val="14"/>
                <w:b w:val="1"/>
                <w:bCs w:val="1"/>
                <w:color w:val="auto"/>
              </w:rPr>
              <w:t xml:space="preserve">Portfolio Company </w:t>
            </w:r>
            <w:r>
              <w:rPr>
                <w:rFonts w:ascii="Times New Roman" w:cs="Times New Roman" w:eastAsia="Times New Roman" w:hAnsi="Times New Roman"/>
                <w:sz w:val="23"/>
                <w:szCs w:val="23"/>
                <w:b w:val="1"/>
                <w:bCs w:val="1"/>
                <w:color w:val="auto"/>
                <w:vertAlign w:val="superscript"/>
              </w:rPr>
              <w:t>(1)</w:t>
            </w:r>
          </w:p>
        </w:tc>
        <w:tc>
          <w:tcPr>
            <w:tcW w:w="220" w:type="dxa"/>
            <w:vAlign w:val="bottom"/>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2960" w:type="dxa"/>
            <w:vAlign w:val="bottom"/>
            <w:gridSpan w:val="2"/>
          </w:tcPr>
          <w:p>
            <w:pPr>
              <w:ind w:left="540"/>
              <w:spacing w:after="0" w:line="204" w:lineRule="exact"/>
              <w:rPr>
                <w:sz w:val="20"/>
                <w:szCs w:val="20"/>
                <w:color w:val="auto"/>
              </w:rPr>
            </w:pPr>
            <w:r>
              <w:rPr>
                <w:rFonts w:ascii="Times New Roman" w:cs="Times New Roman" w:eastAsia="Times New Roman" w:hAnsi="Times New Roman"/>
                <w:sz w:val="14"/>
                <w:szCs w:val="14"/>
                <w:b w:val="1"/>
                <w:bCs w:val="1"/>
                <w:color w:val="auto"/>
              </w:rPr>
              <w:t xml:space="preserve">Type of Investment </w:t>
            </w:r>
            <w:r>
              <w:rPr>
                <w:rFonts w:ascii="Times New Roman" w:cs="Times New Roman" w:eastAsia="Times New Roman" w:hAnsi="Times New Roman"/>
                <w:sz w:val="23"/>
                <w:szCs w:val="23"/>
                <w:b w:val="1"/>
                <w:bCs w:val="1"/>
                <w:color w:val="auto"/>
                <w:vertAlign w:val="superscript"/>
              </w:rPr>
              <w:t>(2)(3)(4)</w:t>
            </w:r>
          </w:p>
        </w:tc>
        <w:tc>
          <w:tcPr>
            <w:tcW w:w="180" w:type="dxa"/>
            <w:vAlign w:val="bottom"/>
          </w:tcPr>
          <w:p>
            <w:pPr>
              <w:spacing w:after="0"/>
              <w:rPr>
                <w:sz w:val="17"/>
                <w:szCs w:val="17"/>
                <w:color w:val="auto"/>
              </w:rPr>
            </w:pPr>
          </w:p>
        </w:tc>
        <w:tc>
          <w:tcPr>
            <w:tcW w:w="11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7"/>
                <w:szCs w:val="17"/>
                <w:color w:val="auto"/>
              </w:rPr>
            </w:pPr>
          </w:p>
        </w:tc>
        <w:tc>
          <w:tcPr>
            <w:tcW w:w="1140" w:type="dxa"/>
            <w:vAlign w:val="bottom"/>
            <w:gridSpan w:val="2"/>
          </w:tcPr>
          <w:p>
            <w:pPr>
              <w:jc w:val="right"/>
              <w:ind w:right="220"/>
              <w:spacing w:after="0" w:line="204" w:lineRule="exact"/>
              <w:rPr>
                <w:sz w:val="20"/>
                <w:szCs w:val="20"/>
                <w:color w:val="auto"/>
              </w:rPr>
            </w:pPr>
            <w:r>
              <w:rPr>
                <w:rFonts w:ascii="Times New Roman" w:cs="Times New Roman" w:eastAsia="Times New Roman" w:hAnsi="Times New Roman"/>
                <w:sz w:val="14"/>
                <w:szCs w:val="14"/>
                <w:b w:val="1"/>
                <w:bCs w:val="1"/>
                <w:color w:val="auto"/>
                <w:w w:val="99"/>
              </w:rPr>
              <w:t>Investments</w:t>
            </w:r>
            <w:r>
              <w:rPr>
                <w:rFonts w:ascii="Times New Roman" w:cs="Times New Roman" w:eastAsia="Times New Roman" w:hAnsi="Times New Roman"/>
                <w:sz w:val="23"/>
                <w:szCs w:val="23"/>
                <w:b w:val="1"/>
                <w:bCs w:val="1"/>
                <w:color w:val="auto"/>
                <w:w w:val="99"/>
                <w:vertAlign w:val="superscript"/>
              </w:rPr>
              <w:t>(5)</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2740" w:type="dxa"/>
            <w:vAlign w:val="bottom"/>
            <w:tcBorders>
              <w:top w:val="single" w:sz="8" w:color="auto"/>
            </w:tcBorders>
          </w:tcPr>
          <w:p>
            <w:pPr>
              <w:ind w:left="540"/>
              <w:spacing w:after="0" w:line="155"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2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Debt Investments — Life science</w:t>
            </w:r>
          </w:p>
        </w:tc>
        <w:tc>
          <w:tcPr>
            <w:tcW w:w="2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9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Celsion Corporation (6)(7)(8)</w:t>
            </w:r>
          </w:p>
        </w:tc>
        <w:tc>
          <w:tcPr>
            <w:tcW w:w="220" w:type="dxa"/>
            <w:vAlign w:val="bottom"/>
          </w:tcPr>
          <w:p>
            <w:pPr>
              <w:spacing w:after="0"/>
              <w:rPr>
                <w:sz w:val="10"/>
                <w:szCs w:val="10"/>
                <w:color w:val="auto"/>
              </w:rPr>
            </w:pPr>
          </w:p>
        </w:tc>
        <w:tc>
          <w:tcPr>
            <w:tcW w:w="13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Biotechnology</w:t>
            </w:r>
          </w:p>
        </w:tc>
        <w:tc>
          <w:tcPr>
            <w:tcW w:w="29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Term Loan (9.73% cash (Libor + 7.63%; Floor</w:t>
            </w:r>
          </w:p>
        </w:tc>
        <w:tc>
          <w:tcPr>
            <w:tcW w:w="1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2,500</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2,461</w:t>
            </w:r>
          </w:p>
        </w:tc>
        <w:tc>
          <w:tcPr>
            <w:tcW w:w="3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2,461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9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9.63%), 4.00% ETP, Due 7/1/22)</w:t>
            </w:r>
          </w:p>
        </w:tc>
        <w:tc>
          <w:tcPr>
            <w:tcW w:w="180" w:type="dxa"/>
            <w:vAlign w:val="bottom"/>
            <w:vMerge w:val="continue"/>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360" w:type="dxa"/>
            <w:vAlign w:val="bottom"/>
            <w:gridSpan w:val="2"/>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9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Term Loan (9.73% cash (Libor + 7.63%; Floor</w:t>
            </w:r>
          </w:p>
        </w:tc>
        <w:tc>
          <w:tcPr>
            <w:tcW w:w="180" w:type="dxa"/>
            <w:vAlign w:val="bottom"/>
          </w:tcPr>
          <w:p>
            <w:pPr>
              <w:spacing w:after="0"/>
              <w:rPr>
                <w:sz w:val="12"/>
                <w:szCs w:val="12"/>
                <w:color w:val="auto"/>
              </w:rPr>
            </w:pPr>
          </w:p>
        </w:tc>
        <w:tc>
          <w:tcPr>
            <w:tcW w:w="11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2,500</w:t>
            </w:r>
          </w:p>
        </w:tc>
        <w:tc>
          <w:tcPr>
            <w:tcW w:w="100" w:type="dxa"/>
            <w:vAlign w:val="bottom"/>
          </w:tcPr>
          <w:p>
            <w:pPr>
              <w:spacing w:after="0"/>
              <w:rPr>
                <w:sz w:val="12"/>
                <w:szCs w:val="12"/>
                <w:color w:val="auto"/>
              </w:rPr>
            </w:pPr>
          </w:p>
        </w:tc>
        <w:tc>
          <w:tcPr>
            <w:tcW w:w="11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2,461</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2,461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9.63%), 4.00% ETP, Due 7/1/22)</w:t>
            </w:r>
          </w:p>
        </w:tc>
        <w:tc>
          <w:tcPr>
            <w:tcW w:w="18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9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Encore Dermatology, Inc. (6)(7)</w:t>
            </w:r>
          </w:p>
        </w:tc>
        <w:tc>
          <w:tcPr>
            <w:tcW w:w="220" w:type="dxa"/>
            <w:vAlign w:val="bottom"/>
            <w:shd w:val="clear" w:color="auto" w:fill="CCEEFF"/>
          </w:tcPr>
          <w:p>
            <w:pPr>
              <w:spacing w:after="0"/>
              <w:rPr>
                <w:sz w:val="10"/>
                <w:szCs w:val="10"/>
                <w:color w:val="auto"/>
              </w:rPr>
            </w:pPr>
          </w:p>
        </w:tc>
        <w:tc>
          <w:tcPr>
            <w:tcW w:w="13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Biotechnology</w:t>
            </w:r>
          </w:p>
        </w:tc>
        <w:tc>
          <w:tcPr>
            <w:tcW w:w="29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Term Loan (10.00% cash (Libor + 7.50%;</w:t>
            </w:r>
          </w:p>
        </w:tc>
        <w:tc>
          <w:tcPr>
            <w:tcW w:w="180" w:type="dxa"/>
            <w:vAlign w:val="bottom"/>
            <w:shd w:val="clear" w:color="auto" w:fill="CCEEFF"/>
          </w:tcPr>
          <w:p>
            <w:pPr>
              <w:spacing w:after="0"/>
              <w:rPr>
                <w:sz w:val="10"/>
                <w:szCs w:val="10"/>
                <w:color w:val="auto"/>
              </w:rPr>
            </w:pPr>
          </w:p>
        </w:tc>
        <w:tc>
          <w:tcPr>
            <w:tcW w:w="11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5,000</w:t>
            </w:r>
          </w:p>
        </w:tc>
        <w:tc>
          <w:tcPr>
            <w:tcW w:w="100" w:type="dxa"/>
            <w:vAlign w:val="bottom"/>
            <w:shd w:val="clear" w:color="auto" w:fill="CCEEFF"/>
          </w:tcPr>
          <w:p>
            <w:pPr>
              <w:spacing w:after="0"/>
              <w:rPr>
                <w:sz w:val="10"/>
                <w:szCs w:val="10"/>
                <w:color w:val="auto"/>
              </w:rPr>
            </w:pPr>
          </w:p>
        </w:tc>
        <w:tc>
          <w:tcPr>
            <w:tcW w:w="11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4,923</w:t>
            </w: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4,923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9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Floor 10.00%), 3.00% ETP, Due 4/1/23)</w:t>
            </w:r>
          </w:p>
        </w:tc>
        <w:tc>
          <w:tcPr>
            <w:tcW w:w="180" w:type="dxa"/>
            <w:vAlign w:val="bottom"/>
            <w:shd w:val="clear" w:color="auto" w:fill="CCEEFF"/>
          </w:tcPr>
          <w:p>
            <w:pPr>
              <w:spacing w:after="0"/>
              <w:rPr>
                <w:sz w:val="14"/>
                <w:szCs w:val="14"/>
                <w:color w:val="auto"/>
              </w:rPr>
            </w:pPr>
          </w:p>
        </w:tc>
        <w:tc>
          <w:tcPr>
            <w:tcW w:w="11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9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Mustang Bio, Inc. (6)(7)(8)</w:t>
            </w:r>
          </w:p>
        </w:tc>
        <w:tc>
          <w:tcPr>
            <w:tcW w:w="220" w:type="dxa"/>
            <w:vAlign w:val="bottom"/>
          </w:tcPr>
          <w:p>
            <w:pPr>
              <w:spacing w:after="0"/>
              <w:rPr>
                <w:sz w:val="10"/>
                <w:szCs w:val="10"/>
                <w:color w:val="auto"/>
              </w:rPr>
            </w:pPr>
          </w:p>
        </w:tc>
        <w:tc>
          <w:tcPr>
            <w:tcW w:w="13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Biotechnology</w:t>
            </w:r>
          </w:p>
        </w:tc>
        <w:tc>
          <w:tcPr>
            <w:tcW w:w="29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Term Loan (9.00% cash (Libor + 6.50%; Floor</w:t>
            </w: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9.00%), 5.00% ETP, Due 10/1/22)</w:t>
            </w:r>
          </w:p>
        </w:tc>
        <w:tc>
          <w:tcPr>
            <w:tcW w:w="180" w:type="dxa"/>
            <w:vAlign w:val="bottom"/>
          </w:tcPr>
          <w:p>
            <w:pPr>
              <w:spacing w:after="0"/>
              <w:rPr>
                <w:sz w:val="16"/>
                <w:szCs w:val="16"/>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5,000</w:t>
            </w:r>
          </w:p>
        </w:tc>
        <w:tc>
          <w:tcPr>
            <w:tcW w:w="100" w:type="dxa"/>
            <w:vAlign w:val="bottom"/>
          </w:tcPr>
          <w:p>
            <w:pPr>
              <w:spacing w:after="0"/>
              <w:rPr>
                <w:sz w:val="16"/>
                <w:szCs w:val="16"/>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4,917</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4,917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6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 Debt Investments — Life science</w:t>
            </w:r>
          </w:p>
        </w:tc>
        <w:tc>
          <w:tcPr>
            <w:tcW w:w="220" w:type="dxa"/>
            <w:vAlign w:val="bottom"/>
            <w:tcBorders>
              <w:top w:val="single" w:sz="8" w:color="CCEEFF"/>
            </w:tcBorders>
            <w:shd w:val="clear" w:color="auto" w:fill="CCEEFF"/>
          </w:tcPr>
          <w:p>
            <w:pPr>
              <w:spacing w:after="0"/>
              <w:rPr>
                <w:sz w:val="12"/>
                <w:szCs w:val="12"/>
                <w:color w:val="auto"/>
              </w:rPr>
            </w:pPr>
          </w:p>
        </w:tc>
        <w:tc>
          <w:tcPr>
            <w:tcW w:w="104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274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9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10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14,762</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bottom w:val="single" w:sz="8" w:color="auto"/>
            </w:tcBorders>
            <w:shd w:val="clear" w:color="auto" w:fill="CCEEFF"/>
          </w:tcPr>
          <w:p>
            <w:pPr>
              <w:spacing w:after="0"/>
              <w:rPr>
                <w:sz w:val="12"/>
                <w:szCs w:val="12"/>
                <w:color w:val="auto"/>
              </w:rPr>
            </w:pP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14,762</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6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Debt Investments — Technology</w:t>
            </w: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9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Intelepeer Holdings, Inc. (6)(7)</w:t>
            </w:r>
          </w:p>
        </w:tc>
        <w:tc>
          <w:tcPr>
            <w:tcW w:w="220" w:type="dxa"/>
            <w:vAlign w:val="bottom"/>
            <w:shd w:val="clear" w:color="auto" w:fill="CCEEFF"/>
          </w:tcPr>
          <w:p>
            <w:pPr>
              <w:spacing w:after="0"/>
              <w:rPr>
                <w:sz w:val="10"/>
                <w:szCs w:val="10"/>
                <w:color w:val="auto"/>
              </w:rPr>
            </w:pPr>
          </w:p>
        </w:tc>
        <w:tc>
          <w:tcPr>
            <w:tcW w:w="13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Communications</w:t>
            </w:r>
          </w:p>
        </w:tc>
        <w:tc>
          <w:tcPr>
            <w:tcW w:w="29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Term Loan (12.05% cash (Libor + 9.95%;</w:t>
            </w:r>
          </w:p>
        </w:tc>
        <w:tc>
          <w:tcPr>
            <w:tcW w:w="180" w:type="dxa"/>
            <w:vAlign w:val="bottom"/>
            <w:shd w:val="clear" w:color="auto" w:fill="CCEEFF"/>
          </w:tcPr>
          <w:p>
            <w:pPr>
              <w:spacing w:after="0"/>
              <w:rPr>
                <w:sz w:val="10"/>
                <w:szCs w:val="10"/>
                <w:color w:val="auto"/>
              </w:rPr>
            </w:pPr>
          </w:p>
        </w:tc>
        <w:tc>
          <w:tcPr>
            <w:tcW w:w="11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4,000</w:t>
            </w:r>
          </w:p>
        </w:tc>
        <w:tc>
          <w:tcPr>
            <w:tcW w:w="100" w:type="dxa"/>
            <w:vAlign w:val="bottom"/>
            <w:shd w:val="clear" w:color="auto" w:fill="CCEEFF"/>
          </w:tcPr>
          <w:p>
            <w:pPr>
              <w:spacing w:after="0"/>
              <w:rPr>
                <w:sz w:val="10"/>
                <w:szCs w:val="10"/>
                <w:color w:val="auto"/>
              </w:rPr>
            </w:pPr>
          </w:p>
        </w:tc>
        <w:tc>
          <w:tcPr>
            <w:tcW w:w="11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3,942</w:t>
            </w: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3,942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9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Floor 11.25%), 3.30% ETP, Due 1/1/22)</w:t>
            </w:r>
          </w:p>
        </w:tc>
        <w:tc>
          <w:tcPr>
            <w:tcW w:w="180" w:type="dxa"/>
            <w:vAlign w:val="bottom"/>
            <w:shd w:val="clear" w:color="auto" w:fill="CCEEFF"/>
          </w:tcPr>
          <w:p>
            <w:pPr>
              <w:spacing w:after="0"/>
              <w:rPr>
                <w:sz w:val="12"/>
                <w:szCs w:val="12"/>
                <w:color w:val="auto"/>
              </w:rPr>
            </w:pPr>
          </w:p>
        </w:tc>
        <w:tc>
          <w:tcPr>
            <w:tcW w:w="1180" w:type="dxa"/>
            <w:vAlign w:val="bottom"/>
            <w:gridSpan w:val="2"/>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gridSpan w:val="2"/>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9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Term Loan (12.05% cash (Libor + 9.95%;</w:t>
            </w:r>
          </w:p>
        </w:tc>
        <w:tc>
          <w:tcPr>
            <w:tcW w:w="180" w:type="dxa"/>
            <w:vAlign w:val="bottom"/>
            <w:shd w:val="clear" w:color="auto" w:fill="CCEEFF"/>
          </w:tcPr>
          <w:p>
            <w:pPr>
              <w:spacing w:after="0"/>
              <w:rPr>
                <w:sz w:val="12"/>
                <w:szCs w:val="12"/>
                <w:color w:val="auto"/>
              </w:rPr>
            </w:pPr>
          </w:p>
        </w:tc>
        <w:tc>
          <w:tcPr>
            <w:tcW w:w="11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4,000</w:t>
            </w:r>
          </w:p>
        </w:tc>
        <w:tc>
          <w:tcPr>
            <w:tcW w:w="100" w:type="dxa"/>
            <w:vAlign w:val="bottom"/>
            <w:shd w:val="clear" w:color="auto" w:fill="CCEEFF"/>
          </w:tcPr>
          <w:p>
            <w:pPr>
              <w:spacing w:after="0"/>
              <w:rPr>
                <w:sz w:val="12"/>
                <w:szCs w:val="12"/>
                <w:color w:val="auto"/>
              </w:rPr>
            </w:pPr>
          </w:p>
        </w:tc>
        <w:tc>
          <w:tcPr>
            <w:tcW w:w="11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3,942</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3,942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9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Floor 11.25%), 3.30% ETP, Due 1/1/22)</w:t>
            </w:r>
          </w:p>
        </w:tc>
        <w:tc>
          <w:tcPr>
            <w:tcW w:w="180" w:type="dxa"/>
            <w:vAlign w:val="bottom"/>
            <w:shd w:val="clear" w:color="auto" w:fill="CCEEFF"/>
          </w:tcPr>
          <w:p>
            <w:pPr>
              <w:spacing w:after="0"/>
              <w:rPr>
                <w:sz w:val="12"/>
                <w:szCs w:val="12"/>
                <w:color w:val="auto"/>
              </w:rPr>
            </w:pPr>
          </w:p>
        </w:tc>
        <w:tc>
          <w:tcPr>
            <w:tcW w:w="1180" w:type="dxa"/>
            <w:vAlign w:val="bottom"/>
            <w:gridSpan w:val="2"/>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gridSpan w:val="2"/>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9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Term Loan (12.45% cash (Libor + 9.95%;</w:t>
            </w:r>
          </w:p>
        </w:tc>
        <w:tc>
          <w:tcPr>
            <w:tcW w:w="180" w:type="dxa"/>
            <w:vAlign w:val="bottom"/>
            <w:shd w:val="clear" w:color="auto" w:fill="CCEEFF"/>
          </w:tcPr>
          <w:p>
            <w:pPr>
              <w:spacing w:after="0"/>
              <w:rPr>
                <w:sz w:val="12"/>
                <w:szCs w:val="12"/>
                <w:color w:val="auto"/>
              </w:rPr>
            </w:pPr>
          </w:p>
        </w:tc>
        <w:tc>
          <w:tcPr>
            <w:tcW w:w="11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1,227</w:t>
            </w:r>
          </w:p>
        </w:tc>
        <w:tc>
          <w:tcPr>
            <w:tcW w:w="100" w:type="dxa"/>
            <w:vAlign w:val="bottom"/>
            <w:shd w:val="clear" w:color="auto" w:fill="CCEEFF"/>
          </w:tcPr>
          <w:p>
            <w:pPr>
              <w:spacing w:after="0"/>
              <w:rPr>
                <w:sz w:val="12"/>
                <w:szCs w:val="12"/>
                <w:color w:val="auto"/>
              </w:rPr>
            </w:pPr>
          </w:p>
        </w:tc>
        <w:tc>
          <w:tcPr>
            <w:tcW w:w="11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1,207</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1,207</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9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Floor 12.45%), 2.50% ETP, Due 10/1/22)</w:t>
            </w:r>
          </w:p>
        </w:tc>
        <w:tc>
          <w:tcPr>
            <w:tcW w:w="180" w:type="dxa"/>
            <w:vAlign w:val="bottom"/>
            <w:shd w:val="clear" w:color="auto" w:fill="CCEEFF"/>
          </w:tcPr>
          <w:p>
            <w:pPr>
              <w:spacing w:after="0"/>
              <w:rPr>
                <w:sz w:val="14"/>
                <w:szCs w:val="14"/>
                <w:color w:val="auto"/>
              </w:rPr>
            </w:pPr>
          </w:p>
        </w:tc>
        <w:tc>
          <w:tcPr>
            <w:tcW w:w="11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type w:val="continuous"/>
        </w:sectPr>
      </w:pPr>
    </w:p>
    <w:bookmarkStart w:id="53" w:name="page54"/>
    <w:bookmarkEnd w:id="53"/>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Sector</w:t>
            </w:r>
          </w:p>
        </w:tc>
        <w:tc>
          <w:tcPr>
            <w:tcW w:w="2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00" w:type="dxa"/>
            <w:vAlign w:val="bottom"/>
          </w:tcPr>
          <w:p>
            <w:pPr>
              <w:spacing w:after="0"/>
              <w:rPr>
                <w:sz w:val="13"/>
                <w:szCs w:val="13"/>
                <w:color w:val="auto"/>
              </w:rPr>
            </w:pPr>
          </w:p>
        </w:tc>
        <w:tc>
          <w:tcPr>
            <w:tcW w:w="11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Cost of</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204"/>
        </w:trPr>
        <w:tc>
          <w:tcPr>
            <w:tcW w:w="2980" w:type="dxa"/>
            <w:vAlign w:val="bottom"/>
            <w:gridSpan w:val="2"/>
          </w:tcPr>
          <w:p>
            <w:pPr>
              <w:spacing w:after="0" w:line="204" w:lineRule="exact"/>
              <w:rPr>
                <w:sz w:val="20"/>
                <w:szCs w:val="20"/>
                <w:color w:val="auto"/>
              </w:rPr>
            </w:pPr>
            <w:r>
              <w:rPr>
                <w:rFonts w:ascii="Times New Roman" w:cs="Times New Roman" w:eastAsia="Times New Roman" w:hAnsi="Times New Roman"/>
                <w:sz w:val="14"/>
                <w:szCs w:val="14"/>
                <w:b w:val="1"/>
                <w:bCs w:val="1"/>
                <w:color w:val="auto"/>
              </w:rPr>
              <w:t xml:space="preserve">Portfolio Company </w:t>
            </w:r>
            <w:r>
              <w:rPr>
                <w:rFonts w:ascii="Times New Roman" w:cs="Times New Roman" w:eastAsia="Times New Roman" w:hAnsi="Times New Roman"/>
                <w:sz w:val="23"/>
                <w:szCs w:val="23"/>
                <w:b w:val="1"/>
                <w:bCs w:val="1"/>
                <w:color w:val="auto"/>
                <w:vertAlign w:val="superscript"/>
              </w:rPr>
              <w:t>(1)</w:t>
            </w:r>
          </w:p>
        </w:tc>
        <w:tc>
          <w:tcPr>
            <w:tcW w:w="220" w:type="dxa"/>
            <w:vAlign w:val="bottom"/>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2960" w:type="dxa"/>
            <w:vAlign w:val="bottom"/>
            <w:gridSpan w:val="2"/>
          </w:tcPr>
          <w:p>
            <w:pPr>
              <w:ind w:left="540"/>
              <w:spacing w:after="0" w:line="204" w:lineRule="exact"/>
              <w:rPr>
                <w:sz w:val="20"/>
                <w:szCs w:val="20"/>
                <w:color w:val="auto"/>
              </w:rPr>
            </w:pPr>
            <w:r>
              <w:rPr>
                <w:rFonts w:ascii="Times New Roman" w:cs="Times New Roman" w:eastAsia="Times New Roman" w:hAnsi="Times New Roman"/>
                <w:sz w:val="14"/>
                <w:szCs w:val="14"/>
                <w:b w:val="1"/>
                <w:bCs w:val="1"/>
                <w:color w:val="auto"/>
              </w:rPr>
              <w:t xml:space="preserve">Type of Investment </w:t>
            </w:r>
            <w:r>
              <w:rPr>
                <w:rFonts w:ascii="Times New Roman" w:cs="Times New Roman" w:eastAsia="Times New Roman" w:hAnsi="Times New Roman"/>
                <w:sz w:val="23"/>
                <w:szCs w:val="23"/>
                <w:b w:val="1"/>
                <w:bCs w:val="1"/>
                <w:color w:val="auto"/>
                <w:vertAlign w:val="superscript"/>
              </w:rPr>
              <w:t>(2)(3)(4)</w:t>
            </w: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7"/>
                <w:szCs w:val="17"/>
                <w:color w:val="auto"/>
              </w:rPr>
            </w:pPr>
          </w:p>
        </w:tc>
        <w:tc>
          <w:tcPr>
            <w:tcW w:w="1140" w:type="dxa"/>
            <w:vAlign w:val="bottom"/>
            <w:gridSpan w:val="2"/>
          </w:tcPr>
          <w:p>
            <w:pPr>
              <w:jc w:val="right"/>
              <w:ind w:right="220"/>
              <w:spacing w:after="0" w:line="204" w:lineRule="exact"/>
              <w:rPr>
                <w:sz w:val="20"/>
                <w:szCs w:val="20"/>
                <w:color w:val="auto"/>
              </w:rPr>
            </w:pPr>
            <w:r>
              <w:rPr>
                <w:rFonts w:ascii="Times New Roman" w:cs="Times New Roman" w:eastAsia="Times New Roman" w:hAnsi="Times New Roman"/>
                <w:sz w:val="14"/>
                <w:szCs w:val="14"/>
                <w:b w:val="1"/>
                <w:bCs w:val="1"/>
                <w:color w:val="auto"/>
                <w:w w:val="99"/>
              </w:rPr>
              <w:t>Investments</w:t>
            </w:r>
            <w:r>
              <w:rPr>
                <w:rFonts w:ascii="Times New Roman" w:cs="Times New Roman" w:eastAsia="Times New Roman" w:hAnsi="Times New Roman"/>
                <w:sz w:val="23"/>
                <w:szCs w:val="23"/>
                <w:b w:val="1"/>
                <w:bCs w:val="1"/>
                <w:color w:val="auto"/>
                <w:w w:val="99"/>
                <w:vertAlign w:val="superscript"/>
              </w:rPr>
              <w:t>(5)</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2740" w:type="dxa"/>
            <w:vAlign w:val="bottom"/>
            <w:tcBorders>
              <w:top w:val="single" w:sz="8" w:color="auto"/>
            </w:tcBorders>
          </w:tcPr>
          <w:p>
            <w:pPr>
              <w:ind w:left="540"/>
              <w:spacing w:after="0" w:line="155"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220" w:type="dxa"/>
            <w:vAlign w:val="bottom"/>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9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New Signature US, Inc. (6)(7)(9)</w:t>
            </w:r>
          </w:p>
        </w:tc>
        <w:tc>
          <w:tcPr>
            <w:tcW w:w="220" w:type="dxa"/>
            <w:vAlign w:val="bottom"/>
            <w:shd w:val="clear" w:color="auto" w:fill="CCEEFF"/>
          </w:tcPr>
          <w:p>
            <w:pPr>
              <w:spacing w:after="0"/>
              <w:rPr>
                <w:sz w:val="10"/>
                <w:szCs w:val="10"/>
                <w:color w:val="auto"/>
              </w:rPr>
            </w:pPr>
          </w:p>
        </w:tc>
        <w:tc>
          <w:tcPr>
            <w:tcW w:w="13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Software</w:t>
            </w:r>
          </w:p>
        </w:tc>
        <w:tc>
          <w:tcPr>
            <w:tcW w:w="29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Term Loan (10.60% cash (Libor + 8.50%;</w:t>
            </w:r>
          </w:p>
        </w:tc>
        <w:tc>
          <w:tcPr>
            <w:tcW w:w="13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8,250</w:t>
            </w:r>
          </w:p>
        </w:tc>
        <w:tc>
          <w:tcPr>
            <w:tcW w:w="100" w:type="dxa"/>
            <w:vAlign w:val="bottom"/>
            <w:shd w:val="clear" w:color="auto" w:fill="CCEEFF"/>
          </w:tcPr>
          <w:p>
            <w:pPr>
              <w:spacing w:after="0"/>
              <w:rPr>
                <w:sz w:val="10"/>
                <w:szCs w:val="10"/>
                <w:color w:val="auto"/>
              </w:rPr>
            </w:pPr>
          </w:p>
        </w:tc>
        <w:tc>
          <w:tcPr>
            <w:tcW w:w="11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8,154</w:t>
            </w: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8,154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9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Floor 10.50%), 3.50% ETP, Due 7/1/22)</w:t>
            </w:r>
          </w:p>
        </w:tc>
        <w:tc>
          <w:tcPr>
            <w:tcW w:w="1360" w:type="dxa"/>
            <w:vAlign w:val="bottom"/>
            <w:gridSpan w:val="2"/>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gridSpan w:val="2"/>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9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Term Loan (10.60% cash (Libor + 8.50%;</w:t>
            </w:r>
          </w:p>
        </w:tc>
        <w:tc>
          <w:tcPr>
            <w:tcW w:w="13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3,000</w:t>
            </w:r>
          </w:p>
        </w:tc>
        <w:tc>
          <w:tcPr>
            <w:tcW w:w="100" w:type="dxa"/>
            <w:vAlign w:val="bottom"/>
            <w:shd w:val="clear" w:color="auto" w:fill="CCEEFF"/>
          </w:tcPr>
          <w:p>
            <w:pPr>
              <w:spacing w:after="0"/>
              <w:rPr>
                <w:sz w:val="12"/>
                <w:szCs w:val="12"/>
                <w:color w:val="auto"/>
              </w:rPr>
            </w:pPr>
          </w:p>
        </w:tc>
        <w:tc>
          <w:tcPr>
            <w:tcW w:w="11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2,958</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2,958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9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Floor 10.50%), 3.50% ETP, Due 2/1/23)</w:t>
            </w:r>
          </w:p>
        </w:tc>
        <w:tc>
          <w:tcPr>
            <w:tcW w:w="1360" w:type="dxa"/>
            <w:vAlign w:val="bottom"/>
            <w:gridSpan w:val="2"/>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gridSpan w:val="2"/>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Revinate, Inc. (6)(7)</w:t>
            </w:r>
          </w:p>
        </w:tc>
        <w:tc>
          <w:tcPr>
            <w:tcW w:w="2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9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Term Loan (9.50% cash (Libor + 7.00%, Floor</w:t>
            </w:r>
          </w:p>
        </w:tc>
        <w:tc>
          <w:tcPr>
            <w:tcW w:w="1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9.50%), 3.00% ETP, Due 6/1/23)</w:t>
            </w: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4,000</w:t>
            </w: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3,948</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3,948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6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color w:val="auto"/>
              </w:rPr>
              <w:t>Total Debt Investments — Technology</w:t>
            </w:r>
          </w:p>
        </w:tc>
        <w:tc>
          <w:tcPr>
            <w:tcW w:w="220" w:type="dxa"/>
            <w:vAlign w:val="bottom"/>
            <w:tcBorders>
              <w:bottom w:val="single" w:sz="8" w:color="CCEEFF"/>
            </w:tcBorders>
          </w:tcPr>
          <w:p>
            <w:pPr>
              <w:spacing w:after="0"/>
              <w:rPr>
                <w:sz w:val="12"/>
                <w:szCs w:val="12"/>
                <w:color w:val="auto"/>
              </w:rPr>
            </w:pPr>
          </w:p>
        </w:tc>
        <w:tc>
          <w:tcPr>
            <w:tcW w:w="104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274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16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24,151</w:t>
            </w: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24,151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960" w:type="dxa"/>
            <w:vAlign w:val="bottom"/>
            <w:shd w:val="clear" w:color="auto" w:fill="CCEEFF"/>
          </w:tcPr>
          <w:p>
            <w:pPr>
              <w:spacing w:after="0" w:line="104" w:lineRule="exact"/>
              <w:rPr>
                <w:sz w:val="20"/>
                <w:szCs w:val="20"/>
                <w:color w:val="auto"/>
              </w:rPr>
            </w:pPr>
            <w:r>
              <w:rPr>
                <w:rFonts w:ascii="Times New Roman" w:cs="Times New Roman" w:eastAsia="Times New Roman" w:hAnsi="Times New Roman"/>
                <w:sz w:val="12"/>
                <w:szCs w:val="12"/>
                <w:b w:val="1"/>
                <w:bCs w:val="1"/>
                <w:color w:val="auto"/>
              </w:rPr>
              <w:t>Debt Investments — Healthcare information</w:t>
            </w:r>
          </w:p>
        </w:tc>
        <w:tc>
          <w:tcPr>
            <w:tcW w:w="22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27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and services</w:t>
            </w: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7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9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HealthEdge Software, Inc. (6)(7)</w:t>
            </w:r>
          </w:p>
        </w:tc>
        <w:tc>
          <w:tcPr>
            <w:tcW w:w="220" w:type="dxa"/>
            <w:vAlign w:val="bottom"/>
          </w:tcPr>
          <w:p>
            <w:pPr>
              <w:spacing w:after="0"/>
              <w:rPr>
                <w:sz w:val="10"/>
                <w:szCs w:val="10"/>
                <w:color w:val="auto"/>
              </w:rPr>
            </w:pPr>
          </w:p>
        </w:tc>
        <w:tc>
          <w:tcPr>
            <w:tcW w:w="13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Software</w:t>
            </w:r>
          </w:p>
        </w:tc>
        <w:tc>
          <w:tcPr>
            <w:tcW w:w="29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Term Loan (10.35% cash (Libor + 8.25%;</w:t>
            </w:r>
          </w:p>
        </w:tc>
        <w:tc>
          <w:tcPr>
            <w:tcW w:w="1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Floor 9.25%), 3.00% ETP, Due 10/1/23)</w:t>
            </w: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3,750</w:t>
            </w:r>
          </w:p>
        </w:tc>
        <w:tc>
          <w:tcPr>
            <w:tcW w:w="100" w:type="dxa"/>
            <w:vAlign w:val="bottom"/>
          </w:tcPr>
          <w:p>
            <w:pPr>
              <w:spacing w:after="0"/>
              <w:rPr>
                <w:sz w:val="16"/>
                <w:szCs w:val="16"/>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3,707</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3,707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vMerge w:val="restart"/>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Total Debt Investments — Healthcare information</w:t>
            </w:r>
          </w:p>
        </w:tc>
        <w:tc>
          <w:tcPr>
            <w:tcW w:w="22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7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20" w:type="dxa"/>
            <w:vAlign w:val="bottom"/>
          </w:tcPr>
          <w:p>
            <w:pPr>
              <w:spacing w:after="0"/>
              <w:rPr>
                <w:sz w:val="9"/>
                <w:szCs w:val="9"/>
                <w:color w:val="auto"/>
              </w:rPr>
            </w:pPr>
          </w:p>
        </w:tc>
        <w:tc>
          <w:tcPr>
            <w:tcW w:w="2960" w:type="dxa"/>
            <w:vAlign w:val="bottom"/>
            <w:vMerge w:val="continue"/>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27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3,707</w:t>
            </w:r>
          </w:p>
        </w:tc>
        <w:tc>
          <w:tcPr>
            <w:tcW w:w="1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0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3,707</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and services</w:t>
            </w: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6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Debt Investments</w:t>
            </w:r>
          </w:p>
        </w:tc>
        <w:tc>
          <w:tcPr>
            <w:tcW w:w="220" w:type="dxa"/>
            <w:vAlign w:val="bottom"/>
            <w:tcBorders>
              <w:bottom w:val="single" w:sz="8" w:color="CCEEFF"/>
            </w:tcBorders>
          </w:tcPr>
          <w:p>
            <w:pPr>
              <w:spacing w:after="0"/>
              <w:rPr>
                <w:sz w:val="12"/>
                <w:szCs w:val="12"/>
                <w:color w:val="auto"/>
              </w:rPr>
            </w:pPr>
          </w:p>
        </w:tc>
        <w:tc>
          <w:tcPr>
            <w:tcW w:w="104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274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16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42,620</w:t>
            </w: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42,620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96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Warrant Investments — Life science</w:t>
            </w: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Celsion Corporation (6)(7)(8)</w:t>
            </w:r>
          </w:p>
        </w:tc>
        <w:tc>
          <w:tcPr>
            <w:tcW w:w="22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Biotechnology</w:t>
            </w:r>
          </w:p>
        </w:tc>
        <w:tc>
          <w:tcPr>
            <w:tcW w:w="29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95,057 Common Stock Warrants</w:t>
            </w:r>
          </w:p>
        </w:tc>
        <w:tc>
          <w:tcPr>
            <w:tcW w:w="1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58</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Encore Dermatology, Inc. (6)(7)</w:t>
            </w:r>
          </w:p>
        </w:tc>
        <w:tc>
          <w:tcPr>
            <w:tcW w:w="220" w:type="dxa"/>
            <w:vAlign w:val="bottom"/>
          </w:tcPr>
          <w:p>
            <w:pPr>
              <w:spacing w:after="0"/>
              <w:rPr>
                <w:sz w:val="12"/>
                <w:szCs w:val="12"/>
                <w:color w:val="auto"/>
              </w:rPr>
            </w:pPr>
          </w:p>
        </w:tc>
        <w:tc>
          <w:tcPr>
            <w:tcW w:w="13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Biotechnology</w:t>
            </w:r>
          </w:p>
        </w:tc>
        <w:tc>
          <w:tcPr>
            <w:tcW w:w="29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503,626 Preferred Stock Warrants</w:t>
            </w: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38</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Mustang Bio, Inc. (6)(7)(8)</w:t>
            </w:r>
          </w:p>
        </w:tc>
        <w:tc>
          <w:tcPr>
            <w:tcW w:w="22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Biotechnology</w:t>
            </w:r>
          </w:p>
        </w:tc>
        <w:tc>
          <w:tcPr>
            <w:tcW w:w="29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72,046 Common Stock Warrants</w:t>
            </w:r>
          </w:p>
        </w:tc>
        <w:tc>
          <w:tcPr>
            <w:tcW w:w="1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45</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6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color w:val="auto"/>
              </w:rPr>
              <w:t>Total Warrant Investments — Life science</w:t>
            </w:r>
          </w:p>
        </w:tc>
        <w:tc>
          <w:tcPr>
            <w:tcW w:w="220" w:type="dxa"/>
            <w:vAlign w:val="bottom"/>
            <w:tcBorders>
              <w:bottom w:val="single" w:sz="8" w:color="CCEEFF"/>
            </w:tcBorders>
          </w:tcPr>
          <w:p>
            <w:pPr>
              <w:spacing w:after="0"/>
              <w:rPr>
                <w:sz w:val="12"/>
                <w:szCs w:val="12"/>
                <w:color w:val="auto"/>
              </w:rPr>
            </w:pPr>
          </w:p>
        </w:tc>
        <w:tc>
          <w:tcPr>
            <w:tcW w:w="104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274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16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141</w:t>
            </w: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77</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6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Warrant Investments — Technology</w:t>
            </w:r>
          </w:p>
        </w:tc>
        <w:tc>
          <w:tcPr>
            <w:tcW w:w="2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Intelepeer Holdings, Inc. (6)(7)</w:t>
            </w:r>
          </w:p>
        </w:tc>
        <w:tc>
          <w:tcPr>
            <w:tcW w:w="220" w:type="dxa"/>
            <w:vAlign w:val="bottom"/>
          </w:tcPr>
          <w:p>
            <w:pPr>
              <w:spacing w:after="0"/>
              <w:rPr>
                <w:sz w:val="12"/>
                <w:szCs w:val="12"/>
                <w:color w:val="auto"/>
              </w:rPr>
            </w:pPr>
          </w:p>
        </w:tc>
        <w:tc>
          <w:tcPr>
            <w:tcW w:w="13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Communications</w:t>
            </w:r>
          </w:p>
        </w:tc>
        <w:tc>
          <w:tcPr>
            <w:tcW w:w="29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1,886,934 Preferred Stock Warrants</w:t>
            </w: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82</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Revinate, Inc. (6)(7)</w:t>
            </w:r>
          </w:p>
        </w:tc>
        <w:tc>
          <w:tcPr>
            <w:tcW w:w="22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Software</w:t>
            </w:r>
          </w:p>
        </w:tc>
        <w:tc>
          <w:tcPr>
            <w:tcW w:w="29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216,362 Preferred Stock Warrants</w:t>
            </w:r>
          </w:p>
        </w:tc>
        <w:tc>
          <w:tcPr>
            <w:tcW w:w="1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16</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BSI Platform Holdings, LLC (6)(7)(9)</w:t>
            </w:r>
          </w:p>
        </w:tc>
        <w:tc>
          <w:tcPr>
            <w:tcW w:w="220" w:type="dxa"/>
            <w:vAlign w:val="bottom"/>
          </w:tcPr>
          <w:p>
            <w:pPr>
              <w:spacing w:after="0"/>
              <w:rPr>
                <w:sz w:val="12"/>
                <w:szCs w:val="12"/>
                <w:color w:val="auto"/>
              </w:rPr>
            </w:pPr>
          </w:p>
        </w:tc>
        <w:tc>
          <w:tcPr>
            <w:tcW w:w="13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Software</w:t>
            </w:r>
          </w:p>
        </w:tc>
        <w:tc>
          <w:tcPr>
            <w:tcW w:w="29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562,500 Preferred Stock Warrants</w:t>
            </w: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78</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6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 Warrant Investments — Technology</w:t>
            </w:r>
          </w:p>
        </w:tc>
        <w:tc>
          <w:tcPr>
            <w:tcW w:w="220" w:type="dxa"/>
            <w:vAlign w:val="bottom"/>
            <w:tcBorders>
              <w:top w:val="single" w:sz="8" w:color="CCEEFF"/>
            </w:tcBorders>
            <w:shd w:val="clear" w:color="auto" w:fill="CCEEFF"/>
          </w:tcPr>
          <w:p>
            <w:pPr>
              <w:spacing w:after="0"/>
              <w:rPr>
                <w:sz w:val="12"/>
                <w:szCs w:val="12"/>
                <w:color w:val="auto"/>
              </w:rPr>
            </w:pPr>
          </w:p>
        </w:tc>
        <w:tc>
          <w:tcPr>
            <w:tcW w:w="104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274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1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10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176</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bottom w:val="single" w:sz="8" w:color="auto"/>
            </w:tcBorders>
            <w:shd w:val="clear" w:color="auto" w:fill="CCEEFF"/>
          </w:tcPr>
          <w:p>
            <w:pPr>
              <w:spacing w:after="0"/>
              <w:rPr>
                <w:sz w:val="12"/>
                <w:szCs w:val="12"/>
                <w:color w:val="auto"/>
              </w:rPr>
            </w:pP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170</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960" w:type="dxa"/>
            <w:vAlign w:val="bottom"/>
          </w:tcPr>
          <w:p>
            <w:pPr>
              <w:spacing w:after="0" w:line="104" w:lineRule="exact"/>
              <w:rPr>
                <w:sz w:val="20"/>
                <w:szCs w:val="20"/>
                <w:color w:val="auto"/>
              </w:rPr>
            </w:pPr>
            <w:r>
              <w:rPr>
                <w:rFonts w:ascii="Times New Roman" w:cs="Times New Roman" w:eastAsia="Times New Roman" w:hAnsi="Times New Roman"/>
                <w:sz w:val="12"/>
                <w:szCs w:val="12"/>
                <w:b w:val="1"/>
                <w:bCs w:val="1"/>
                <w:color w:val="auto"/>
              </w:rPr>
              <w:t>Warrant Investments — Healthcare</w:t>
            </w:r>
          </w:p>
        </w:tc>
        <w:tc>
          <w:tcPr>
            <w:tcW w:w="2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29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information and services</w:t>
            </w: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HealthEdge Software, Inc. (6)(7)</w:t>
            </w:r>
          </w:p>
        </w:tc>
        <w:tc>
          <w:tcPr>
            <w:tcW w:w="22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Software</w:t>
            </w:r>
          </w:p>
        </w:tc>
        <w:tc>
          <w:tcPr>
            <w:tcW w:w="29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47,418 Preferred Stock Warrants</w:t>
            </w:r>
          </w:p>
        </w:tc>
        <w:tc>
          <w:tcPr>
            <w:tcW w:w="1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16</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vMerge w:val="restart"/>
          </w:tcPr>
          <w:p>
            <w:pPr>
              <w:spacing w:after="0" w:line="126" w:lineRule="exact"/>
              <w:rPr>
                <w:sz w:val="20"/>
                <w:szCs w:val="20"/>
                <w:color w:val="auto"/>
              </w:rPr>
            </w:pPr>
            <w:r>
              <w:rPr>
                <w:rFonts w:ascii="Times New Roman" w:cs="Times New Roman" w:eastAsia="Times New Roman" w:hAnsi="Times New Roman"/>
                <w:sz w:val="14"/>
                <w:szCs w:val="14"/>
                <w:color w:val="auto"/>
              </w:rPr>
              <w:t>Total Warrant Investments — Healthcare</w:t>
            </w: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20" w:type="dxa"/>
            <w:vAlign w:val="bottom"/>
          </w:tcPr>
          <w:p>
            <w:pPr>
              <w:spacing w:after="0"/>
              <w:rPr>
                <w:sz w:val="9"/>
                <w:szCs w:val="9"/>
                <w:color w:val="auto"/>
              </w:rPr>
            </w:pPr>
          </w:p>
        </w:tc>
        <w:tc>
          <w:tcPr>
            <w:tcW w:w="296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16</w:t>
            </w: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71"/>
        </w:trPr>
        <w:tc>
          <w:tcPr>
            <w:tcW w:w="2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information and services</w:t>
            </w: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6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Warrant Investments</w:t>
            </w:r>
          </w:p>
        </w:tc>
        <w:tc>
          <w:tcPr>
            <w:tcW w:w="220" w:type="dxa"/>
            <w:vAlign w:val="bottom"/>
            <w:tcBorders>
              <w:top w:val="single" w:sz="8" w:color="CCEEFF"/>
            </w:tcBorders>
            <w:shd w:val="clear" w:color="auto" w:fill="CCEEFF"/>
          </w:tcPr>
          <w:p>
            <w:pPr>
              <w:spacing w:after="0"/>
              <w:rPr>
                <w:sz w:val="12"/>
                <w:szCs w:val="12"/>
                <w:color w:val="auto"/>
              </w:rPr>
            </w:pPr>
          </w:p>
        </w:tc>
        <w:tc>
          <w:tcPr>
            <w:tcW w:w="104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274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1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10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333</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bottom w:val="single" w:sz="8" w:color="auto"/>
            </w:tcBorders>
            <w:shd w:val="clear" w:color="auto" w:fill="CCEEFF"/>
          </w:tcPr>
          <w:p>
            <w:pPr>
              <w:spacing w:after="0"/>
              <w:rPr>
                <w:sz w:val="12"/>
                <w:szCs w:val="12"/>
                <w:color w:val="auto"/>
              </w:rPr>
            </w:pP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262</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6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4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274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16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6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Portfolio Investment Assets</w:t>
            </w:r>
          </w:p>
        </w:tc>
        <w:tc>
          <w:tcPr>
            <w:tcW w:w="220" w:type="dxa"/>
            <w:vAlign w:val="bottom"/>
            <w:tcBorders>
              <w:bottom w:val="single" w:sz="8" w:color="CCEEFF"/>
            </w:tcBorders>
            <w:shd w:val="clear" w:color="auto" w:fill="CCEEFF"/>
          </w:tcPr>
          <w:p>
            <w:pPr>
              <w:spacing w:after="0"/>
              <w:rPr>
                <w:sz w:val="12"/>
                <w:szCs w:val="12"/>
                <w:color w:val="auto"/>
              </w:rPr>
            </w:pPr>
          </w:p>
        </w:tc>
        <w:tc>
          <w:tcPr>
            <w:tcW w:w="104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274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116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42,953</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42,882</w:t>
            </w:r>
          </w:p>
        </w:tc>
        <w:tc>
          <w:tcPr>
            <w:tcW w:w="10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2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0" w:type="dxa"/>
            <w:vAlign w:val="bottom"/>
            <w:vMerge w:val="continue"/>
          </w:tcPr>
          <w:p>
            <w:pPr>
              <w:spacing w:after="0"/>
              <w:rPr>
                <w:sz w:val="10"/>
                <w:szCs w:val="10"/>
                <w:color w:val="auto"/>
              </w:rPr>
            </w:pPr>
          </w:p>
        </w:tc>
        <w:tc>
          <w:tcPr>
            <w:tcW w:w="296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Short Term Investments — Unrestricted</w:t>
            </w:r>
          </w:p>
        </w:tc>
        <w:tc>
          <w:tcPr>
            <w:tcW w:w="2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7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7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US Bank Money Market Deposit Account (6)</w:t>
            </w: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1,784</w:t>
            </w:r>
          </w:p>
        </w:tc>
        <w:tc>
          <w:tcPr>
            <w:tcW w:w="360" w:type="dxa"/>
            <w:vAlign w:val="bottom"/>
            <w:gridSpan w:val="2"/>
          </w:tcPr>
          <w:p>
            <w:pPr>
              <w:jc w:val="right"/>
              <w:ind w:right="12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1,784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vMerge w:val="restart"/>
            <w:shd w:val="clear" w:color="auto" w:fill="CCEEFF"/>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Total Short Term Investments — Unrestricted</w:t>
            </w:r>
          </w:p>
        </w:tc>
        <w:tc>
          <w:tcPr>
            <w:tcW w:w="22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7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4"/>
        </w:trPr>
        <w:tc>
          <w:tcPr>
            <w:tcW w:w="20" w:type="dxa"/>
            <w:vAlign w:val="bottom"/>
          </w:tcPr>
          <w:p>
            <w:pPr>
              <w:spacing w:after="0"/>
              <w:rPr>
                <w:sz w:val="9"/>
                <w:szCs w:val="9"/>
                <w:color w:val="auto"/>
              </w:rPr>
            </w:pPr>
          </w:p>
        </w:tc>
        <w:tc>
          <w:tcPr>
            <w:tcW w:w="2960" w:type="dxa"/>
            <w:vAlign w:val="bottom"/>
            <w:vMerge w:val="continue"/>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27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1,784</w:t>
            </w:r>
          </w:p>
        </w:tc>
        <w:tc>
          <w:tcPr>
            <w:tcW w:w="360" w:type="dxa"/>
            <w:vAlign w:val="bottom"/>
            <w:gridSpan w:val="2"/>
            <w:vMerge w:val="restart"/>
            <w:shd w:val="clear" w:color="auto" w:fill="CCEEFF"/>
          </w:tcPr>
          <w:p>
            <w:pPr>
              <w:jc w:val="right"/>
              <w:ind w:right="123"/>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1,784</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960" w:type="dxa"/>
            <w:vAlign w:val="bottom"/>
            <w:shd w:val="clear" w:color="auto" w:fill="CCEEFF"/>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Investments</w:t>
            </w:r>
          </w:p>
        </w:tc>
        <w:tc>
          <w:tcPr>
            <w:tcW w:w="2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7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vMerge w:val="continue"/>
            <w:shd w:val="clear" w:color="auto" w:fill="CCEEFF"/>
          </w:tcPr>
          <w:p>
            <w:pPr>
              <w:spacing w:after="0"/>
              <w:rPr>
                <w:sz w:val="13"/>
                <w:szCs w:val="13"/>
                <w:color w:val="auto"/>
              </w:rPr>
            </w:pPr>
          </w:p>
        </w:tc>
        <w:tc>
          <w:tcPr>
            <w:tcW w:w="1140" w:type="dxa"/>
            <w:vAlign w:val="bottom"/>
            <w:gridSpan w:val="2"/>
            <w:vMerge w:val="continue"/>
            <w:shd w:val="clear" w:color="auto" w:fill="CCEEFF"/>
          </w:tcPr>
          <w:p>
            <w:pPr>
              <w:spacing w:after="0"/>
              <w:rPr>
                <w:sz w:val="13"/>
                <w:szCs w:val="13"/>
                <w:color w:val="auto"/>
              </w:rPr>
            </w:pPr>
          </w:p>
        </w:tc>
        <w:tc>
          <w:tcPr>
            <w:tcW w:w="360" w:type="dxa"/>
            <w:vAlign w:val="bottom"/>
            <w:gridSpan w:val="2"/>
            <w:vMerge w:val="continue"/>
            <w:shd w:val="clear" w:color="auto" w:fill="CCEEFF"/>
          </w:tcPr>
          <w:p>
            <w:pPr>
              <w:spacing w:after="0"/>
              <w:rPr>
                <w:sz w:val="13"/>
                <w:szCs w:val="13"/>
                <w:color w:val="auto"/>
              </w:rPr>
            </w:pPr>
          </w:p>
        </w:tc>
        <w:tc>
          <w:tcPr>
            <w:tcW w:w="100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7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2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0" w:type="dxa"/>
            <w:vAlign w:val="bottom"/>
            <w:vMerge w:val="continue"/>
          </w:tcPr>
          <w:p>
            <w:pPr>
              <w:spacing w:after="0"/>
              <w:rPr>
                <w:sz w:val="10"/>
                <w:szCs w:val="10"/>
                <w:color w:val="auto"/>
              </w:rPr>
            </w:pPr>
          </w:p>
        </w:tc>
        <w:tc>
          <w:tcPr>
            <w:tcW w:w="296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Short Term Investments — Restricted Money</w:t>
            </w:r>
          </w:p>
        </w:tc>
        <w:tc>
          <w:tcPr>
            <w:tcW w:w="2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7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Market Funds</w:t>
            </w: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7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US Bank Money Market Deposit Account (6)</w:t>
            </w: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127</w:t>
            </w:r>
          </w:p>
        </w:tc>
        <w:tc>
          <w:tcPr>
            <w:tcW w:w="360" w:type="dxa"/>
            <w:vAlign w:val="bottom"/>
            <w:gridSpan w:val="2"/>
          </w:tcPr>
          <w:p>
            <w:pPr>
              <w:jc w:val="right"/>
              <w:ind w:right="12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vMerge w:val="restart"/>
            <w:shd w:val="clear" w:color="auto" w:fill="CCEEFF"/>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Total Short Term Investments — Restricted</w:t>
            </w:r>
          </w:p>
        </w:tc>
        <w:tc>
          <w:tcPr>
            <w:tcW w:w="22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7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4"/>
        </w:trPr>
        <w:tc>
          <w:tcPr>
            <w:tcW w:w="20" w:type="dxa"/>
            <w:vAlign w:val="bottom"/>
          </w:tcPr>
          <w:p>
            <w:pPr>
              <w:spacing w:after="0"/>
              <w:rPr>
                <w:sz w:val="9"/>
                <w:szCs w:val="9"/>
                <w:color w:val="auto"/>
              </w:rPr>
            </w:pPr>
          </w:p>
        </w:tc>
        <w:tc>
          <w:tcPr>
            <w:tcW w:w="2960" w:type="dxa"/>
            <w:vAlign w:val="bottom"/>
            <w:vMerge w:val="continue"/>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27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127</w:t>
            </w:r>
          </w:p>
        </w:tc>
        <w:tc>
          <w:tcPr>
            <w:tcW w:w="360" w:type="dxa"/>
            <w:vAlign w:val="bottom"/>
            <w:gridSpan w:val="2"/>
            <w:vMerge w:val="restart"/>
            <w:shd w:val="clear" w:color="auto" w:fill="CCEEFF"/>
          </w:tcPr>
          <w:p>
            <w:pPr>
              <w:jc w:val="right"/>
              <w:ind w:right="123"/>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127</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960" w:type="dxa"/>
            <w:vAlign w:val="bottom"/>
            <w:shd w:val="clear" w:color="auto" w:fill="CCEEFF"/>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Money Market Funds</w:t>
            </w:r>
          </w:p>
        </w:tc>
        <w:tc>
          <w:tcPr>
            <w:tcW w:w="2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7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vMerge w:val="continue"/>
            <w:shd w:val="clear" w:color="auto" w:fill="CCEEFF"/>
          </w:tcPr>
          <w:p>
            <w:pPr>
              <w:spacing w:after="0"/>
              <w:rPr>
                <w:sz w:val="13"/>
                <w:szCs w:val="13"/>
                <w:color w:val="auto"/>
              </w:rPr>
            </w:pPr>
          </w:p>
        </w:tc>
        <w:tc>
          <w:tcPr>
            <w:tcW w:w="1140" w:type="dxa"/>
            <w:vAlign w:val="bottom"/>
            <w:gridSpan w:val="2"/>
            <w:vMerge w:val="continue"/>
            <w:shd w:val="clear" w:color="auto" w:fill="CCEEFF"/>
          </w:tcPr>
          <w:p>
            <w:pPr>
              <w:spacing w:after="0"/>
              <w:rPr>
                <w:sz w:val="13"/>
                <w:szCs w:val="13"/>
                <w:color w:val="auto"/>
              </w:rPr>
            </w:pPr>
          </w:p>
        </w:tc>
        <w:tc>
          <w:tcPr>
            <w:tcW w:w="360" w:type="dxa"/>
            <w:vAlign w:val="bottom"/>
            <w:gridSpan w:val="2"/>
            <w:vMerge w:val="continue"/>
            <w:shd w:val="clear" w:color="auto" w:fill="CCEEFF"/>
          </w:tcPr>
          <w:p>
            <w:pPr>
              <w:spacing w:after="0"/>
              <w:rPr>
                <w:sz w:val="13"/>
                <w:szCs w:val="13"/>
                <w:color w:val="auto"/>
              </w:rPr>
            </w:pPr>
          </w:p>
        </w:tc>
        <w:tc>
          <w:tcPr>
            <w:tcW w:w="100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7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80975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ind w:left="340" w:hanging="332"/>
        <w:spacing w:after="0"/>
        <w:tabs>
          <w:tab w:leader="none" w:pos="3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investments of HSLFI are in entities which are organized under the laws of the United States and have a principal place of business in the United States.</w:t>
      </w:r>
    </w:p>
    <w:p>
      <w:pPr>
        <w:spacing w:after="0" w:line="3" w:lineRule="exact"/>
        <w:rPr>
          <w:rFonts w:ascii="Times New Roman" w:cs="Times New Roman" w:eastAsia="Times New Roman" w:hAnsi="Times New Roman"/>
          <w:sz w:val="14"/>
          <w:szCs w:val="14"/>
          <w:color w:val="auto"/>
        </w:rPr>
      </w:pPr>
    </w:p>
    <w:p>
      <w:pPr>
        <w:jc w:val="both"/>
        <w:ind w:left="340" w:hanging="332"/>
        <w:spacing w:after="0" w:line="221" w:lineRule="auto"/>
        <w:tabs>
          <w:tab w:leader="none" w:pos="3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interest is payable in cash due monthly in arrears, unless otherwise indicated, and applies only to HSLFI’s debt investments. Interest rate is the annual interest rate on the debt investment and does not include end-of-term payments, or ETPs, and any additional fees related to the investments, such as deferred interest, commitment fees or prepayment fees. Debt investments are at variable rates for the term of the debt investment, unless otherwise indicated. All debt investments based on the London InterBank Offered Rate, or LIBOR, are based on one-month LIBOR. For each debt investment, the current interest rate in effect as of September 30, 2019 is provided.</w:t>
      </w:r>
    </w:p>
    <w:p>
      <w:pPr>
        <w:spacing w:after="0" w:line="1" w:lineRule="exact"/>
        <w:rPr>
          <w:rFonts w:ascii="Times New Roman" w:cs="Times New Roman" w:eastAsia="Times New Roman" w:hAnsi="Times New Roman"/>
          <w:sz w:val="14"/>
          <w:szCs w:val="14"/>
          <w:color w:val="auto"/>
        </w:rPr>
      </w:pPr>
    </w:p>
    <w:p>
      <w:pPr>
        <w:jc w:val="both"/>
        <w:ind w:left="340" w:hanging="332"/>
        <w:spacing w:after="0"/>
        <w:tabs>
          <w:tab w:leader="none" w:pos="3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ETPs are contractual fixed-interest payments due in cash at the maturity date of the applicable debt investment, including upon any prepayment, and are a fixed percentage of the original principal balance of the debt investments unless otherwise noted. Interest will accrue during the life of the debt investment on each ETP and will be recognized as non-cash income until it is actually paid.</w:t>
      </w:r>
    </w:p>
    <w:p>
      <w:pPr>
        <w:spacing w:after="0" w:line="123" w:lineRule="exact"/>
        <w:rPr>
          <w:rFonts w:ascii="Times New Roman" w:cs="Times New Roman" w:eastAsia="Times New Roman" w:hAnsi="Times New Roman"/>
          <w:sz w:val="14"/>
          <w:szCs w:val="14"/>
          <w:color w:val="auto"/>
        </w:rPr>
      </w:pPr>
    </w:p>
    <w:p>
      <w:pPr>
        <w:ind w:left="340" w:hanging="332"/>
        <w:spacing w:after="0" w:line="221" w:lineRule="auto"/>
        <w:tabs>
          <w:tab w:leader="none" w:pos="3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Warrants are non-income producing.</w:t>
      </w:r>
    </w:p>
    <w:p>
      <w:pPr>
        <w:ind w:left="340" w:hanging="332"/>
        <w:spacing w:after="0" w:line="221" w:lineRule="auto"/>
        <w:tabs>
          <w:tab w:leader="none" w:pos="3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debt investments, represents principal balance less unearned income.</w:t>
      </w:r>
    </w:p>
    <w:p>
      <w:pPr>
        <w:ind w:left="340" w:hanging="332"/>
        <w:spacing w:after="0" w:line="221" w:lineRule="auto"/>
        <w:tabs>
          <w:tab w:leader="none" w:pos="3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Has been pledged as collateral under the NYL Facility.</w:t>
      </w:r>
    </w:p>
    <w:p>
      <w:pPr>
        <w:ind w:left="340" w:hanging="332"/>
        <w:spacing w:after="0" w:line="221" w:lineRule="auto"/>
        <w:tabs>
          <w:tab w:leader="none" w:pos="3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fair value of the investment was valued using significant unobservable inputs.</w:t>
      </w:r>
    </w:p>
    <w:p>
      <w:pPr>
        <w:ind w:left="340" w:hanging="332"/>
        <w:spacing w:after="0" w:line="221" w:lineRule="auto"/>
        <w:tabs>
          <w:tab w:leader="none" w:pos="3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Portfolio company is a public company.</w:t>
      </w:r>
    </w:p>
    <w:p>
      <w:pPr>
        <w:ind w:left="340" w:hanging="332"/>
        <w:spacing w:after="0"/>
        <w:tabs>
          <w:tab w:leader="none" w:pos="3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New Signature US, Inc. is a subsidiary of BSI Platform Holdings, LLC.</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3" w:right="239" w:bottom="1440" w:gutter="0" w:footer="0" w:header="0"/>
        </w:sectPr>
      </w:pPr>
    </w:p>
    <w:bookmarkStart w:id="54" w:name="page55"/>
    <w:bookmarkEnd w:id="54"/>
    <w:p>
      <w:pPr>
        <w:ind w:left="340"/>
        <w:spacing w:after="0"/>
        <w:rPr>
          <w:sz w:val="20"/>
          <w:szCs w:val="20"/>
          <w:color w:val="auto"/>
        </w:rPr>
      </w:pPr>
      <w:r>
        <w:rPr>
          <w:rFonts w:ascii="Times New Roman" w:cs="Times New Roman" w:eastAsia="Times New Roman" w:hAnsi="Times New Roman"/>
          <w:sz w:val="18"/>
          <w:szCs w:val="18"/>
          <w:color w:val="auto"/>
        </w:rPr>
        <w:t>The following table shows HSLFI’s investments as of December 31, 2018:</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Sector</w:t>
            </w:r>
          </w:p>
        </w:tc>
        <w:tc>
          <w:tcPr>
            <w:tcW w:w="2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00" w:type="dxa"/>
            <w:vAlign w:val="bottom"/>
          </w:tcPr>
          <w:p>
            <w:pPr>
              <w:spacing w:after="0"/>
              <w:rPr>
                <w:sz w:val="13"/>
                <w:szCs w:val="13"/>
                <w:color w:val="auto"/>
              </w:rPr>
            </w:pPr>
          </w:p>
        </w:tc>
        <w:tc>
          <w:tcPr>
            <w:tcW w:w="126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Cost of</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204"/>
        </w:trPr>
        <w:tc>
          <w:tcPr>
            <w:tcW w:w="2980" w:type="dxa"/>
            <w:vAlign w:val="bottom"/>
            <w:gridSpan w:val="2"/>
          </w:tcPr>
          <w:p>
            <w:pPr>
              <w:spacing w:after="0" w:line="204" w:lineRule="exact"/>
              <w:rPr>
                <w:sz w:val="20"/>
                <w:szCs w:val="20"/>
                <w:color w:val="auto"/>
              </w:rPr>
            </w:pPr>
            <w:r>
              <w:rPr>
                <w:rFonts w:ascii="Times New Roman" w:cs="Times New Roman" w:eastAsia="Times New Roman" w:hAnsi="Times New Roman"/>
                <w:sz w:val="14"/>
                <w:szCs w:val="14"/>
                <w:b w:val="1"/>
                <w:bCs w:val="1"/>
                <w:color w:val="auto"/>
              </w:rPr>
              <w:t xml:space="preserve">Portfolio Company </w:t>
            </w:r>
            <w:r>
              <w:rPr>
                <w:rFonts w:ascii="Times New Roman" w:cs="Times New Roman" w:eastAsia="Times New Roman" w:hAnsi="Times New Roman"/>
                <w:sz w:val="23"/>
                <w:szCs w:val="23"/>
                <w:b w:val="1"/>
                <w:bCs w:val="1"/>
                <w:color w:val="auto"/>
                <w:vertAlign w:val="superscript"/>
              </w:rPr>
              <w:t>(1)</w:t>
            </w:r>
          </w:p>
        </w:tc>
        <w:tc>
          <w:tcPr>
            <w:tcW w:w="220" w:type="dxa"/>
            <w:vAlign w:val="bottom"/>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2960" w:type="dxa"/>
            <w:vAlign w:val="bottom"/>
            <w:gridSpan w:val="2"/>
          </w:tcPr>
          <w:p>
            <w:pPr>
              <w:ind w:left="540"/>
              <w:spacing w:after="0" w:line="204" w:lineRule="exact"/>
              <w:rPr>
                <w:sz w:val="20"/>
                <w:szCs w:val="20"/>
                <w:color w:val="auto"/>
              </w:rPr>
            </w:pPr>
            <w:r>
              <w:rPr>
                <w:rFonts w:ascii="Times New Roman" w:cs="Times New Roman" w:eastAsia="Times New Roman" w:hAnsi="Times New Roman"/>
                <w:sz w:val="14"/>
                <w:szCs w:val="14"/>
                <w:b w:val="1"/>
                <w:bCs w:val="1"/>
                <w:color w:val="auto"/>
              </w:rPr>
              <w:t xml:space="preserve">Type of Investment </w:t>
            </w:r>
            <w:r>
              <w:rPr>
                <w:rFonts w:ascii="Times New Roman" w:cs="Times New Roman" w:eastAsia="Times New Roman" w:hAnsi="Times New Roman"/>
                <w:sz w:val="23"/>
                <w:szCs w:val="23"/>
                <w:b w:val="1"/>
                <w:bCs w:val="1"/>
                <w:color w:val="auto"/>
                <w:vertAlign w:val="superscript"/>
              </w:rPr>
              <w:t>(2)(3)(4)</w:t>
            </w:r>
          </w:p>
        </w:tc>
        <w:tc>
          <w:tcPr>
            <w:tcW w:w="180" w:type="dxa"/>
            <w:vAlign w:val="bottom"/>
          </w:tcPr>
          <w:p>
            <w:pPr>
              <w:spacing w:after="0"/>
              <w:rPr>
                <w:sz w:val="17"/>
                <w:szCs w:val="17"/>
                <w:color w:val="auto"/>
              </w:rPr>
            </w:pPr>
          </w:p>
        </w:tc>
        <w:tc>
          <w:tcPr>
            <w:tcW w:w="11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7"/>
                <w:szCs w:val="17"/>
                <w:color w:val="auto"/>
              </w:rPr>
            </w:pPr>
          </w:p>
        </w:tc>
        <w:tc>
          <w:tcPr>
            <w:tcW w:w="1260" w:type="dxa"/>
            <w:vAlign w:val="bottom"/>
            <w:gridSpan w:val="2"/>
          </w:tcPr>
          <w:p>
            <w:pPr>
              <w:jc w:val="right"/>
              <w:ind w:right="340"/>
              <w:spacing w:after="0" w:line="204" w:lineRule="exact"/>
              <w:rPr>
                <w:sz w:val="20"/>
                <w:szCs w:val="20"/>
                <w:color w:val="auto"/>
              </w:rPr>
            </w:pPr>
            <w:r>
              <w:rPr>
                <w:rFonts w:ascii="Times New Roman" w:cs="Times New Roman" w:eastAsia="Times New Roman" w:hAnsi="Times New Roman"/>
                <w:sz w:val="14"/>
                <w:szCs w:val="14"/>
                <w:b w:val="1"/>
                <w:bCs w:val="1"/>
                <w:color w:val="auto"/>
                <w:w w:val="99"/>
              </w:rPr>
              <w:t>Investments</w:t>
            </w:r>
            <w:r>
              <w:rPr>
                <w:rFonts w:ascii="Times New Roman" w:cs="Times New Roman" w:eastAsia="Times New Roman" w:hAnsi="Times New Roman"/>
                <w:sz w:val="23"/>
                <w:szCs w:val="23"/>
                <w:b w:val="1"/>
                <w:bCs w:val="1"/>
                <w:color w:val="auto"/>
                <w:w w:val="99"/>
                <w:vertAlign w:val="superscript"/>
              </w:rPr>
              <w:t>(5)</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2740" w:type="dxa"/>
            <w:vAlign w:val="bottom"/>
            <w:tcBorders>
              <w:top w:val="single" w:sz="8" w:color="auto"/>
            </w:tcBorders>
          </w:tcPr>
          <w:p>
            <w:pPr>
              <w:ind w:left="540"/>
              <w:spacing w:after="0" w:line="155"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2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Debt Investments — Life science</w:t>
            </w:r>
          </w:p>
        </w:tc>
        <w:tc>
          <w:tcPr>
            <w:tcW w:w="2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9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Celsion Corporation (6)(7)(8)</w:t>
            </w:r>
          </w:p>
        </w:tc>
        <w:tc>
          <w:tcPr>
            <w:tcW w:w="220" w:type="dxa"/>
            <w:vAlign w:val="bottom"/>
          </w:tcPr>
          <w:p>
            <w:pPr>
              <w:spacing w:after="0"/>
              <w:rPr>
                <w:sz w:val="10"/>
                <w:szCs w:val="10"/>
                <w:color w:val="auto"/>
              </w:rPr>
            </w:pPr>
          </w:p>
        </w:tc>
        <w:tc>
          <w:tcPr>
            <w:tcW w:w="13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Biotechnology</w:t>
            </w:r>
          </w:p>
        </w:tc>
        <w:tc>
          <w:tcPr>
            <w:tcW w:w="29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Term Loan (9.98% cash (Libor + 7.63%; Floor</w:t>
            </w:r>
          </w:p>
        </w:tc>
        <w:tc>
          <w:tcPr>
            <w:tcW w:w="1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2,500</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2,449</w:t>
            </w:r>
          </w:p>
        </w:tc>
        <w:tc>
          <w:tcPr>
            <w:tcW w:w="240" w:type="dxa"/>
            <w:vAlign w:val="bottom"/>
            <w:gridSpan w:val="2"/>
            <w:vMerge w:val="restart"/>
          </w:tcPr>
          <w:p>
            <w:pPr>
              <w:jc w:val="right"/>
              <w:ind w:right="154"/>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2,449</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9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9.63%), 4.00% ETP, Due 7/1/22)</w:t>
            </w:r>
          </w:p>
        </w:tc>
        <w:tc>
          <w:tcPr>
            <w:tcW w:w="180" w:type="dxa"/>
            <w:vAlign w:val="bottom"/>
            <w:vMerge w:val="continue"/>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4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9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Term Loan (9.98% cash (Libor + 7.63%; Floor</w:t>
            </w: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9.63%), 4.00% ETP, Due 7/1/22)</w:t>
            </w:r>
          </w:p>
        </w:tc>
        <w:tc>
          <w:tcPr>
            <w:tcW w:w="180" w:type="dxa"/>
            <w:vAlign w:val="bottom"/>
          </w:tcPr>
          <w:p>
            <w:pPr>
              <w:spacing w:after="0"/>
              <w:rPr>
                <w:sz w:val="16"/>
                <w:szCs w:val="16"/>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2,500</w:t>
            </w:r>
          </w:p>
        </w:tc>
        <w:tc>
          <w:tcPr>
            <w:tcW w:w="100" w:type="dxa"/>
            <w:vAlign w:val="bottom"/>
          </w:tcPr>
          <w:p>
            <w:pPr>
              <w:spacing w:after="0"/>
              <w:rPr>
                <w:sz w:val="16"/>
                <w:szCs w:val="16"/>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2,449</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2,449</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6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 Debt Investments — Life science</w:t>
            </w:r>
          </w:p>
        </w:tc>
        <w:tc>
          <w:tcPr>
            <w:tcW w:w="220" w:type="dxa"/>
            <w:vAlign w:val="bottom"/>
            <w:tcBorders>
              <w:top w:val="single" w:sz="8" w:color="CCEEFF"/>
            </w:tcBorders>
            <w:shd w:val="clear" w:color="auto" w:fill="CCEEFF"/>
          </w:tcPr>
          <w:p>
            <w:pPr>
              <w:spacing w:after="0"/>
              <w:rPr>
                <w:sz w:val="12"/>
                <w:szCs w:val="12"/>
                <w:color w:val="auto"/>
              </w:rPr>
            </w:pPr>
          </w:p>
        </w:tc>
        <w:tc>
          <w:tcPr>
            <w:tcW w:w="104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274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9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10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4,898</w:t>
            </w:r>
          </w:p>
        </w:tc>
        <w:tc>
          <w:tcPr>
            <w:tcW w:w="2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spacing w:after="0"/>
              <w:rPr>
                <w:sz w:val="12"/>
                <w:szCs w:val="12"/>
                <w:color w:val="auto"/>
              </w:rPr>
            </w:pP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4,898</w:t>
            </w: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6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Debt Investments — Technology</w:t>
            </w: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9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Intelepeer Holdings, Inc. (6)(7)</w:t>
            </w:r>
          </w:p>
        </w:tc>
        <w:tc>
          <w:tcPr>
            <w:tcW w:w="220" w:type="dxa"/>
            <w:vAlign w:val="bottom"/>
            <w:shd w:val="clear" w:color="auto" w:fill="CCEEFF"/>
          </w:tcPr>
          <w:p>
            <w:pPr>
              <w:spacing w:after="0"/>
              <w:rPr>
                <w:sz w:val="10"/>
                <w:szCs w:val="10"/>
                <w:color w:val="auto"/>
              </w:rPr>
            </w:pPr>
          </w:p>
        </w:tc>
        <w:tc>
          <w:tcPr>
            <w:tcW w:w="13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Communications</w:t>
            </w:r>
          </w:p>
        </w:tc>
        <w:tc>
          <w:tcPr>
            <w:tcW w:w="29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Term Loan (12.30% cash (Libor + 9.95%;</w:t>
            </w:r>
          </w:p>
        </w:tc>
        <w:tc>
          <w:tcPr>
            <w:tcW w:w="180" w:type="dxa"/>
            <w:vAlign w:val="bottom"/>
            <w:shd w:val="clear" w:color="auto" w:fill="CCEEFF"/>
          </w:tcPr>
          <w:p>
            <w:pPr>
              <w:spacing w:after="0"/>
              <w:rPr>
                <w:sz w:val="10"/>
                <w:szCs w:val="10"/>
                <w:color w:val="auto"/>
              </w:rPr>
            </w:pPr>
          </w:p>
        </w:tc>
        <w:tc>
          <w:tcPr>
            <w:tcW w:w="11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4,000</w:t>
            </w:r>
          </w:p>
        </w:tc>
        <w:tc>
          <w:tcPr>
            <w:tcW w:w="100" w:type="dxa"/>
            <w:vAlign w:val="bottom"/>
            <w:shd w:val="clear" w:color="auto" w:fill="CCEEFF"/>
          </w:tcPr>
          <w:p>
            <w:pPr>
              <w:spacing w:after="0"/>
              <w:rPr>
                <w:sz w:val="10"/>
                <w:szCs w:val="10"/>
                <w:color w:val="auto"/>
              </w:rPr>
            </w:pPr>
          </w:p>
        </w:tc>
        <w:tc>
          <w:tcPr>
            <w:tcW w:w="12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3,948</w:t>
            </w: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3,948</w:t>
            </w: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9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Floor 11.25%), 2.50% ETP, Due 7/1/21)</w:t>
            </w:r>
          </w:p>
        </w:tc>
        <w:tc>
          <w:tcPr>
            <w:tcW w:w="180" w:type="dxa"/>
            <w:vAlign w:val="bottom"/>
            <w:shd w:val="clear" w:color="auto" w:fill="CCEEFF"/>
          </w:tcPr>
          <w:p>
            <w:pPr>
              <w:spacing w:after="0"/>
              <w:rPr>
                <w:sz w:val="12"/>
                <w:szCs w:val="12"/>
                <w:color w:val="auto"/>
              </w:rPr>
            </w:pPr>
          </w:p>
        </w:tc>
        <w:tc>
          <w:tcPr>
            <w:tcW w:w="1180" w:type="dxa"/>
            <w:vAlign w:val="bottom"/>
            <w:gridSpan w:val="2"/>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gridSpan w:val="2"/>
            <w:vMerge w:val="continue"/>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gridSpan w:val="2"/>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9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Term Loan (12.30% cash (Libor + 9.95%;</w:t>
            </w:r>
          </w:p>
        </w:tc>
        <w:tc>
          <w:tcPr>
            <w:tcW w:w="180" w:type="dxa"/>
            <w:vAlign w:val="bottom"/>
            <w:shd w:val="clear" w:color="auto" w:fill="CCEEFF"/>
          </w:tcPr>
          <w:p>
            <w:pPr>
              <w:spacing w:after="0"/>
              <w:rPr>
                <w:sz w:val="12"/>
                <w:szCs w:val="12"/>
                <w:color w:val="auto"/>
              </w:rPr>
            </w:pPr>
          </w:p>
        </w:tc>
        <w:tc>
          <w:tcPr>
            <w:tcW w:w="11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4,000</w:t>
            </w:r>
          </w:p>
        </w:tc>
        <w:tc>
          <w:tcPr>
            <w:tcW w:w="100" w:type="dxa"/>
            <w:vAlign w:val="bottom"/>
            <w:shd w:val="clear" w:color="auto" w:fill="CCEEFF"/>
          </w:tcPr>
          <w:p>
            <w:pPr>
              <w:spacing w:after="0"/>
              <w:rPr>
                <w:sz w:val="12"/>
                <w:szCs w:val="12"/>
                <w:color w:val="auto"/>
              </w:rPr>
            </w:pPr>
          </w:p>
        </w:tc>
        <w:tc>
          <w:tcPr>
            <w:tcW w:w="12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3,948</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3,948</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9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Floor 11.25%), 2.50% ETP, Due 7/1/21)</w:t>
            </w:r>
          </w:p>
        </w:tc>
        <w:tc>
          <w:tcPr>
            <w:tcW w:w="180" w:type="dxa"/>
            <w:vAlign w:val="bottom"/>
            <w:shd w:val="clear" w:color="auto" w:fill="CCEEFF"/>
          </w:tcPr>
          <w:p>
            <w:pPr>
              <w:spacing w:after="0"/>
              <w:rPr>
                <w:sz w:val="12"/>
                <w:szCs w:val="12"/>
                <w:color w:val="auto"/>
              </w:rPr>
            </w:pPr>
          </w:p>
        </w:tc>
        <w:tc>
          <w:tcPr>
            <w:tcW w:w="1180" w:type="dxa"/>
            <w:vAlign w:val="bottom"/>
            <w:gridSpan w:val="2"/>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gridSpan w:val="2"/>
            <w:vMerge w:val="continue"/>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gridSpan w:val="2"/>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New Signature US, Inc. (6)(7)(9)</w:t>
            </w:r>
          </w:p>
        </w:tc>
        <w:tc>
          <w:tcPr>
            <w:tcW w:w="22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Software</w:t>
            </w:r>
          </w:p>
        </w:tc>
        <w:tc>
          <w:tcPr>
            <w:tcW w:w="29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Term Loan (10.85% cash (Libor + 8.50%;</w:t>
            </w:r>
          </w:p>
        </w:tc>
        <w:tc>
          <w:tcPr>
            <w:tcW w:w="1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Floor 10.50%), 3.50% ETP, Due 7/1/22)</w:t>
            </w:r>
          </w:p>
        </w:tc>
        <w:tc>
          <w:tcPr>
            <w:tcW w:w="18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8,250</w:t>
            </w: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8,098</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8,098</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6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color w:val="auto"/>
              </w:rPr>
              <w:t>Total Debt Investments — Technology</w:t>
            </w:r>
          </w:p>
        </w:tc>
        <w:tc>
          <w:tcPr>
            <w:tcW w:w="220" w:type="dxa"/>
            <w:vAlign w:val="bottom"/>
            <w:tcBorders>
              <w:bottom w:val="single" w:sz="8" w:color="CCEEFF"/>
            </w:tcBorders>
          </w:tcPr>
          <w:p>
            <w:pPr>
              <w:spacing w:after="0"/>
              <w:rPr>
                <w:sz w:val="12"/>
                <w:szCs w:val="12"/>
                <w:color w:val="auto"/>
              </w:rPr>
            </w:pPr>
          </w:p>
        </w:tc>
        <w:tc>
          <w:tcPr>
            <w:tcW w:w="104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274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98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15,994</w:t>
            </w:r>
          </w:p>
        </w:tc>
        <w:tc>
          <w:tcPr>
            <w:tcW w:w="2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15,994</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960" w:type="dxa"/>
            <w:vAlign w:val="bottom"/>
            <w:shd w:val="clear" w:color="auto" w:fill="CCEEFF"/>
          </w:tcPr>
          <w:p>
            <w:pPr>
              <w:spacing w:after="0" w:line="104" w:lineRule="exact"/>
              <w:rPr>
                <w:sz w:val="20"/>
                <w:szCs w:val="20"/>
                <w:color w:val="auto"/>
              </w:rPr>
            </w:pPr>
            <w:r>
              <w:rPr>
                <w:rFonts w:ascii="Times New Roman" w:cs="Times New Roman" w:eastAsia="Times New Roman" w:hAnsi="Times New Roman"/>
                <w:sz w:val="12"/>
                <w:szCs w:val="12"/>
                <w:b w:val="1"/>
                <w:bCs w:val="1"/>
                <w:color w:val="auto"/>
              </w:rPr>
              <w:t>Debt Investments — Healthcare information</w:t>
            </w:r>
          </w:p>
        </w:tc>
        <w:tc>
          <w:tcPr>
            <w:tcW w:w="22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27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and services</w:t>
            </w: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7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9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HealthEdge Software, Inc. (6)(7)</w:t>
            </w:r>
          </w:p>
        </w:tc>
        <w:tc>
          <w:tcPr>
            <w:tcW w:w="220" w:type="dxa"/>
            <w:vAlign w:val="bottom"/>
          </w:tcPr>
          <w:p>
            <w:pPr>
              <w:spacing w:after="0"/>
              <w:rPr>
                <w:sz w:val="10"/>
                <w:szCs w:val="10"/>
                <w:color w:val="auto"/>
              </w:rPr>
            </w:pPr>
          </w:p>
        </w:tc>
        <w:tc>
          <w:tcPr>
            <w:tcW w:w="13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Software</w:t>
            </w:r>
          </w:p>
        </w:tc>
        <w:tc>
          <w:tcPr>
            <w:tcW w:w="29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Term Loan (10.60% cash (Libor + 8.25%;</w:t>
            </w: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Floor 9.25%), 3.00% ETP, Due 10/1/23)</w:t>
            </w:r>
          </w:p>
        </w:tc>
        <w:tc>
          <w:tcPr>
            <w:tcW w:w="180" w:type="dxa"/>
            <w:vAlign w:val="bottom"/>
          </w:tcPr>
          <w:p>
            <w:pPr>
              <w:spacing w:after="0"/>
              <w:rPr>
                <w:sz w:val="16"/>
                <w:szCs w:val="16"/>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3,750</w:t>
            </w:r>
          </w:p>
        </w:tc>
        <w:tc>
          <w:tcPr>
            <w:tcW w:w="100" w:type="dxa"/>
            <w:vAlign w:val="bottom"/>
          </w:tcPr>
          <w:p>
            <w:pPr>
              <w:spacing w:after="0"/>
              <w:rPr>
                <w:sz w:val="16"/>
                <w:szCs w:val="16"/>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3,699</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3,699</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960" w:type="dxa"/>
            <w:vAlign w:val="bottom"/>
            <w:tcBorders>
              <w:top w:val="single" w:sz="8" w:color="CCEEFF"/>
            </w:tcBorders>
            <w:shd w:val="clear" w:color="auto" w:fill="CCEEFF"/>
          </w:tcPr>
          <w:p>
            <w:pPr>
              <w:spacing w:after="0" w:line="106" w:lineRule="exact"/>
              <w:rPr>
                <w:sz w:val="20"/>
                <w:szCs w:val="20"/>
                <w:color w:val="auto"/>
              </w:rPr>
            </w:pPr>
            <w:r>
              <w:rPr>
                <w:rFonts w:ascii="Times New Roman" w:cs="Times New Roman" w:eastAsia="Times New Roman" w:hAnsi="Times New Roman"/>
                <w:sz w:val="12"/>
                <w:szCs w:val="12"/>
                <w:color w:val="auto"/>
              </w:rPr>
              <w:t>Total Debt Investments — Healthcare information</w:t>
            </w:r>
          </w:p>
        </w:tc>
        <w:tc>
          <w:tcPr>
            <w:tcW w:w="220" w:type="dxa"/>
            <w:vAlign w:val="bottom"/>
            <w:tcBorders>
              <w:top w:val="single" w:sz="8" w:color="CCEEFF"/>
            </w:tcBorders>
            <w:shd w:val="clear" w:color="auto" w:fill="CCEEFF"/>
          </w:tcPr>
          <w:p>
            <w:pPr>
              <w:spacing w:after="0"/>
              <w:rPr>
                <w:sz w:val="9"/>
                <w:szCs w:val="9"/>
                <w:color w:val="auto"/>
              </w:rPr>
            </w:pPr>
          </w:p>
        </w:tc>
        <w:tc>
          <w:tcPr>
            <w:tcW w:w="1040" w:type="dxa"/>
            <w:vAlign w:val="bottom"/>
            <w:tcBorders>
              <w:top w:val="single" w:sz="8" w:color="CCEEFF"/>
            </w:tcBorders>
            <w:shd w:val="clear" w:color="auto" w:fill="CCEEFF"/>
          </w:tcPr>
          <w:p>
            <w:pPr>
              <w:spacing w:after="0"/>
              <w:rPr>
                <w:sz w:val="9"/>
                <w:szCs w:val="9"/>
                <w:color w:val="auto"/>
              </w:rPr>
            </w:pPr>
          </w:p>
        </w:tc>
        <w:tc>
          <w:tcPr>
            <w:tcW w:w="260" w:type="dxa"/>
            <w:vAlign w:val="bottom"/>
            <w:tcBorders>
              <w:top w:val="single" w:sz="8" w:color="CCEEFF"/>
            </w:tcBorders>
            <w:shd w:val="clear" w:color="auto" w:fill="CCEEFF"/>
          </w:tcPr>
          <w:p>
            <w:pPr>
              <w:spacing w:after="0"/>
              <w:rPr>
                <w:sz w:val="9"/>
                <w:szCs w:val="9"/>
                <w:color w:val="auto"/>
              </w:rPr>
            </w:pPr>
          </w:p>
        </w:tc>
        <w:tc>
          <w:tcPr>
            <w:tcW w:w="2740" w:type="dxa"/>
            <w:vAlign w:val="bottom"/>
            <w:tcBorders>
              <w:top w:val="single" w:sz="8" w:color="CCEEFF"/>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CCEEFF"/>
            </w:tcBorders>
            <w:shd w:val="clear" w:color="auto" w:fill="CCEEFF"/>
          </w:tcPr>
          <w:p>
            <w:pPr>
              <w:spacing w:after="0"/>
              <w:rPr>
                <w:sz w:val="9"/>
                <w:szCs w:val="9"/>
                <w:color w:val="auto"/>
              </w:rPr>
            </w:pPr>
          </w:p>
        </w:tc>
        <w:tc>
          <w:tcPr>
            <w:tcW w:w="98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104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220" w:type="dxa"/>
            <w:vAlign w:val="bottom"/>
            <w:tcBorders>
              <w:top w:val="single" w:sz="8" w:color="auto"/>
            </w:tcBorders>
            <w:shd w:val="clear" w:color="auto" w:fill="CCEEFF"/>
          </w:tcPr>
          <w:p>
            <w:pPr>
              <w:spacing w:after="0"/>
              <w:rPr>
                <w:sz w:val="9"/>
                <w:szCs w:val="9"/>
                <w:color w:val="auto"/>
              </w:rPr>
            </w:pPr>
          </w:p>
        </w:tc>
        <w:tc>
          <w:tcPr>
            <w:tcW w:w="90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and services</w:t>
            </w: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7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3,699</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3,699</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6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Debt Investments</w:t>
            </w:r>
          </w:p>
        </w:tc>
        <w:tc>
          <w:tcPr>
            <w:tcW w:w="220" w:type="dxa"/>
            <w:vAlign w:val="bottom"/>
            <w:tcBorders>
              <w:bottom w:val="single" w:sz="8" w:color="CCEEFF"/>
            </w:tcBorders>
          </w:tcPr>
          <w:p>
            <w:pPr>
              <w:spacing w:after="0"/>
              <w:rPr>
                <w:sz w:val="12"/>
                <w:szCs w:val="12"/>
                <w:color w:val="auto"/>
              </w:rPr>
            </w:pPr>
          </w:p>
        </w:tc>
        <w:tc>
          <w:tcPr>
            <w:tcW w:w="104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274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98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24,591</w:t>
            </w:r>
          </w:p>
        </w:tc>
        <w:tc>
          <w:tcPr>
            <w:tcW w:w="2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24,591</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96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Warrant Investments — Life science</w:t>
            </w: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Celsion Corporation (6)(7)(8)</w:t>
            </w:r>
          </w:p>
        </w:tc>
        <w:tc>
          <w:tcPr>
            <w:tcW w:w="22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Biotechnology</w:t>
            </w:r>
          </w:p>
        </w:tc>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95,057 Common Stock Warrants</w:t>
            </w:r>
          </w:p>
        </w:tc>
        <w:tc>
          <w:tcPr>
            <w:tcW w:w="1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58</w:t>
            </w: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6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color w:val="auto"/>
              </w:rPr>
              <w:t>Total Warrant Investments — Life science</w:t>
            </w:r>
          </w:p>
        </w:tc>
        <w:tc>
          <w:tcPr>
            <w:tcW w:w="220" w:type="dxa"/>
            <w:vAlign w:val="bottom"/>
            <w:tcBorders>
              <w:bottom w:val="single" w:sz="8" w:color="CCEEFF"/>
            </w:tcBorders>
          </w:tcPr>
          <w:p>
            <w:pPr>
              <w:spacing w:after="0"/>
              <w:rPr>
                <w:sz w:val="12"/>
                <w:szCs w:val="12"/>
                <w:color w:val="auto"/>
              </w:rPr>
            </w:pPr>
          </w:p>
        </w:tc>
        <w:tc>
          <w:tcPr>
            <w:tcW w:w="104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274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98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58</w:t>
            </w:r>
          </w:p>
        </w:tc>
        <w:tc>
          <w:tcPr>
            <w:tcW w:w="2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6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Warrant Investments — Technology</w:t>
            </w:r>
          </w:p>
        </w:tc>
        <w:tc>
          <w:tcPr>
            <w:tcW w:w="2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Intelepeer Holdings, Inc. (6)(7)</w:t>
            </w:r>
          </w:p>
        </w:tc>
        <w:tc>
          <w:tcPr>
            <w:tcW w:w="220" w:type="dxa"/>
            <w:vAlign w:val="bottom"/>
          </w:tcPr>
          <w:p>
            <w:pPr>
              <w:spacing w:after="0"/>
              <w:rPr>
                <w:sz w:val="12"/>
                <w:szCs w:val="12"/>
                <w:color w:val="auto"/>
              </w:rPr>
            </w:pPr>
          </w:p>
        </w:tc>
        <w:tc>
          <w:tcPr>
            <w:tcW w:w="13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Communications</w:t>
            </w:r>
          </w:p>
        </w:tc>
        <w:tc>
          <w:tcPr>
            <w:tcW w:w="29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1,280,000 Preferred Stock Warrants</w:t>
            </w: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49</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70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BSI Platform Holdings, LLC (6)(7)(9)</w:t>
            </w:r>
          </w:p>
        </w:tc>
        <w:tc>
          <w:tcPr>
            <w:tcW w:w="22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Software</w:t>
            </w:r>
          </w:p>
        </w:tc>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412,500 Preferred Stock Warrants</w:t>
            </w:r>
          </w:p>
        </w:tc>
        <w:tc>
          <w:tcPr>
            <w:tcW w:w="1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57</w:t>
            </w: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56</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6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color w:val="auto"/>
              </w:rPr>
              <w:t>Total Warrant Investments — Technology</w:t>
            </w:r>
          </w:p>
        </w:tc>
        <w:tc>
          <w:tcPr>
            <w:tcW w:w="220" w:type="dxa"/>
            <w:vAlign w:val="bottom"/>
            <w:tcBorders>
              <w:bottom w:val="single" w:sz="8" w:color="CCEEFF"/>
            </w:tcBorders>
          </w:tcPr>
          <w:p>
            <w:pPr>
              <w:spacing w:after="0"/>
              <w:rPr>
                <w:sz w:val="12"/>
                <w:szCs w:val="12"/>
                <w:color w:val="auto"/>
              </w:rPr>
            </w:pPr>
          </w:p>
        </w:tc>
        <w:tc>
          <w:tcPr>
            <w:tcW w:w="104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274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98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106</w:t>
            </w:r>
          </w:p>
        </w:tc>
        <w:tc>
          <w:tcPr>
            <w:tcW w:w="2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126</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960" w:type="dxa"/>
            <w:vAlign w:val="bottom"/>
            <w:shd w:val="clear" w:color="auto" w:fill="CCEEFF"/>
          </w:tcPr>
          <w:p>
            <w:pPr>
              <w:spacing w:after="0" w:line="104" w:lineRule="exact"/>
              <w:rPr>
                <w:sz w:val="20"/>
                <w:szCs w:val="20"/>
                <w:color w:val="auto"/>
              </w:rPr>
            </w:pPr>
            <w:r>
              <w:rPr>
                <w:rFonts w:ascii="Times New Roman" w:cs="Times New Roman" w:eastAsia="Times New Roman" w:hAnsi="Times New Roman"/>
                <w:sz w:val="12"/>
                <w:szCs w:val="12"/>
                <w:b w:val="1"/>
                <w:bCs w:val="1"/>
                <w:color w:val="auto"/>
              </w:rPr>
              <w:t>Warrant Investments — Healthcare</w:t>
            </w:r>
          </w:p>
        </w:tc>
        <w:tc>
          <w:tcPr>
            <w:tcW w:w="22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27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information and services</w:t>
            </w: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7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960" w:type="dxa"/>
            <w:vAlign w:val="bottom"/>
          </w:tcPr>
          <w:p>
            <w:pPr>
              <w:spacing w:after="0"/>
              <w:rPr>
                <w:sz w:val="20"/>
                <w:szCs w:val="20"/>
                <w:color w:val="auto"/>
              </w:rPr>
            </w:pPr>
            <w:r>
              <w:rPr>
                <w:rFonts w:ascii="Times New Roman" w:cs="Times New Roman" w:eastAsia="Times New Roman" w:hAnsi="Times New Roman"/>
                <w:sz w:val="14"/>
                <w:szCs w:val="14"/>
                <w:color w:val="auto"/>
              </w:rPr>
              <w:t>HealthEdge Software, Inc. (6)(7)</w:t>
            </w:r>
          </w:p>
        </w:tc>
        <w:tc>
          <w:tcPr>
            <w:tcW w:w="220" w:type="dxa"/>
            <w:vAlign w:val="bottom"/>
          </w:tcPr>
          <w:p>
            <w:pPr>
              <w:spacing w:after="0"/>
              <w:rPr>
                <w:sz w:val="14"/>
                <w:szCs w:val="14"/>
                <w:color w:val="auto"/>
              </w:rPr>
            </w:pPr>
          </w:p>
        </w:tc>
        <w:tc>
          <w:tcPr>
            <w:tcW w:w="1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Software</w:t>
            </w:r>
          </w:p>
        </w:tc>
        <w:tc>
          <w:tcPr>
            <w:tcW w:w="2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47,418 Preferred Stock Warrants</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16</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960" w:type="dxa"/>
            <w:vAlign w:val="bottom"/>
            <w:tcBorders>
              <w:top w:val="single" w:sz="8" w:color="CCEEFF"/>
            </w:tcBorders>
            <w:shd w:val="clear" w:color="auto" w:fill="CCEEFF"/>
          </w:tcPr>
          <w:p>
            <w:pPr>
              <w:spacing w:after="0" w:line="106" w:lineRule="exact"/>
              <w:rPr>
                <w:sz w:val="20"/>
                <w:szCs w:val="20"/>
                <w:color w:val="auto"/>
              </w:rPr>
            </w:pPr>
            <w:r>
              <w:rPr>
                <w:rFonts w:ascii="Times New Roman" w:cs="Times New Roman" w:eastAsia="Times New Roman" w:hAnsi="Times New Roman"/>
                <w:sz w:val="12"/>
                <w:szCs w:val="12"/>
                <w:color w:val="auto"/>
              </w:rPr>
              <w:t>Total Warrant Investments — Healthcare</w:t>
            </w:r>
          </w:p>
        </w:tc>
        <w:tc>
          <w:tcPr>
            <w:tcW w:w="220" w:type="dxa"/>
            <w:vAlign w:val="bottom"/>
            <w:tcBorders>
              <w:top w:val="single" w:sz="8" w:color="CCEEFF"/>
            </w:tcBorders>
            <w:shd w:val="clear" w:color="auto" w:fill="CCEEFF"/>
          </w:tcPr>
          <w:p>
            <w:pPr>
              <w:spacing w:after="0"/>
              <w:rPr>
                <w:sz w:val="9"/>
                <w:szCs w:val="9"/>
                <w:color w:val="auto"/>
              </w:rPr>
            </w:pPr>
          </w:p>
        </w:tc>
        <w:tc>
          <w:tcPr>
            <w:tcW w:w="1040" w:type="dxa"/>
            <w:vAlign w:val="bottom"/>
            <w:tcBorders>
              <w:top w:val="single" w:sz="8" w:color="CCEEFF"/>
            </w:tcBorders>
            <w:shd w:val="clear" w:color="auto" w:fill="CCEEFF"/>
          </w:tcPr>
          <w:p>
            <w:pPr>
              <w:spacing w:after="0"/>
              <w:rPr>
                <w:sz w:val="9"/>
                <w:szCs w:val="9"/>
                <w:color w:val="auto"/>
              </w:rPr>
            </w:pPr>
          </w:p>
        </w:tc>
        <w:tc>
          <w:tcPr>
            <w:tcW w:w="260" w:type="dxa"/>
            <w:vAlign w:val="bottom"/>
            <w:tcBorders>
              <w:top w:val="single" w:sz="8" w:color="CCEEFF"/>
            </w:tcBorders>
            <w:shd w:val="clear" w:color="auto" w:fill="CCEEFF"/>
          </w:tcPr>
          <w:p>
            <w:pPr>
              <w:spacing w:after="0"/>
              <w:rPr>
                <w:sz w:val="9"/>
                <w:szCs w:val="9"/>
                <w:color w:val="auto"/>
              </w:rPr>
            </w:pPr>
          </w:p>
        </w:tc>
        <w:tc>
          <w:tcPr>
            <w:tcW w:w="2740" w:type="dxa"/>
            <w:vAlign w:val="bottom"/>
            <w:tcBorders>
              <w:top w:val="single" w:sz="8" w:color="CCEEFF"/>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CCEEFF"/>
            </w:tcBorders>
            <w:shd w:val="clear" w:color="auto" w:fill="CCEEFF"/>
          </w:tcPr>
          <w:p>
            <w:pPr>
              <w:spacing w:after="0"/>
              <w:rPr>
                <w:sz w:val="9"/>
                <w:szCs w:val="9"/>
                <w:color w:val="auto"/>
              </w:rPr>
            </w:pPr>
          </w:p>
        </w:tc>
        <w:tc>
          <w:tcPr>
            <w:tcW w:w="98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104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220" w:type="dxa"/>
            <w:vAlign w:val="bottom"/>
            <w:tcBorders>
              <w:top w:val="single" w:sz="8" w:color="auto"/>
            </w:tcBorders>
            <w:shd w:val="clear" w:color="auto" w:fill="CCEEFF"/>
          </w:tcPr>
          <w:p>
            <w:pPr>
              <w:spacing w:after="0"/>
              <w:rPr>
                <w:sz w:val="9"/>
                <w:szCs w:val="9"/>
                <w:color w:val="auto"/>
              </w:rPr>
            </w:pPr>
          </w:p>
        </w:tc>
        <w:tc>
          <w:tcPr>
            <w:tcW w:w="90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information and services</w:t>
            </w: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7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16</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6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Warrant Investments</w:t>
            </w:r>
          </w:p>
        </w:tc>
        <w:tc>
          <w:tcPr>
            <w:tcW w:w="220" w:type="dxa"/>
            <w:vAlign w:val="bottom"/>
            <w:tcBorders>
              <w:bottom w:val="single" w:sz="8" w:color="CCEEFF"/>
            </w:tcBorders>
          </w:tcPr>
          <w:p>
            <w:pPr>
              <w:spacing w:after="0"/>
              <w:rPr>
                <w:sz w:val="12"/>
                <w:szCs w:val="12"/>
                <w:color w:val="auto"/>
              </w:rPr>
            </w:pPr>
          </w:p>
        </w:tc>
        <w:tc>
          <w:tcPr>
            <w:tcW w:w="104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274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98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180</w:t>
            </w:r>
          </w:p>
        </w:tc>
        <w:tc>
          <w:tcPr>
            <w:tcW w:w="2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143</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60" w:type="dxa"/>
            <w:vAlign w:val="bottom"/>
            <w:tcBorders>
              <w:bottom w:val="single" w:sz="8" w:color="CCEEFF"/>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Total Portfolio Investment Assets</w:t>
            </w:r>
          </w:p>
        </w:tc>
        <w:tc>
          <w:tcPr>
            <w:tcW w:w="220" w:type="dxa"/>
            <w:vAlign w:val="bottom"/>
            <w:tcBorders>
              <w:bottom w:val="single" w:sz="8" w:color="CCEEFF"/>
            </w:tcBorders>
          </w:tcPr>
          <w:p>
            <w:pPr>
              <w:spacing w:after="0"/>
              <w:rPr>
                <w:sz w:val="17"/>
                <w:szCs w:val="17"/>
                <w:color w:val="auto"/>
              </w:rPr>
            </w:pPr>
          </w:p>
        </w:tc>
        <w:tc>
          <w:tcPr>
            <w:tcW w:w="1040" w:type="dxa"/>
            <w:vAlign w:val="bottom"/>
            <w:tcBorders>
              <w:bottom w:val="single" w:sz="8" w:color="CCEEFF"/>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274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98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24,771</w:t>
            </w:r>
          </w:p>
        </w:tc>
        <w:tc>
          <w:tcPr>
            <w:tcW w:w="2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5"/>
                <w:szCs w:val="5"/>
                <w:color w:val="auto"/>
                <w:w w:val="78"/>
              </w:rPr>
              <w:t>$</w:t>
            </w:r>
          </w:p>
        </w:tc>
        <w:tc>
          <w:tcPr>
            <w:tcW w:w="9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24,734</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9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0" w:type="dxa"/>
            <w:vAlign w:val="bottom"/>
            <w:vMerge w:val="continue"/>
          </w:tcPr>
          <w:p>
            <w:pPr>
              <w:spacing w:after="0"/>
              <w:rPr>
                <w:sz w:val="10"/>
                <w:szCs w:val="10"/>
                <w:color w:val="auto"/>
              </w:rPr>
            </w:pPr>
          </w:p>
        </w:tc>
        <w:tc>
          <w:tcPr>
            <w:tcW w:w="2960" w:type="dxa"/>
            <w:vAlign w:val="bottom"/>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Short Term Investments — Unrestricted</w:t>
            </w:r>
          </w:p>
        </w:tc>
        <w:tc>
          <w:tcPr>
            <w:tcW w:w="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9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US Bank Money Market Deposit Account (6)</w:t>
            </w: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74</w:t>
            </w:r>
          </w:p>
        </w:tc>
        <w:tc>
          <w:tcPr>
            <w:tcW w:w="240" w:type="dxa"/>
            <w:vAlign w:val="bottom"/>
            <w:gridSpan w:val="2"/>
            <w:shd w:val="clear" w:color="auto" w:fill="CCEEFF"/>
          </w:tcPr>
          <w:p>
            <w:pPr>
              <w:jc w:val="right"/>
              <w:ind w:right="154"/>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74</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960" w:type="dxa"/>
            <w:vAlign w:val="bottom"/>
          </w:tcPr>
          <w:p>
            <w:pPr>
              <w:spacing w:after="0" w:line="104" w:lineRule="exact"/>
              <w:rPr>
                <w:sz w:val="20"/>
                <w:szCs w:val="20"/>
                <w:color w:val="auto"/>
              </w:rPr>
            </w:pPr>
            <w:r>
              <w:rPr>
                <w:rFonts w:ascii="Times New Roman" w:cs="Times New Roman" w:eastAsia="Times New Roman" w:hAnsi="Times New Roman"/>
                <w:sz w:val="12"/>
                <w:szCs w:val="12"/>
                <w:b w:val="1"/>
                <w:bCs w:val="1"/>
                <w:color w:val="auto"/>
              </w:rPr>
              <w:t>Total Short Term Investments — Unrestricted</w:t>
            </w:r>
          </w:p>
        </w:tc>
        <w:tc>
          <w:tcPr>
            <w:tcW w:w="2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04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90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0"/>
        </w:trPr>
        <w:tc>
          <w:tcPr>
            <w:tcW w:w="29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74</w:t>
            </w:r>
          </w:p>
        </w:tc>
        <w:tc>
          <w:tcPr>
            <w:tcW w:w="240" w:type="dxa"/>
            <w:vAlign w:val="bottom"/>
            <w:gridSpan w:val="2"/>
          </w:tcPr>
          <w:p>
            <w:pPr>
              <w:jc w:val="right"/>
              <w:ind w:right="154"/>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74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5" w:name="page56"/>
    <w:bookmarkEnd w:id="55"/>
    <w:p>
      <w:pPr>
        <w:ind w:left="340" w:hanging="332"/>
        <w:spacing w:after="0"/>
        <w:tabs>
          <w:tab w:leader="none" w:pos="3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180975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809750" cy="8890"/>
                    </a:xfrm>
                    <a:prstGeom prst="rect">
                      <a:avLst/>
                    </a:prstGeom>
                    <a:noFill/>
                  </pic:spPr>
                </pic:pic>
              </a:graphicData>
            </a:graphic>
          </wp:anchor>
        </w:drawing>
        <w:t>All investments of HSLFI are in entities which are organized under the laws of the United States and have a principal place of business in the United States.</w:t>
      </w:r>
    </w:p>
    <w:p>
      <w:pPr>
        <w:spacing w:after="0" w:line="3" w:lineRule="exact"/>
        <w:rPr>
          <w:rFonts w:ascii="Times New Roman" w:cs="Times New Roman" w:eastAsia="Times New Roman" w:hAnsi="Times New Roman"/>
          <w:sz w:val="14"/>
          <w:szCs w:val="14"/>
          <w:color w:val="auto"/>
        </w:rPr>
      </w:pPr>
    </w:p>
    <w:p>
      <w:pPr>
        <w:jc w:val="both"/>
        <w:ind w:left="340" w:hanging="332"/>
        <w:spacing w:after="0" w:line="221" w:lineRule="auto"/>
        <w:tabs>
          <w:tab w:leader="none" w:pos="3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interest is payable in cash due monthly in arrears, unless otherwise indicated, and applies only to HSLFI’s debt investments. Interest rate is the annual interest rate on the debt investment and does not include ETPs and any additional fees related to the investments, such as deferred interest, commitment fees or prepayment fees. Debt investments are at variable rates for the term of the debt investment, unless otherwise indicated. All debt investments based on LIBOR are based on one-month LIBOR. For each debt investment, the current interest rate in effect as of December 31, 2018 is provided.</w:t>
      </w:r>
    </w:p>
    <w:p>
      <w:pPr>
        <w:spacing w:after="0" w:line="1" w:lineRule="exact"/>
        <w:rPr>
          <w:rFonts w:ascii="Times New Roman" w:cs="Times New Roman" w:eastAsia="Times New Roman" w:hAnsi="Times New Roman"/>
          <w:sz w:val="14"/>
          <w:szCs w:val="14"/>
          <w:color w:val="auto"/>
        </w:rPr>
      </w:pPr>
    </w:p>
    <w:p>
      <w:pPr>
        <w:jc w:val="both"/>
        <w:ind w:left="340" w:hanging="332"/>
        <w:spacing w:after="0"/>
        <w:tabs>
          <w:tab w:leader="none" w:pos="3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ETPs are contractual fixed-interest payments due in cash at the maturity date of the applicable debt investment, including upon any prepayment, and are a fixed percentage of the original principal balance of the debt investments unless otherwise noted. Interest will accrue during the life of the debt investment on each ETP and will be recognized as non-cash income until it is actually paid.</w:t>
      </w:r>
    </w:p>
    <w:p>
      <w:pPr>
        <w:spacing w:after="0" w:line="123" w:lineRule="exact"/>
        <w:rPr>
          <w:rFonts w:ascii="Times New Roman" w:cs="Times New Roman" w:eastAsia="Times New Roman" w:hAnsi="Times New Roman"/>
          <w:sz w:val="14"/>
          <w:szCs w:val="14"/>
          <w:color w:val="auto"/>
        </w:rPr>
      </w:pPr>
    </w:p>
    <w:p>
      <w:pPr>
        <w:ind w:left="340" w:hanging="332"/>
        <w:spacing w:after="0" w:line="221" w:lineRule="auto"/>
        <w:tabs>
          <w:tab w:leader="none" w:pos="3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Warrants are non-income producing.</w:t>
      </w:r>
    </w:p>
    <w:p>
      <w:pPr>
        <w:ind w:left="340" w:hanging="332"/>
        <w:spacing w:after="0" w:line="221" w:lineRule="auto"/>
        <w:tabs>
          <w:tab w:leader="none" w:pos="3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debt investments, represents principal balance less unearned income.</w:t>
      </w:r>
    </w:p>
    <w:p>
      <w:pPr>
        <w:ind w:left="340" w:hanging="332"/>
        <w:spacing w:after="0" w:line="221" w:lineRule="auto"/>
        <w:tabs>
          <w:tab w:leader="none" w:pos="3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Has been pledged as collateral under the NYL Facility.</w:t>
      </w:r>
    </w:p>
    <w:p>
      <w:pPr>
        <w:ind w:left="340" w:hanging="332"/>
        <w:spacing w:after="0" w:line="221" w:lineRule="auto"/>
        <w:tabs>
          <w:tab w:leader="none" w:pos="3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fair value of the investment was valued using significant unobservable inputs.</w:t>
      </w:r>
    </w:p>
    <w:p>
      <w:pPr>
        <w:ind w:left="340" w:hanging="332"/>
        <w:spacing w:after="0" w:line="221" w:lineRule="auto"/>
        <w:tabs>
          <w:tab w:leader="none" w:pos="3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Portfolio company is a public company.</w:t>
      </w:r>
    </w:p>
    <w:p>
      <w:pPr>
        <w:ind w:left="340" w:hanging="332"/>
        <w:spacing w:after="0"/>
        <w:tabs>
          <w:tab w:leader="none" w:pos="3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New Signature US, Inc. is a subsidiary of BSI Platform Holdings, LLC.</w:t>
      </w:r>
    </w:p>
    <w:p>
      <w:pPr>
        <w:spacing w:after="0" w:line="19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show certain summarized financial information for HSLFI as of September 30, 2019 and December 31, 2018 and for the three and nine months ended September 30, 2019 and the period September 1, 2018 through September 30, 2018:</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138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60" w:type="dxa"/>
            <w:vAlign w:val="bottom"/>
            <w:gridSpan w:val="5"/>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Selected Statement of Assets and Liabilities Information</w:t>
            </w:r>
          </w:p>
        </w:tc>
        <w:tc>
          <w:tcPr>
            <w:tcW w:w="3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Total investments at fair value (cost of $42,953 and $24,771, respectively)</w:t>
            </w:r>
          </w:p>
        </w:tc>
        <w:tc>
          <w:tcPr>
            <w:tcW w:w="33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42,882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24,734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in money market funds</w:t>
            </w:r>
          </w:p>
        </w:tc>
        <w:tc>
          <w:tcPr>
            <w:tcW w:w="3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1,784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Restricted investments in money market funds</w:t>
            </w:r>
          </w:p>
        </w:tc>
        <w:tc>
          <w:tcPr>
            <w:tcW w:w="3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Interest receivable</w:t>
            </w:r>
          </w:p>
        </w:tc>
        <w:tc>
          <w:tcPr>
            <w:tcW w:w="3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30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1,195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1,306</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08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47,070</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26,442</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480" w:type="dxa"/>
            <w:vAlign w:val="bottom"/>
            <w:shd w:val="clear" w:color="auto" w:fill="CCEEFF"/>
          </w:tcPr>
          <w:p>
            <w:pPr>
              <w:spacing w:after="0"/>
              <w:rPr>
                <w:sz w:val="17"/>
                <w:szCs w:val="17"/>
                <w:color w:val="auto"/>
              </w:rPr>
            </w:pPr>
          </w:p>
        </w:tc>
        <w:tc>
          <w:tcPr>
            <w:tcW w:w="3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Borrowings</w:t>
            </w:r>
          </w:p>
        </w:tc>
        <w:tc>
          <w:tcPr>
            <w:tcW w:w="33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18,375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30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0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18,549</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8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Members’ equity</w:t>
            </w:r>
          </w:p>
        </w:tc>
        <w:tc>
          <w:tcPr>
            <w:tcW w:w="3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28,521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26,361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members’ equity</w:t>
            </w:r>
          </w:p>
        </w:tc>
        <w:tc>
          <w:tcPr>
            <w:tcW w:w="30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47,070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26,442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3080" w:type="dxa"/>
            <w:vAlign w:val="bottom"/>
            <w:vMerge w:val="restart"/>
          </w:tcPr>
          <w:p>
            <w:pPr>
              <w:jc w:val="right"/>
              <w:ind w:right="2670"/>
              <w:spacing w:after="0"/>
              <w:rPr>
                <w:sz w:val="20"/>
                <w:szCs w:val="20"/>
                <w:color w:val="auto"/>
              </w:rPr>
            </w:pPr>
            <w:r>
              <w:rPr>
                <w:rFonts w:ascii="Times New Roman" w:cs="Times New Roman" w:eastAsia="Times New Roman" w:hAnsi="Times New Roman"/>
                <w:sz w:val="18"/>
                <w:szCs w:val="18"/>
                <w:color w:val="auto"/>
              </w:rPr>
              <w:t>54</w:t>
            </w: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6"/>
        </w:trPr>
        <w:tc>
          <w:tcPr>
            <w:tcW w:w="20" w:type="dxa"/>
            <w:vAlign w:val="bottom"/>
          </w:tcPr>
          <w:p>
            <w:pPr>
              <w:spacing w:after="0"/>
              <w:rPr>
                <w:sz w:val="24"/>
                <w:szCs w:val="24"/>
                <w:color w:val="auto"/>
              </w:rPr>
            </w:pPr>
          </w:p>
        </w:tc>
        <w:tc>
          <w:tcPr>
            <w:tcW w:w="548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vMerge w:val="continue"/>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27" w:right="239" w:bottom="1440" w:gutter="0" w:footer="0" w:header="0"/>
        </w:sectPr>
      </w:pPr>
    </w:p>
    <w:bookmarkStart w:id="56" w:name="page57"/>
    <w:bookmarkEnd w:id="5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8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period</w:t>
            </w:r>
          </w:p>
        </w:tc>
      </w:tr>
      <w:tr>
        <w:trPr>
          <w:trHeight w:val="216"/>
        </w:trPr>
        <w:tc>
          <w:tcPr>
            <w:tcW w:w="55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For the three</w:t>
            </w:r>
          </w:p>
        </w:tc>
        <w:tc>
          <w:tcPr>
            <w:tcW w:w="200" w:type="dxa"/>
            <w:vAlign w:val="bottom"/>
          </w:tcPr>
          <w:p>
            <w:pPr>
              <w:spacing w:after="0"/>
              <w:rPr>
                <w:sz w:val="18"/>
                <w:szCs w:val="18"/>
                <w:color w:val="auto"/>
              </w:rPr>
            </w:pPr>
          </w:p>
        </w:tc>
        <w:tc>
          <w:tcPr>
            <w:tcW w:w="12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For the nine</w:t>
            </w:r>
          </w:p>
        </w:tc>
        <w:tc>
          <w:tcPr>
            <w:tcW w:w="26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June 1,</w:t>
            </w:r>
          </w:p>
        </w:tc>
      </w:tr>
      <w:tr>
        <w:trPr>
          <w:trHeight w:val="216"/>
        </w:trPr>
        <w:tc>
          <w:tcPr>
            <w:tcW w:w="55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80" w:type="dxa"/>
            <w:vAlign w:val="bottom"/>
            <w:gridSpan w:val="2"/>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months ended,</w:t>
            </w:r>
          </w:p>
        </w:tc>
        <w:tc>
          <w:tcPr>
            <w:tcW w:w="14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months ended,</w:t>
            </w:r>
          </w:p>
        </w:tc>
        <w:tc>
          <w:tcPr>
            <w:tcW w:w="26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6"/>
              </w:rPr>
              <w:t>through</w:t>
            </w:r>
          </w:p>
        </w:tc>
      </w:tr>
      <w:tr>
        <w:trPr>
          <w:trHeight w:val="216"/>
        </w:trPr>
        <w:tc>
          <w:tcPr>
            <w:tcW w:w="55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80" w:type="dxa"/>
            <w:vAlign w:val="bottom"/>
            <w:gridSpan w:val="2"/>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4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38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r>
      <w:tr>
        <w:trPr>
          <w:trHeight w:val="238"/>
        </w:trPr>
        <w:tc>
          <w:tcPr>
            <w:tcW w:w="55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2018</w:t>
            </w:r>
          </w:p>
        </w:tc>
        <w:tc>
          <w:tcPr>
            <w:tcW w:w="100" w:type="dxa"/>
            <w:vAlign w:val="bottom"/>
          </w:tcPr>
          <w:p>
            <w:pPr>
              <w:spacing w:after="0"/>
              <w:rPr>
                <w:sz w:val="20"/>
                <w:szCs w:val="20"/>
                <w:color w:val="auto"/>
              </w:rPr>
            </w:pPr>
          </w:p>
        </w:tc>
      </w:tr>
      <w:tr>
        <w:trPr>
          <w:trHeight w:val="210"/>
        </w:trPr>
        <w:tc>
          <w:tcPr>
            <w:tcW w:w="55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Selected Statements of Operations Information</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on investments</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1,317</w:t>
            </w:r>
          </w:p>
        </w:tc>
        <w:tc>
          <w:tcPr>
            <w:tcW w:w="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3,314</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255</w:t>
            </w:r>
          </w:p>
        </w:tc>
      </w:tr>
      <w:tr>
        <w:trPr>
          <w:trHeight w:val="21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expenses</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395</w:t>
            </w:r>
          </w:p>
        </w:tc>
        <w:tc>
          <w:tcPr>
            <w:tcW w:w="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869</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922</w:t>
            </w:r>
          </w:p>
        </w:tc>
        <w:tc>
          <w:tcPr>
            <w:tcW w:w="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2,445</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165</w:t>
            </w:r>
          </w:p>
        </w:tc>
      </w:tr>
      <w:tr>
        <w:trPr>
          <w:trHeight w:val="21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unrealized (depreciation) appreciation on investments</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r>
      <w:tr>
        <w:trPr>
          <w:trHeight w:val="234"/>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in net assets resulting from operations</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895</w:t>
            </w:r>
          </w:p>
        </w:tc>
        <w:tc>
          <w:tcPr>
            <w:tcW w:w="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2,412</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166</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a BDC and a RIC, we are subject to certain constraints on our operations, including limitations imposed by the 1940 Act and the Code. The consolidated results of operations described below may not be indicative of the results we report in future periods.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the three months ended September 30, 2019 and 2018</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shows consolidated results of operations for the three months ended September, 2019 and 2018:</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7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900" w:type="dxa"/>
            <w:vAlign w:val="bottom"/>
            <w:gridSpan w:val="6"/>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w:t>
            </w:r>
          </w:p>
        </w:tc>
        <w:tc>
          <w:tcPr>
            <w:tcW w:w="0" w:type="dxa"/>
            <w:vAlign w:val="bottom"/>
          </w:tcPr>
          <w:p>
            <w:pPr>
              <w:spacing w:after="0"/>
              <w:rPr>
                <w:sz w:val="1"/>
                <w:szCs w:val="1"/>
                <w:color w:val="auto"/>
              </w:rPr>
            </w:pPr>
          </w:p>
        </w:tc>
      </w:tr>
      <w:tr>
        <w:trPr>
          <w:trHeight w:val="238"/>
        </w:trPr>
        <w:tc>
          <w:tcPr>
            <w:tcW w:w="77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9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7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gridSpan w:val="3"/>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investment income</w:t>
            </w: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11,375</w:t>
            </w:r>
          </w:p>
        </w:tc>
        <w:tc>
          <w:tcPr>
            <w:tcW w:w="480" w:type="dxa"/>
            <w:vAlign w:val="bottom"/>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Total expenses</w:t>
            </w:r>
          </w:p>
        </w:tc>
        <w:tc>
          <w:tcPr>
            <w:tcW w:w="220" w:type="dxa"/>
            <w:vAlign w:val="bottom"/>
          </w:tcPr>
          <w:p>
            <w:pPr>
              <w:spacing w:after="0"/>
              <w:rPr>
                <w:sz w:val="19"/>
                <w:szCs w:val="19"/>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5,602</w:t>
            </w:r>
          </w:p>
        </w:tc>
        <w:tc>
          <w:tcPr>
            <w:tcW w:w="48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4,841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Performance based incentive fee waived</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7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expenses</w:t>
            </w: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5,602</w:t>
            </w:r>
          </w:p>
        </w:tc>
        <w:tc>
          <w:tcPr>
            <w:tcW w:w="2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4,395</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2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5,773</w:t>
            </w:r>
          </w:p>
        </w:tc>
        <w:tc>
          <w:tcPr>
            <w:tcW w:w="2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Net realized (loss) gain on investments</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unrealized (depreciation) appreciation on investments</w:t>
            </w: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(143)</w:t>
            </w:r>
          </w:p>
        </w:tc>
        <w:tc>
          <w:tcPr>
            <w:tcW w:w="4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increase in net assets resulting from operations</w:t>
            </w:r>
          </w:p>
        </w:tc>
        <w:tc>
          <w:tcPr>
            <w:tcW w:w="22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5,206</w:t>
            </w:r>
          </w:p>
        </w:tc>
        <w:tc>
          <w:tcPr>
            <w:tcW w:w="220" w:type="dxa"/>
            <w:vAlign w:val="bottom"/>
            <w:tcBorders>
              <w:bottom w:val="single" w:sz="8" w:color="CCEEFF"/>
            </w:tcBorders>
          </w:tcPr>
          <w:p>
            <w:pPr>
              <w:spacing w:after="0"/>
              <w:rPr>
                <w:sz w:val="22"/>
                <w:szCs w:val="22"/>
                <w:color w:val="auto"/>
              </w:rPr>
            </w:pPr>
          </w:p>
        </w:tc>
        <w:tc>
          <w:tcPr>
            <w:tcW w:w="480" w:type="dxa"/>
            <w:vAlign w:val="bottom"/>
            <w:tcBorders>
              <w:top w:val="single" w:sz="8" w:color="auto"/>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4,259</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7700" w:type="dxa"/>
            <w:vAlign w:val="bottom"/>
            <w:tcBorders>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Average debt investments, at fair value</w:t>
            </w:r>
          </w:p>
        </w:tc>
        <w:tc>
          <w:tcPr>
            <w:tcW w:w="22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246,648</w:t>
            </w:r>
          </w:p>
        </w:tc>
        <w:tc>
          <w:tcPr>
            <w:tcW w:w="2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207,942</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Average borrowings outstanding</w:t>
            </w: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700" w:type="dxa"/>
            <w:vAlign w:val="bottom"/>
            <w:vMerge w:val="continue"/>
          </w:tcPr>
          <w:p>
            <w:pPr>
              <w:spacing w:after="0"/>
              <w:rPr>
                <w:sz w:val="17"/>
                <w:szCs w:val="17"/>
                <w:color w:val="auto"/>
              </w:rPr>
            </w:pPr>
          </w:p>
        </w:tc>
        <w:tc>
          <w:tcPr>
            <w:tcW w:w="2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135,232</w:t>
            </w:r>
          </w:p>
        </w:tc>
        <w:tc>
          <w:tcPr>
            <w:tcW w:w="220" w:type="dxa"/>
            <w:vAlign w:val="bottom"/>
            <w:vMerge w:val="continue"/>
          </w:tcPr>
          <w:p>
            <w:pPr>
              <w:spacing w:after="0"/>
              <w:rPr>
                <w:sz w:val="17"/>
                <w:szCs w:val="17"/>
                <w:color w:val="auto"/>
              </w:rPr>
            </w:pPr>
          </w:p>
        </w:tc>
        <w:tc>
          <w:tcPr>
            <w:tcW w:w="48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105,636</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Net increase in net assets resulting from operations can vary substantially from period to period for various reasons, including the recognition of realized gains and losses and unrealized appreciation and depreciation on investments. As a result, quarterly comparisons of net increase in net assets resulting from operations may not be meaningful.</w:t>
      </w:r>
    </w:p>
    <w:p>
      <w:pPr>
        <w:spacing w:after="0" w:line="17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Investment income</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Total investment income increased by $3.6 million, or 45.9%, to $11.4 million for the three months ended September 30, 2019 as compared to the three months ended September 30, 2018. For the three months ended September 30, 2019, total investment income consisted primarily of $9.2 million in interest income from investments, which included $2.5 million in income from the accretion of origination fees and ETPs and $1.7 million in fee income. Interest income on debt investments increased by $1.9 million, or 26.0%, for the three months ended September 30, 2019 compared to the three months ended September 30, 2018. Interest income on debt investments for the three months ended September 30, 2019 as compared to the three months ended September 30, 2018 increased primarily due to an increase of $38.7 million, or 18.6%, in the average size of our debt investment portfolio and an increase in accelerated fees earned on higher principal prepayments received. Fee income, which includes other fee, success fee and prepayment fee income on debt investments, increased by $1.3 million, or 305.2%, to $1.7 million for the three months ended September 30, 2019 compared to the three months ended September 30, 2018 primarily due to an increase in fees earned on higher principal prepayments received.</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17" w:right="239" w:bottom="1440" w:gutter="0" w:footer="0" w:header="0"/>
        </w:sectPr>
      </w:pPr>
    </w:p>
    <w:bookmarkStart w:id="57" w:name="page58"/>
    <w:bookmarkEnd w:id="57"/>
    <w:p>
      <w:pPr>
        <w:ind w:left="340"/>
        <w:spacing w:after="0"/>
        <w:rPr>
          <w:sz w:val="20"/>
          <w:szCs w:val="20"/>
          <w:color w:val="auto"/>
        </w:rPr>
      </w:pPr>
      <w:r>
        <w:rPr>
          <w:rFonts w:ascii="Times New Roman" w:cs="Times New Roman" w:eastAsia="Times New Roman" w:hAnsi="Times New Roman"/>
          <w:sz w:val="18"/>
          <w:szCs w:val="18"/>
          <w:color w:val="auto"/>
        </w:rPr>
        <w:t>The following table shows our dollar-weighted annualized yield for the three months ended September 30, 2019 and 2018:</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80" w:type="dxa"/>
            <w:vAlign w:val="bottom"/>
            <w:gridSpan w:val="5"/>
          </w:tcPr>
          <w:p>
            <w:pPr>
              <w:ind w:left="54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r>
      <w:tr>
        <w:trPr>
          <w:trHeight w:val="238"/>
        </w:trPr>
        <w:tc>
          <w:tcPr>
            <w:tcW w:w="7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Borders>
              <w:bottom w:val="single" w:sz="8" w:color="auto"/>
            </w:tcBorders>
            <w:gridSpan w:val="3"/>
          </w:tcPr>
          <w:p>
            <w:pPr>
              <w:ind w:left="10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7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Investment type:</w:t>
            </w:r>
          </w:p>
        </w:tc>
        <w:tc>
          <w:tcPr>
            <w:tcW w:w="22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6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60" w:type="dxa"/>
            <w:vAlign w:val="bottom"/>
            <w:tcBorders>
              <w:bottom w:val="single" w:sz="8" w:color="CCEEFF"/>
            </w:tcBorders>
          </w:tcPr>
          <w:p>
            <w:pPr>
              <w:spacing w:after="0"/>
              <w:rPr>
                <w:sz w:val="19"/>
                <w:szCs w:val="19"/>
                <w:color w:val="auto"/>
              </w:rPr>
            </w:pPr>
          </w:p>
        </w:tc>
      </w:tr>
      <w:tr>
        <w:trPr>
          <w:trHeight w:val="250"/>
        </w:trPr>
        <w:tc>
          <w:tcPr>
            <w:tcW w:w="7820" w:type="dxa"/>
            <w:vAlign w:val="bottom"/>
            <w:shd w:val="clear" w:color="auto" w:fill="CCEEFF"/>
          </w:tcPr>
          <w:p>
            <w:pPr>
              <w:spacing w:after="0" w:line="250" w:lineRule="exact"/>
              <w:rPr>
                <w:sz w:val="20"/>
                <w:szCs w:val="20"/>
                <w:color w:val="auto"/>
              </w:rPr>
            </w:pPr>
            <w:r>
              <w:rPr>
                <w:rFonts w:ascii="Times New Roman" w:cs="Times New Roman" w:eastAsia="Times New Roman" w:hAnsi="Times New Roman"/>
                <w:sz w:val="17"/>
                <w:szCs w:val="17"/>
                <w:color w:val="auto"/>
              </w:rPr>
              <w:t>Debt investments</w:t>
            </w:r>
            <w:r>
              <w:rPr>
                <w:rFonts w:ascii="Times New Roman" w:cs="Times New Roman" w:eastAsia="Times New Roman" w:hAnsi="Times New Roman"/>
                <w:sz w:val="28"/>
                <w:szCs w:val="28"/>
                <w:color w:val="auto"/>
                <w:vertAlign w:val="superscript"/>
              </w:rPr>
              <w:t>(1)(2)</w:t>
            </w:r>
          </w:p>
        </w:tc>
        <w:tc>
          <w:tcPr>
            <w:tcW w:w="220" w:type="dxa"/>
            <w:vAlign w:val="bottom"/>
            <w:shd w:val="clear" w:color="auto" w:fill="CCEEFF"/>
          </w:tcPr>
          <w:p>
            <w:pPr>
              <w:spacing w:after="0"/>
              <w:rPr>
                <w:sz w:val="21"/>
                <w:szCs w:val="21"/>
                <w:color w:val="auto"/>
              </w:rPr>
            </w:pPr>
          </w:p>
        </w:tc>
        <w:tc>
          <w:tcPr>
            <w:tcW w:w="1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17.7%</w:t>
            </w:r>
          </w:p>
        </w:tc>
        <w:tc>
          <w:tcPr>
            <w:tcW w:w="5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15.0%</w:t>
            </w:r>
          </w:p>
        </w:tc>
      </w:tr>
      <w:tr>
        <w:trPr>
          <w:trHeight w:val="257"/>
        </w:trPr>
        <w:tc>
          <w:tcPr>
            <w:tcW w:w="80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 xml:space="preserve">Equity interest in HSLFI and debt investments </w:t>
            </w:r>
            <w:r>
              <w:rPr>
                <w:rFonts w:ascii="Times New Roman" w:cs="Times New Roman" w:eastAsia="Times New Roman" w:hAnsi="Times New Roman"/>
                <w:sz w:val="29"/>
                <w:szCs w:val="29"/>
                <w:color w:val="auto"/>
                <w:vertAlign w:val="superscript"/>
              </w:rPr>
              <w:t>(1)(3)(4)</w:t>
            </w:r>
          </w:p>
        </w:tc>
        <w:tc>
          <w:tcPr>
            <w:tcW w:w="1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17.5%</w:t>
            </w:r>
          </w:p>
        </w:tc>
        <w:tc>
          <w:tcPr>
            <w:tcW w:w="500" w:type="dxa"/>
            <w:vAlign w:val="bottom"/>
          </w:tcPr>
          <w:p>
            <w:pPr>
              <w:spacing w:after="0"/>
              <w:rPr>
                <w:sz w:val="22"/>
                <w:szCs w:val="22"/>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14.7%</w:t>
            </w:r>
          </w:p>
        </w:tc>
      </w:tr>
      <w:tr>
        <w:trPr>
          <w:trHeight w:val="257"/>
        </w:trPr>
        <w:tc>
          <w:tcPr>
            <w:tcW w:w="80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Equity interest in HSLFI</w:t>
            </w:r>
            <w:r>
              <w:rPr>
                <w:rFonts w:ascii="Times New Roman" w:cs="Times New Roman" w:eastAsia="Times New Roman" w:hAnsi="Times New Roman"/>
                <w:sz w:val="29"/>
                <w:szCs w:val="29"/>
                <w:color w:val="auto"/>
                <w:vertAlign w:val="superscript"/>
              </w:rPr>
              <w:t>(1)(4)(5)</w:t>
            </w:r>
          </w:p>
        </w:tc>
        <w:tc>
          <w:tcPr>
            <w:tcW w:w="1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13.5%</w:t>
            </w:r>
          </w:p>
        </w:tc>
        <w:tc>
          <w:tcPr>
            <w:tcW w:w="50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394"/>
        </w:trPr>
        <w:tc>
          <w:tcPr>
            <w:tcW w:w="8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investments</w:t>
            </w:r>
            <w:r>
              <w:rPr>
                <w:rFonts w:ascii="Times New Roman" w:cs="Times New Roman" w:eastAsia="Times New Roman" w:hAnsi="Times New Roman"/>
                <w:sz w:val="30"/>
                <w:szCs w:val="30"/>
                <w:color w:val="auto"/>
                <w:vertAlign w:val="superscript"/>
              </w:rPr>
              <w:t>(1)(6)</w:t>
            </w:r>
          </w:p>
        </w:tc>
        <w:tc>
          <w:tcPr>
            <w:tcW w:w="1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16.4%</w:t>
            </w:r>
          </w:p>
        </w:tc>
        <w:tc>
          <w:tcPr>
            <w:tcW w:w="500" w:type="dxa"/>
            <w:vAlign w:val="bottom"/>
          </w:tcPr>
          <w:p>
            <w:pPr>
              <w:spacing w:after="0"/>
              <w:rPr>
                <w:sz w:val="24"/>
                <w:szCs w:val="24"/>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180975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75" w:lineRule="exact"/>
        <w:rPr>
          <w:sz w:val="20"/>
          <w:szCs w:val="20"/>
          <w:color w:val="auto"/>
        </w:rPr>
      </w:pPr>
    </w:p>
    <w:p>
      <w:pPr>
        <w:jc w:val="both"/>
        <w:ind w:left="340" w:hanging="332"/>
        <w:spacing w:after="0" w:line="255"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calculate the dollar-weighted annualized yield on average investment type for any period as (1) total related investment income during the period divided by (2) the average of the fair value of the investment type outstanding on (a) the last day of the calendar month immediately preceding the first day of the period and (b) the last day of each calendar month during the period. The dollar-weighted annualized yield on average investment type is higher than what investors will realize because it does not reflect our expenses or any sales load paid by investors</w:t>
      </w:r>
    </w:p>
    <w:p>
      <w:pPr>
        <w:spacing w:after="0" w:line="2"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any yield from warrants, equity, other investments and equity interest in HSLFI. Related investment income includes interest income and fee income from debt investments.</w:t>
      </w:r>
    </w:p>
    <w:p>
      <w:pPr>
        <w:ind w:left="340" w:right="20" w:hanging="332"/>
        <w:spacing w:after="0" w:line="250"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any yield from warrants, equity and other investments. Related investment income includes interest income and fee income from debt investments and dividend income from equity interest in HSLFI.</w:t>
      </w:r>
    </w:p>
    <w:p>
      <w:pPr>
        <w:ind w:left="340" w:hanging="332"/>
        <w:spacing w:after="0"/>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HSLFI was formed on June 1, 2018. There was no yield from equity interest in HSLFI for the three months ended September 30, 2018.</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any yield from debt investments, warrants, equity and other investments. Related investment income includes dividend income from equity interest in HSLFI.</w:t>
      </w:r>
    </w:p>
    <w:p>
      <w:pPr>
        <w:ind w:left="340" w:hanging="332"/>
        <w:spacing w:after="0" w:line="261"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any yield from debt investments, warrants, equity, other investments and equity interest in HSFLI. Related investment income includes interest income, fee income and dividend income.</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Investment income, consisting of interest income and fees on debt investments, can fluctuate significantly upon repayment of large debt investments.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income from the five largest debt investments in the aggregate accounted for 24% and 31% of investment income for the three months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2019 and 2018, respectively.</w:t>
      </w:r>
    </w:p>
    <w:p>
      <w:pPr>
        <w:spacing w:after="0" w:line="20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Net expenses increased by $1.2 million, or 27.5%, to $5.6 million for the three months ended September 30, 2019 as compared to the three months ended September 30, 2018. Total expenses for each period consisted of interest expense, base management fee, incentive and administrative fees, professional fees and general and administrative expenses.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Interest expense increased by $0.4 million, or 21.7%, to $2.0 million for the three months ended September 30, 2019 as compared to the three months ended September 30, 2018. Interest expense, which includes the amortization of debt issuance costs, increased primarily due to an increase in average borrowings of $29.6 million, or 28.0% offset by a reduction in our effective cost of debt, for the three months ended September 30, 2019 as compared to the three months ended September 30, 2018.</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Base management fee expense increased by $0.2 million, or 16.5%, to $1.4 million for the three months ended September 30, 2019 as compared to the three months ended September 30, 2018. Base management fee increased primarily due to an increase of $38.7 million, or 18.6%, in the average size of our investment portfolio for the three months ended September 30, 2019 as compared to the three months ended September 30, 2018.</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March 5, 2019, our Advisor irrevocably waived the receipt of incentive fees related to the amounts previously deferred that it may be entitled to receive under the Investment Management Agreement for the period commencing on January 1, 2019 and ending on December 31, 2019. Such waived incentive fees will not be subject to recoupment. During the three months ended September 30, 2019, our Advisor did not waive performance based incentive fees as the total amount previously deferred has been completely earned and waived by our Advisor.</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March 6, 2018, our Advisor irrevocably waived the receipt of incentive fees related to the amounts previously deferred that it may be entitled to receive under the Investment Management Agreement for the period commencing on January 1, 2018 and ending on December 31, 2018. Such waived incentive fees are not subject to recoupment. During the three months ended September 30, 2018, our Advisor waived performance-based incentive fees of $0.4 million which our Advisor would have otherwise been paid. This resulted in $0.4 million of reduced expense and additional net investment income for the three months ended September 30, 2018.</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8" w:name="page59"/>
    <w:bookmarkEnd w:id="58"/>
    <w:p>
      <w:pPr>
        <w:ind w:left="340"/>
        <w:spacing w:after="0"/>
        <w:rPr>
          <w:sz w:val="20"/>
          <w:szCs w:val="20"/>
          <w:color w:val="auto"/>
        </w:rPr>
      </w:pPr>
      <w:r>
        <w:rPr>
          <w:rFonts w:ascii="Times New Roman" w:cs="Times New Roman" w:eastAsia="Times New Roman" w:hAnsi="Times New Roman"/>
          <w:sz w:val="18"/>
          <w:szCs w:val="18"/>
          <w:color w:val="auto"/>
        </w:rPr>
        <w:t>Performance based incentive fee expense, net of the waiver above, increased by $0.6 million, or 69.6%, to $1.4 million for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2019 as compared to the three months ended September 30, 2018. This increase was due to an increase of $3.0 million, or 69.7%, in Pre-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Incentive Fee Net Investment Income for the three months ended September 30, 2019 compared to the three months ended September 30, 2018.</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Administrative fee expense, professional fees and general and administrative were $0.7 million for the three months ended September 30, 2019 and 2018.</w:t>
      </w:r>
    </w:p>
    <w:p>
      <w:pPr>
        <w:spacing w:after="0" w:line="22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Net realized gains and losses and net unrealized appreciation and depreciation</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Realized gains or losses on investments are measured by the difference between the net proceeds from the repayment or sale and the cost basis of our investments without regard to unrealized appreciation or depreciation previously recognized. Realized gains or losses on investments include investments charged off during the period, net of recoveries. The net change in unrealized appreciation or depreciation on investments primarily reflects the change in portfolio investment fair values during the reporting period, including the reversal of previously recorded unrealized appreciation or depreciation when gains or losses are realized.</w:t>
      </w:r>
    </w:p>
    <w:p>
      <w:pPr>
        <w:spacing w:after="0" w:line="18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2019, we realized net losses totaling $0.4 million primarily due to the sale of one of our royalty agreements which was included in other investments and partially offset by a realized gain from the sale of one of our warrant investments. During the three months ended September 30, 2018, we realized net gains totaling $0.1 million primarily due to the termination of warrants upon the sale of two portfolio companies.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the three months ended September 30, 2019, net unrealized depreciation on investments totaled $0.1 million which was primarily due to (1) a reversal of previously recorded unrealized depreciation on one of our royalty agreements which was included in other investments and (2) unrealized depreciation on one of our other investments. During the three months ended September 30, 2018, net unrealized appreciation on investments totaled $0.8 million which was primarily due to unrealized appreciation on our warrant investments.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the nine months ended September 30, 2019 and 2018</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shows consolidated results of operations for the nine months ended September 30, 2019 and 2018:</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7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60" w:type="dxa"/>
            <w:vAlign w:val="bottom"/>
            <w:gridSpan w:val="6"/>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c>
          <w:tcPr>
            <w:tcW w:w="0" w:type="dxa"/>
            <w:vAlign w:val="bottom"/>
          </w:tcPr>
          <w:p>
            <w:pPr>
              <w:spacing w:after="0"/>
              <w:rPr>
                <w:sz w:val="1"/>
                <w:szCs w:val="1"/>
                <w:color w:val="auto"/>
              </w:rPr>
            </w:pPr>
          </w:p>
        </w:tc>
      </w:tr>
      <w:tr>
        <w:trPr>
          <w:trHeight w:val="238"/>
        </w:trPr>
        <w:tc>
          <w:tcPr>
            <w:tcW w:w="77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9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7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40" w:type="dxa"/>
            <w:vAlign w:val="bottom"/>
            <w:gridSpan w:val="3"/>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investment income</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30,150</w:t>
            </w:r>
          </w:p>
        </w:tc>
        <w:tc>
          <w:tcPr>
            <w:tcW w:w="480" w:type="dxa"/>
            <w:vAlign w:val="bottom"/>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22,285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Total expenses</w:t>
            </w:r>
          </w:p>
        </w:tc>
        <w:tc>
          <w:tcPr>
            <w:tcW w:w="260" w:type="dxa"/>
            <w:vAlign w:val="bottom"/>
          </w:tcPr>
          <w:p>
            <w:pPr>
              <w:spacing w:after="0"/>
              <w:rPr>
                <w:sz w:val="19"/>
                <w:szCs w:val="19"/>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17,980</w:t>
            </w:r>
          </w:p>
        </w:tc>
        <w:tc>
          <w:tcPr>
            <w:tcW w:w="48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12,988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Performance based incentive fee waived</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w:t>
            </w:r>
          </w:p>
        </w:tc>
        <w:tc>
          <w:tcPr>
            <w:tcW w:w="220" w:type="dxa"/>
            <w:vAlign w:val="bottom"/>
            <w:tcBorders>
              <w:top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7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expenses</w:t>
            </w: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16,132</w:t>
            </w:r>
          </w:p>
        </w:tc>
        <w:tc>
          <w:tcPr>
            <w:tcW w:w="2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12,383</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2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14,018</w:t>
            </w:r>
          </w:p>
        </w:tc>
        <w:tc>
          <w:tcPr>
            <w:tcW w:w="2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Net realized loss on investments</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(3,871)</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unrealized appreciation (depreciation) on investments</w:t>
            </w:r>
          </w:p>
        </w:tc>
        <w:tc>
          <w:tcPr>
            <w:tcW w:w="2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2,622</w:t>
            </w:r>
          </w:p>
        </w:tc>
        <w:tc>
          <w:tcPr>
            <w:tcW w:w="4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increase in net assets resulting from operations</w:t>
            </w:r>
          </w:p>
        </w:tc>
        <w:tc>
          <w:tcPr>
            <w:tcW w:w="26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12,769</w:t>
            </w:r>
          </w:p>
        </w:tc>
        <w:tc>
          <w:tcPr>
            <w:tcW w:w="220" w:type="dxa"/>
            <w:vAlign w:val="bottom"/>
            <w:tcBorders>
              <w:bottom w:val="single" w:sz="8" w:color="CCEEFF"/>
            </w:tcBorders>
          </w:tcPr>
          <w:p>
            <w:pPr>
              <w:spacing w:after="0"/>
              <w:rPr>
                <w:sz w:val="22"/>
                <w:szCs w:val="22"/>
                <w:color w:val="auto"/>
              </w:rPr>
            </w:pPr>
          </w:p>
        </w:tc>
        <w:tc>
          <w:tcPr>
            <w:tcW w:w="480" w:type="dxa"/>
            <w:vAlign w:val="bottom"/>
            <w:tcBorders>
              <w:top w:val="single" w:sz="8" w:color="auto"/>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9,792</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7700" w:type="dxa"/>
            <w:vAlign w:val="bottom"/>
            <w:tcBorders>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Average debt investments, at fair value</w:t>
            </w:r>
          </w:p>
        </w:tc>
        <w:tc>
          <w:tcPr>
            <w:tcW w:w="26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235,391</w:t>
            </w:r>
          </w:p>
        </w:tc>
        <w:tc>
          <w:tcPr>
            <w:tcW w:w="2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200,131</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Average borrowings outstanding</w:t>
            </w: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700" w:type="dxa"/>
            <w:vAlign w:val="bottom"/>
            <w:vMerge w:val="continue"/>
          </w:tcPr>
          <w:p>
            <w:pPr>
              <w:spacing w:after="0"/>
              <w:rPr>
                <w:sz w:val="17"/>
                <w:szCs w:val="17"/>
                <w:color w:val="auto"/>
              </w:rPr>
            </w:pPr>
          </w:p>
        </w:tc>
        <w:tc>
          <w:tcPr>
            <w:tcW w:w="2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129,661</w:t>
            </w:r>
          </w:p>
        </w:tc>
        <w:tc>
          <w:tcPr>
            <w:tcW w:w="220" w:type="dxa"/>
            <w:vAlign w:val="bottom"/>
            <w:vMerge w:val="continue"/>
          </w:tcPr>
          <w:p>
            <w:pPr>
              <w:spacing w:after="0"/>
              <w:rPr>
                <w:sz w:val="17"/>
                <w:szCs w:val="17"/>
                <w:color w:val="auto"/>
              </w:rPr>
            </w:pPr>
          </w:p>
        </w:tc>
        <w:tc>
          <w:tcPr>
            <w:tcW w:w="48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96,598</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Net increase in net assets resulting from operations can vary substantially from period to period for various reasons, including the recognition of realized gains and losses and unrealized appreciation and depreciation on investments. As a result, quarterly comparisons of net increase in net assets resulting from operations may not be meaningful.</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9" w:name="page60"/>
    <w:bookmarkEnd w:id="59"/>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Investment income</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Total investment income increased by $7.9 million, or 35.3%, to $30.2 million for the nine months ended September 30, 2019 as compared to the nine months ended September 30, 2018. For the nine months ended September 30, 2019, total investment income consisted primarily of $26.1 million in interest income from investments, which included $6.5 million in income from the accretion of origination fees and ETPs and $2.9 million in fee income. Interest income on debt investments increased by $5.2 million, or 24.7%, for the nine months ended September 30, 2019 compared to the nine months ended September 30, 2018. Interest income on debt investments for the nine months ended September 30, 2019 as compared to the nine months ended September 30, 2018 increased primarily due to an increase of $35.3 million, or 17.6%, in the average size of our debt investment portfolio and an increase in accelerated fees earned on higher principal prepayments received. Fee income, which includes success fee, other fees and prepayment fee income on debt investments, increased by $1.6 million, or 121.3%, to $2.9 million for the nine months ended September 30, 2019 compared to the nine months ended September 30, 2018 primarily due to an increase in fees earned on higher principal prepayments received.</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shows our dollar-weighted annualized yield for the nine months ended September 30, 2019 and 2018:</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80" w:type="dxa"/>
            <w:vAlign w:val="bottom"/>
            <w:gridSpan w:val="5"/>
          </w:tcPr>
          <w:p>
            <w:pPr>
              <w:ind w:left="58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r>
      <w:tr>
        <w:trPr>
          <w:trHeight w:val="238"/>
        </w:trPr>
        <w:tc>
          <w:tcPr>
            <w:tcW w:w="7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Borders>
              <w:bottom w:val="single" w:sz="8" w:color="auto"/>
            </w:tcBorders>
            <w:gridSpan w:val="3"/>
          </w:tcPr>
          <w:p>
            <w:pPr>
              <w:ind w:left="10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7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Investment type:</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6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60" w:type="dxa"/>
            <w:vAlign w:val="bottom"/>
            <w:tcBorders>
              <w:bottom w:val="single" w:sz="8" w:color="CCEEFF"/>
            </w:tcBorders>
          </w:tcPr>
          <w:p>
            <w:pPr>
              <w:spacing w:after="0"/>
              <w:rPr>
                <w:sz w:val="19"/>
                <w:szCs w:val="19"/>
                <w:color w:val="auto"/>
              </w:rPr>
            </w:pPr>
          </w:p>
        </w:tc>
      </w:tr>
      <w:tr>
        <w:trPr>
          <w:trHeight w:val="250"/>
        </w:trPr>
        <w:tc>
          <w:tcPr>
            <w:tcW w:w="7940" w:type="dxa"/>
            <w:vAlign w:val="bottom"/>
            <w:shd w:val="clear" w:color="auto" w:fill="CCEEFF"/>
          </w:tcPr>
          <w:p>
            <w:pPr>
              <w:spacing w:after="0" w:line="250" w:lineRule="exact"/>
              <w:rPr>
                <w:sz w:val="20"/>
                <w:szCs w:val="20"/>
                <w:color w:val="auto"/>
              </w:rPr>
            </w:pPr>
            <w:r>
              <w:rPr>
                <w:rFonts w:ascii="Times New Roman" w:cs="Times New Roman" w:eastAsia="Times New Roman" w:hAnsi="Times New Roman"/>
                <w:sz w:val="17"/>
                <w:szCs w:val="17"/>
                <w:color w:val="auto"/>
              </w:rPr>
              <w:t>Debt investments</w:t>
            </w:r>
            <w:r>
              <w:rPr>
                <w:rFonts w:ascii="Times New Roman" w:cs="Times New Roman" w:eastAsia="Times New Roman" w:hAnsi="Times New Roman"/>
                <w:sz w:val="28"/>
                <w:szCs w:val="28"/>
                <w:color w:val="auto"/>
                <w:vertAlign w:val="superscript"/>
              </w:rPr>
              <w:t>(1)(2)</w:t>
            </w:r>
          </w:p>
        </w:tc>
        <w:tc>
          <w:tcPr>
            <w:tcW w:w="100" w:type="dxa"/>
            <w:vAlign w:val="bottom"/>
            <w:shd w:val="clear" w:color="auto" w:fill="CCEEFF"/>
          </w:tcPr>
          <w:p>
            <w:pPr>
              <w:spacing w:after="0"/>
              <w:rPr>
                <w:sz w:val="21"/>
                <w:szCs w:val="21"/>
                <w:color w:val="auto"/>
              </w:rPr>
            </w:pPr>
          </w:p>
        </w:tc>
        <w:tc>
          <w:tcPr>
            <w:tcW w:w="1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16.4%</w:t>
            </w:r>
          </w:p>
        </w:tc>
        <w:tc>
          <w:tcPr>
            <w:tcW w:w="5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14.8%</w:t>
            </w:r>
          </w:p>
        </w:tc>
      </w:tr>
      <w:tr>
        <w:trPr>
          <w:trHeight w:val="257"/>
        </w:trPr>
        <w:tc>
          <w:tcPr>
            <w:tcW w:w="80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 xml:space="preserve">Equity interest in HSLFI and debt investments </w:t>
            </w:r>
            <w:r>
              <w:rPr>
                <w:rFonts w:ascii="Times New Roman" w:cs="Times New Roman" w:eastAsia="Times New Roman" w:hAnsi="Times New Roman"/>
                <w:sz w:val="29"/>
                <w:szCs w:val="29"/>
                <w:color w:val="auto"/>
                <w:vertAlign w:val="superscript"/>
              </w:rPr>
              <w:t>(1)(3)</w:t>
            </w:r>
          </w:p>
        </w:tc>
        <w:tc>
          <w:tcPr>
            <w:tcW w:w="1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16.2%</w:t>
            </w:r>
          </w:p>
        </w:tc>
        <w:tc>
          <w:tcPr>
            <w:tcW w:w="500" w:type="dxa"/>
            <w:vAlign w:val="bottom"/>
          </w:tcPr>
          <w:p>
            <w:pPr>
              <w:spacing w:after="0"/>
              <w:rPr>
                <w:sz w:val="22"/>
                <w:szCs w:val="22"/>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14.7%</w:t>
            </w:r>
          </w:p>
        </w:tc>
      </w:tr>
      <w:tr>
        <w:trPr>
          <w:trHeight w:val="257"/>
        </w:trPr>
        <w:tc>
          <w:tcPr>
            <w:tcW w:w="80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Equity interest in HSLFI</w:t>
            </w:r>
            <w:r>
              <w:rPr>
                <w:rFonts w:ascii="Times New Roman" w:cs="Times New Roman" w:eastAsia="Times New Roman" w:hAnsi="Times New Roman"/>
                <w:sz w:val="29"/>
                <w:szCs w:val="29"/>
                <w:color w:val="auto"/>
                <w:vertAlign w:val="superscript"/>
              </w:rPr>
              <w:t>(1)(4)</w:t>
            </w:r>
          </w:p>
        </w:tc>
        <w:tc>
          <w:tcPr>
            <w:tcW w:w="1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12.2%</w:t>
            </w:r>
          </w:p>
        </w:tc>
        <w:tc>
          <w:tcPr>
            <w:tcW w:w="50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13.6%</w:t>
            </w:r>
          </w:p>
        </w:tc>
      </w:tr>
      <w:tr>
        <w:trPr>
          <w:trHeight w:val="394"/>
        </w:trPr>
        <w:tc>
          <w:tcPr>
            <w:tcW w:w="8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investments</w:t>
            </w:r>
            <w:r>
              <w:rPr>
                <w:rFonts w:ascii="Times New Roman" w:cs="Times New Roman" w:eastAsia="Times New Roman" w:hAnsi="Times New Roman"/>
                <w:sz w:val="30"/>
                <w:szCs w:val="30"/>
                <w:color w:val="auto"/>
                <w:vertAlign w:val="superscript"/>
              </w:rPr>
              <w:t>(1)(5)</w:t>
            </w:r>
          </w:p>
        </w:tc>
        <w:tc>
          <w:tcPr>
            <w:tcW w:w="1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15.1%</w:t>
            </w:r>
          </w:p>
        </w:tc>
        <w:tc>
          <w:tcPr>
            <w:tcW w:w="500" w:type="dxa"/>
            <w:vAlign w:val="bottom"/>
          </w:tcPr>
          <w:p>
            <w:pPr>
              <w:spacing w:after="0"/>
              <w:rPr>
                <w:sz w:val="24"/>
                <w:szCs w:val="24"/>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180975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75" w:lineRule="exact"/>
        <w:rPr>
          <w:sz w:val="20"/>
          <w:szCs w:val="20"/>
          <w:color w:val="auto"/>
        </w:rPr>
      </w:pPr>
    </w:p>
    <w:p>
      <w:pPr>
        <w:jc w:val="both"/>
        <w:ind w:left="340" w:hanging="332"/>
        <w:spacing w:after="0" w:line="255"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calculate the dollar-weighted annualized yield on average investment type for any period as (1) total related investment income during the period divided by (2) the average of the fair value of the investment type outstanding on (a) the last day of the calendar month immediately preceding the first day of the period and (b) the last day of each calendar month during the period. The dollar-weighted annualized yield on average investment type is higher than what investors will realize because it does not reflect our expenses or any sales load paid by investors</w:t>
      </w:r>
    </w:p>
    <w:p>
      <w:pPr>
        <w:spacing w:after="0" w:line="2"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any yield from warrants, equity, other investments and equity interest in HSLFI. Related investment income includes interest income and fee income from debt investments.</w:t>
      </w:r>
    </w:p>
    <w:p>
      <w:pPr>
        <w:ind w:left="340" w:right="20" w:hanging="332"/>
        <w:spacing w:after="0" w:line="250"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any yield from warrants, equity and other investments. Related investment income includes interest income and fee income from debt investments and dividend income from equity interest in HSLFI.</w:t>
      </w:r>
    </w:p>
    <w:p>
      <w:pPr>
        <w:ind w:left="340" w:hanging="332"/>
        <w:spacing w:after="0" w:line="250"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any yield from debt investments, warrants, equity and other investments. Related investment income includes dividend income from equity interest in HSLFI.</w:t>
      </w:r>
    </w:p>
    <w:p>
      <w:pPr>
        <w:ind w:left="340" w:hanging="332"/>
        <w:spacing w:after="0" w:line="261"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any yield from debt investments, warrants, equity, other investments and equity interest in HSFLI. Related investment income includes interest income, fee income and dividend income.</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Investment income, consisting of interest income and fees on debt investments, can fluctuate significantly upon repayment of large debt investments.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income from the five largest debt investments in the aggregate accounted for 24% and 31% of investment income for the nine months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2019 and 2018, respectively.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Net expenses increased by $3.7 million, or 30.3%, to $16.1 million for the nine months ended September 30, 2019 as compared to the nine months ended September 30, 2018. Total expenses for each period consisted of interest expense, base management fee, incentive and administrative fees, professional fees and general and administrative expenses.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Interest expense increased by $1.6 million, or 34.5%, to $6.2 million for the nine months ended September 30, 2019 as compared to the nine months ended September 30, 2018. Interest expense, which includes the amortization of debt issuance costs, increased primarily due to an increase in average borrowings of $33.1 million, or 34.2% for the nine months ended September 30, 2019 as compared to the nine months ended September 30, 2018.</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Base management fee expense increased by $0.7 million, or 19.3%, to $4.1 million for the nine months ended September 30, 2019 as compared to the nine months ended September 30, 2018. Base management fee increased primarily due to an increase of $35.3 million, or 17.6%, in the average size of our investment portfolio for the nine months ended September 30, 2019 as compared to the nine months ended September 30, 2018.</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60" w:name="page61"/>
    <w:bookmarkEnd w:id="60"/>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March 5, 2019, our Advisor irrevocably waived the receipt of incentive fees related to the amounts previously deferred that it may be entitled to receive under the Investment Management Agreement for the period commencing on January 1, 2019 and ending on December 31, 2019. Such waived incentive fees will not be subject to recoupment. During the nine months ended September 30, 2019, our Advisor waived performance based incentive fees of $1.8 million which our Advisor would have otherwise been paid. This resulted in $1.8 million of reduced expense and additional net investment income for the nine months ended September 30, 2019.</w:t>
      </w:r>
    </w:p>
    <w:p>
      <w:pPr>
        <w:spacing w:after="0" w:line="18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March 6, 2018, our Advisor irrevocably waived the receipt of incentive fees related to the amounts previously deferred that it may be entitled to receive under the Investment Management Agreement for the period commencing on January 1, 2018 and ending on December 31, 2018. Such waived incentive fees are not subject to recoupment. During the nine months ended September 30, 2018, our Advisor waived performance based incentive fees of $0.6 million which our Advisor would have otherwise been paid. This resulted in $0.6 million of reduced expense and additional net investment income for the nine months ended September 30, 2018.</w:t>
      </w:r>
    </w:p>
    <w:p>
      <w:pPr>
        <w:spacing w:after="0" w:line="18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Performance based incentive fee expense, net of the waiver above, increased by $1.3 million, or 58.0%, to $3.5 million for the nine months ended September 30, 2019 as compared to the nine months ended September 30, 2018. This increase was due to (i) an increase of $5.4 million, or 44.6%, in Pre-Incentive Fee Net Investment Income for the nine months ended September 30, 2019 compared to the nine months ended September 30, 2018 and (ii) an increase in the Incentive Fee Cap calculated based on the incentive fee cap and deferral mechanism in our Investment Management Agreement for the nine months ended September 30, 2019 compared to the nine months ended September 30, 2018. The incentive fee on pre-incentive fee net investment income was subject to the Incentive Fee Cap for the nine months ended September 30, 2018 due to the cumulative incentive fees paid exceeding 20% of cumulative pre-incentive fee net return during the applicable quarter and the 11 preceding full calendar quarters.</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Administrative fee expense, professional fees and general and administrative were $2.4 million and $2.1 million, respectively, for the nine months ended September 30, 2019 and 2018.</w:t>
      </w:r>
    </w:p>
    <w:p>
      <w:pPr>
        <w:spacing w:after="0" w:line="15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Net realized gains and losses and net unrealized appreciation and depreciation</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Realized gains or losses on investments are measured by the difference between the net proceeds from the repayment or sale and the cost basis of our investments without regard to unrealized appreciation or depreciation previously recognized. Realized gains or losses on investments include investments charged off during the period, net of recoveries. The net change in unrealized appreciation or depreciation on investments primarily reflects the change in portfolio investment fair values during the reporting period, including the reversal of previously recorded unrealized appreciation or depreciation when gains or losses are realized.</w:t>
      </w:r>
    </w:p>
    <w:p>
      <w:pPr>
        <w:spacing w:after="0" w:line="18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During the nine months ended September 30, 2019, we realized net losses totaling $3.9 million primarily due to the expiration of one of our royalty agreements which was included in other investments which was partially offset by a gain on the sale of our equity investment in one portfolio company and from the consideration we received from the termination of warrants upon the sale of two portfolio companies. During the nine months ended September 30, 2018, we realized net losses totaling $0.2 million primarily due to the write off of warrants in nine portfolio companies partially offset by realized gains on the termination of warrants upon the sale of two portfolio companies.</w:t>
      </w:r>
    </w:p>
    <w:p>
      <w:pPr>
        <w:spacing w:after="0" w:line="18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During the nine months ended September 30, 2019, net unrealized appreciation on investments totaled $2.7 million which was primarily due to the net unrealized appreciation on two of our royalty agreements which were included in other investments and the unrealized appreciation on one of our equity investments, partially offset by the unrealized depreciation on one of our debt investments. During the nine months ended September 30, 2018, net unrealized appreciation on investments totaled $0.1 million which was primarily due to the unrealized appreciation on one warrant investment partially offset by the depreciation on one public equity investment and two public warrant investments.</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September 30, 2019 and December 31, 2018, we had cash of $36.4 million and $12.6 million, respectively. Cash is available to fund new investments, reduce borrowings, pay expenses, repurchase common stock and pay distributions. Our primary sources of capital have been from our public and private equity offerings, use of our revolving credit facilities and issuance of our public debt offerings.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1" w:name="page62"/>
    <w:bookmarkEnd w:id="61"/>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August 2, 2019 we entered into an At-The-Market (“ATM”) sales agreement (the “Equity Distribution Agreement”), with Goldman Sachs &amp; Co. LLC and B. Riley FBR, Inc. (each a “Sales Agent” and, collectively, the “Sales Agents”). The Equity Distribution Agreement provides that we may offer and sell shares of common stock from time to time through the Sales Agents representing up to $50.0 million worth of our common stock, in amounts and at times to be determined by us.</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three and nine months ended September 30, 2019, we sold approximately 0.9 million shares of common stock under the Equity Distribution Agreement. For the same period, we received total accumulated net proceeds of approximately $10.4 million, including $0.2 million of offering expenses, from these sales.</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April 26, 2019, our Board extended a previously authorized stock repurchase program which allows us to repurchase up to $5.0 million of our common stock at prices below our net asset value per share as reported in our most recent consolidated financial statements. Under the repurchase program, we may, but are not obligated to, repurchase shares of our outstanding common stock in the open market or in privately negotiated transactions from time to time. Any repurchases by us will comply with the requirements of Rule 10b-18 under the Securities Exchange Act of 1934, as amended, or the Exchange Act, and any applicable requirements of the 1940 Act. Unless extended by our Board, the repurchase program will terminate on the earlier of June 30, 2020 or the repurchase of $5.0 million of our common stock. During the three and nine months ended September 30, 2019 and 2018, we did not make any repurchases of our common stock. From the inception of the stock repurchase program through September 30, 2019, we repurchased 167,465 shares of our common stock at an average price of $11.22 on the open market at a total cost of $1.9 million.</w:t>
      </w:r>
    </w:p>
    <w:p>
      <w:pPr>
        <w:spacing w:after="0" w:line="18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At September 30, 2019 and December 31, 2018, the outstanding principal balance under our revolving credit facility, or the Key Facility, with KeyBank National Association was $15.0 million and $90.5 million, respectively. As of September 30, 2019 and December 31, 2018, we had borrowing capacity under the Key Facility of $110.0 million and $34.5 million, respectively. At September 30, 2019 and December 31, 2018, $14.6 million and $0.9 million, respectively, were available, subject to existing terms and advance rates.</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operating activities used cash of $40.4 million for the nine months ended September 30, 2019, and our financing activities provided cash of $44.7 million for the same period. Our operating activities used cash primarily to purchase investments in portfolio companies partially offset by principal payments received on our debt investments. Our financing activities provided cash primarily from the sale of shares through a follow-on public offering and our ATM for net proceeds of $33.3 million, after deducting underwriting commission and discounts and other offering expenses and the completion of our securitization, partially offset by cash used to repay our Key Facility and pay distributions to our stockholders.</w:t>
      </w:r>
    </w:p>
    <w:p>
      <w:pPr>
        <w:spacing w:after="0" w:line="18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operating activities used cash of $7.7 million for the nine months ended September 30, 2018, and our financing activities provided cash of $7.0 million for the same period. Our operating activities used cash primarily to purchase investments in portfolio companies partially offset by principal payments received on our debt investments. Our financing activities provided cash primarily from advances on our Key Facility, partially offset by cash used to repay our Key Facility and pay distributions to our stockholders.</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primary use of available funds is to make debt investments in portfolio companies and for general corporate purposes. We expect to raise additional equity and debt capital opportunistically as needed and, subject to market conditions, to support our future growth to the extent permitted by the 1940 Act.</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order to remain subject to taxation as a RIC, we intend to distribute to our stockholders all or substantially all of our investment company taxable income. In addition, as a BDC, we are required to maintain asset coverage of at least 150%. This requirement limits the amount that we may borrow.</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believe that our current cash, cash generated from operations, and funds available from our Key Facility will be sufficient to meet our working capital and capital expenditure commitments for at least the next 12 months.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38"/>
        </w:trPr>
        <w:tc>
          <w:tcPr>
            <w:tcW w:w="3440" w:type="dxa"/>
            <w:vAlign w:val="bottom"/>
          </w:tcPr>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Current borrowings</w:t>
            </w: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7440" w:type="dxa"/>
            <w:vAlign w:val="bottom"/>
            <w:gridSpan w:val="12"/>
          </w:tcPr>
          <w:p>
            <w:pPr>
              <w:ind w:left="340"/>
              <w:spacing w:after="0"/>
              <w:rPr>
                <w:sz w:val="20"/>
                <w:szCs w:val="20"/>
                <w:color w:val="auto"/>
              </w:rPr>
            </w:pPr>
            <w:r>
              <w:rPr>
                <w:rFonts w:ascii="Times New Roman" w:cs="Times New Roman" w:eastAsia="Times New Roman" w:hAnsi="Times New Roman"/>
                <w:sz w:val="18"/>
                <w:szCs w:val="18"/>
                <w:color w:val="auto"/>
              </w:rPr>
              <w:t>The following table shows our borrowings as of September 30, 2019 and December 31, 2018:</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6"/>
        </w:trPr>
        <w:tc>
          <w:tcPr>
            <w:tcW w:w="34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September 30, 2019</w:t>
            </w: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4"/>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December 31, 2018</w:t>
            </w: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87"/>
        </w:trPr>
        <w:tc>
          <w:tcPr>
            <w:tcW w:w="3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gridSpan w:val="2"/>
          </w:tcPr>
          <w:p>
            <w:pPr>
              <w:ind w:left="120"/>
              <w:spacing w:after="0" w:line="188" w:lineRule="exact"/>
              <w:rPr>
                <w:sz w:val="20"/>
                <w:szCs w:val="20"/>
                <w:color w:val="auto"/>
              </w:rPr>
            </w:pPr>
            <w:r>
              <w:rPr>
                <w:rFonts w:ascii="Times New Roman" w:cs="Times New Roman" w:eastAsia="Times New Roman" w:hAnsi="Times New Roman"/>
                <w:sz w:val="18"/>
                <w:szCs w:val="18"/>
                <w:b w:val="1"/>
                <w:bCs w:val="1"/>
                <w:color w:val="auto"/>
              </w:rPr>
              <w:t>Total</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center"/>
              <w:ind w:right="440"/>
              <w:spacing w:after="0" w:line="188" w:lineRule="exact"/>
              <w:rPr>
                <w:sz w:val="20"/>
                <w:szCs w:val="20"/>
                <w:color w:val="auto"/>
              </w:rPr>
            </w:pPr>
            <w:r>
              <w:rPr>
                <w:rFonts w:ascii="Times New Roman" w:cs="Times New Roman" w:eastAsia="Times New Roman" w:hAnsi="Times New Roman"/>
                <w:sz w:val="18"/>
                <w:szCs w:val="18"/>
                <w:b w:val="1"/>
                <w:bCs w:val="1"/>
                <w:color w:val="auto"/>
              </w:rPr>
              <w:t>Balance</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ind w:right="130"/>
              <w:spacing w:after="0" w:line="188" w:lineRule="exact"/>
              <w:rPr>
                <w:sz w:val="20"/>
                <w:szCs w:val="20"/>
                <w:color w:val="auto"/>
              </w:rPr>
            </w:pPr>
            <w:r>
              <w:rPr>
                <w:rFonts w:ascii="Times New Roman" w:cs="Times New Roman" w:eastAsia="Times New Roman" w:hAnsi="Times New Roman"/>
                <w:sz w:val="18"/>
                <w:szCs w:val="18"/>
                <w:b w:val="1"/>
                <w:bCs w:val="1"/>
                <w:color w:val="auto"/>
              </w:rPr>
              <w:t>Unused</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gridSpan w:val="2"/>
          </w:tcPr>
          <w:p>
            <w:pPr>
              <w:jc w:val="center"/>
              <w:ind w:right="260"/>
              <w:spacing w:after="0" w:line="188" w:lineRule="exact"/>
              <w:rPr>
                <w:sz w:val="20"/>
                <w:szCs w:val="20"/>
                <w:color w:val="auto"/>
              </w:rPr>
            </w:pPr>
            <w:r>
              <w:rPr>
                <w:rFonts w:ascii="Times New Roman" w:cs="Times New Roman" w:eastAsia="Times New Roman" w:hAnsi="Times New Roman"/>
                <w:sz w:val="18"/>
                <w:szCs w:val="18"/>
                <w:b w:val="1"/>
                <w:bCs w:val="1"/>
                <w:color w:val="auto"/>
                <w:w w:val="97"/>
              </w:rPr>
              <w:t>Total</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center"/>
              <w:ind w:right="460"/>
              <w:spacing w:after="0" w:line="188" w:lineRule="exact"/>
              <w:rPr>
                <w:sz w:val="20"/>
                <w:szCs w:val="20"/>
                <w:color w:val="auto"/>
              </w:rPr>
            </w:pPr>
            <w:r>
              <w:rPr>
                <w:rFonts w:ascii="Times New Roman" w:cs="Times New Roman" w:eastAsia="Times New Roman" w:hAnsi="Times New Roman"/>
                <w:sz w:val="18"/>
                <w:szCs w:val="18"/>
                <w:b w:val="1"/>
                <w:bCs w:val="1"/>
                <w:color w:val="auto"/>
              </w:rPr>
              <w:t>Balance</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130"/>
              <w:spacing w:after="0" w:line="188" w:lineRule="exact"/>
              <w:rPr>
                <w:sz w:val="20"/>
                <w:szCs w:val="20"/>
                <w:color w:val="auto"/>
              </w:rPr>
            </w:pPr>
            <w:r>
              <w:rPr>
                <w:rFonts w:ascii="Times New Roman" w:cs="Times New Roman" w:eastAsia="Times New Roman" w:hAnsi="Times New Roman"/>
                <w:sz w:val="18"/>
                <w:szCs w:val="18"/>
                <w:b w:val="1"/>
                <w:bCs w:val="1"/>
                <w:color w:val="auto"/>
              </w:rPr>
              <w:t>Unused</w:t>
            </w:r>
          </w:p>
        </w:tc>
        <w:tc>
          <w:tcPr>
            <w:tcW w:w="100" w:type="dxa"/>
            <w:vAlign w:val="bottom"/>
            <w:gridSpan w:val="2"/>
          </w:tcPr>
          <w:p>
            <w:pPr>
              <w:spacing w:after="0"/>
              <w:rPr>
                <w:sz w:val="16"/>
                <w:szCs w:val="16"/>
                <w:color w:val="auto"/>
              </w:rPr>
            </w:pPr>
          </w:p>
        </w:tc>
      </w:tr>
      <w:tr>
        <w:trPr>
          <w:trHeight w:val="238"/>
        </w:trPr>
        <w:tc>
          <w:tcPr>
            <w:tcW w:w="3440" w:type="dxa"/>
            <w:vAlign w:val="bottom"/>
          </w:tcPr>
          <w:p>
            <w:pPr>
              <w:spacing w:after="0"/>
              <w:rPr>
                <w:sz w:val="20"/>
                <w:szCs w:val="20"/>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Commitment</w:t>
            </w:r>
          </w:p>
        </w:tc>
        <w:tc>
          <w:tcPr>
            <w:tcW w:w="280" w:type="dxa"/>
            <w:vAlign w:val="bottom"/>
          </w:tcPr>
          <w:p>
            <w:pPr>
              <w:spacing w:after="0"/>
              <w:rPr>
                <w:sz w:val="20"/>
                <w:szCs w:val="20"/>
                <w:color w:val="auto"/>
              </w:rPr>
            </w:pPr>
          </w:p>
        </w:tc>
        <w:tc>
          <w:tcPr>
            <w:tcW w:w="134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60" w:type="dxa"/>
            <w:vAlign w:val="bottom"/>
          </w:tcPr>
          <w:p>
            <w:pPr>
              <w:spacing w:after="0"/>
              <w:rPr>
                <w:sz w:val="20"/>
                <w:szCs w:val="20"/>
                <w:color w:val="auto"/>
              </w:rPr>
            </w:pP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w:t>
            </w:r>
          </w:p>
        </w:tc>
        <w:tc>
          <w:tcPr>
            <w:tcW w:w="180" w:type="dxa"/>
            <w:vAlign w:val="bottom"/>
          </w:tcPr>
          <w:p>
            <w:pPr>
              <w:spacing w:after="0"/>
              <w:rPr>
                <w:sz w:val="20"/>
                <w:szCs w:val="20"/>
                <w:color w:val="auto"/>
              </w:rPr>
            </w:pPr>
          </w:p>
        </w:tc>
        <w:tc>
          <w:tcPr>
            <w:tcW w:w="106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Commitment</w:t>
            </w:r>
          </w:p>
        </w:tc>
        <w:tc>
          <w:tcPr>
            <w:tcW w:w="280" w:type="dxa"/>
            <w:vAlign w:val="bottom"/>
          </w:tcPr>
          <w:p>
            <w:pPr>
              <w:spacing w:after="0"/>
              <w:rPr>
                <w:sz w:val="20"/>
                <w:szCs w:val="20"/>
                <w:color w:val="auto"/>
              </w:rPr>
            </w:pPr>
          </w:p>
        </w:tc>
        <w:tc>
          <w:tcPr>
            <w:tcW w:w="134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1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Commitment</w:t>
            </w:r>
          </w:p>
        </w:tc>
      </w:tr>
      <w:tr>
        <w:trPr>
          <w:trHeight w:val="210"/>
        </w:trPr>
        <w:tc>
          <w:tcPr>
            <w:tcW w:w="34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260" w:type="dxa"/>
            <w:vAlign w:val="bottom"/>
            <w:tcBorders>
              <w:top w:val="single" w:sz="8" w:color="auto"/>
            </w:tcBorders>
            <w:gridSpan w:val="5"/>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Key Facility</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125,000</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15,000</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110,000</w:t>
            </w:r>
          </w:p>
        </w:tc>
        <w:tc>
          <w:tcPr>
            <w:tcW w:w="38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125,000</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90,500</w:t>
            </w: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34,500</w:t>
            </w:r>
          </w:p>
        </w:tc>
        <w:tc>
          <w:tcPr>
            <w:tcW w:w="80" w:type="dxa"/>
            <w:vAlign w:val="bottom"/>
            <w:shd w:val="clear" w:color="auto" w:fill="CCEEFF"/>
          </w:tcPr>
          <w:p>
            <w:pPr>
              <w:spacing w:after="0"/>
              <w:rPr>
                <w:sz w:val="18"/>
                <w:szCs w:val="18"/>
                <w:color w:val="auto"/>
              </w:rPr>
            </w:pP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Asset-Backed Notes</w:t>
            </w:r>
          </w:p>
        </w:tc>
        <w:tc>
          <w:tcPr>
            <w:tcW w:w="2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100,000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100,000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 Notes</w:t>
            </w: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37,375</w:t>
            </w: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37,375</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37,375</w:t>
            </w: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37,375</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before debt issuance costs</w:t>
            </w:r>
          </w:p>
        </w:tc>
        <w:tc>
          <w:tcPr>
            <w:tcW w:w="2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262,375</w:t>
            </w:r>
          </w:p>
        </w:tc>
        <w:tc>
          <w:tcPr>
            <w:tcW w:w="6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152,375</w:t>
            </w:r>
          </w:p>
        </w:tc>
        <w:tc>
          <w:tcPr>
            <w:tcW w:w="3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110,000</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162,375</w:t>
            </w:r>
          </w:p>
        </w:tc>
        <w:tc>
          <w:tcPr>
            <w:tcW w:w="4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127,875</w:t>
            </w:r>
          </w:p>
        </w:tc>
        <w:tc>
          <w:tcPr>
            <w:tcW w:w="3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34,500</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178"/>
        </w:trPr>
        <w:tc>
          <w:tcPr>
            <w:tcW w:w="3440" w:type="dxa"/>
            <w:vAlign w:val="bottom"/>
            <w:shd w:val="clear" w:color="auto" w:fill="CCEEFF"/>
          </w:tcPr>
          <w:p>
            <w:pPr>
              <w:spacing w:after="0" w:line="178" w:lineRule="exact"/>
              <w:rPr>
                <w:sz w:val="20"/>
                <w:szCs w:val="20"/>
                <w:color w:val="auto"/>
              </w:rPr>
            </w:pPr>
            <w:r>
              <w:rPr>
                <w:rFonts w:ascii="Times New Roman" w:cs="Times New Roman" w:eastAsia="Times New Roman" w:hAnsi="Times New Roman"/>
                <w:sz w:val="18"/>
                <w:szCs w:val="18"/>
                <w:color w:val="auto"/>
              </w:rPr>
              <w:t>Unamortized debt issuance costs</w:t>
            </w: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248"/>
        </w:trPr>
        <w:tc>
          <w:tcPr>
            <w:tcW w:w="3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attributable to term borrowings</w:t>
            </w:r>
          </w:p>
        </w:tc>
        <w:tc>
          <w:tcPr>
            <w:tcW w:w="20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(2,455)</w:t>
            </w: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(1,022)</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Total borrowings outstanding, net</w:t>
            </w: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262,375</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149,920</w:t>
            </w: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110,000</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162,375</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126,853</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3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entered into the Key Facility effective November 4, 2013. The interest rate on the Key Facility is based upon the one-month LIBOR plus a spread of 3.25%, with a LIBOR floor of 0.75%. The LIBOR rate was 2.10% and 2.50% as of September 30, 2019 and December 31, 2018, respectively. The interest rates in effect were 5.35% and 5.60% as of September 30, 2019 and December 31, 2018, respectively. The Key Facility requires the payment of an unused line fee in an amount equal to 0.50% of any unborrowed amount available under the facility annually.</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Key Facility has an accordion feature which allows for an increase in the total loan commitment to $150 million. On December 28, 2018, we amended the Key Facility, increasing the aggregate commitments under the Key Facility by $25 million to $125 million. The Key Facility is collateralized by debt investments held by Horizon Credit II LLC, or Credit II, and permits an advance rate of up to fifty percent (50%) of eligible debt investments held by Credit II. The Key Facility contains covenants that, among other things, require us to maintain a minimum net worth, to restrict the debt investments securing the Key Facility to certain criteria for qualified debt investments and to comply with portfolio company concentration limits as defined in the related loan agreement. The period during which we may request advances under the Key Facility, or the Revolving Period, extends through April 6, 2021. After the Revolving Period, we may not request new advances, and we must repay the outstanding advances under the Key Facility as of such date, at such times and in such amounts as are necessary to maintain compliance with the terms and conditions of the Key Facility, particularly the condition that the principal balance of the Key Facility not exceed fifty percent (50%) of the aggregate principal balance of our eligible debt investments to our portfolio companies. The maturity of the Key Facility, the date on which all outstanding advances under the Key Facility are due and payable, is on April 6, 2023.</w:t>
      </w:r>
    </w:p>
    <w:p>
      <w:pPr>
        <w:spacing w:after="0" w:line="18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September 29, 2017, we issued and sold an aggregate principal amount of $32.5 million of our 6.25% notes due 2022, or the 2022 Notes, and on October 11, 2017, pursuant to the underwriters’ 30-day option to purchase additional notes, we sold an additional $4.9 million of the 2022 Notes. The 2022 Notes have a stated maturity of September 15, 2022 and may be redeemed in whole or in part at our option at any time or from time to time on or after September 15, 2019 at a redemption price of $25 per security plus accrued and unpaid interest. The 2022 Notes bear interest at a rate of 6.25% per year payable quarterly on March 15, June 15, September 15 and December 15 of each year. The 2022 Notes are our direct, unsecured obligations and (1) rank equally in right of payment with our current and future unsecured indebtedness; (2) are senior in right of payment to any of our future indebtedness that expressly provides it is subordinated to the 2022 Notes; (3) are effectively subordinated to all of our existing and future secured indebtedness (including indebtedness that is initially unsecured to which we subsequently grant security), to the extent of the value of the assets securing such indebtedness and</w:t>
      </w:r>
    </w:p>
    <w:p>
      <w:pPr>
        <w:spacing w:after="0" w:line="1" w:lineRule="exact"/>
        <w:rPr>
          <w:sz w:val="20"/>
          <w:szCs w:val="20"/>
          <w:color w:val="auto"/>
        </w:rPr>
      </w:pPr>
    </w:p>
    <w:p>
      <w:pPr>
        <w:ind w:right="20" w:firstLine="8"/>
        <w:spacing w:after="0" w:line="261" w:lineRule="auto"/>
        <w:tabs>
          <w:tab w:leader="none" w:pos="25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structurally subordinated to all existing and future indebtedness and other obligations of any of our subsidiaries. As of September 30, 2019, we were in material compliance with the terms of the 2022 Notes. The 2022 Notes are listed on the New York Stock Exchange under the symbol “HTFA”.</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63" w:name="page64"/>
    <w:bookmarkEnd w:id="63"/>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On August 13, 2019, we completed a term debt securitization in connection with which an affiliate of ours made an offering of $100.0 million in aggregate principal amount of fixed rate asset-backed notes, or the Asset-Backed Notes. The Asset-Backed Notes were rated A+(sf) by Morningstar Credit Ratings, LLC.</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Asset-Backed Notes were issued by the 2019-1 Trust pursuant to a note purchase agreement, dated as of August 13, 2019, by and among us and Keybanc Capital Markets Inc. as Initial Purchaser, and are backed by a pool of loans made to certain portfolio companies of ours and secured by certain assets of those portfolio companies and are to be serviced by us. Interest on the Asset-Backed Notes will be paid, to the extent of funds available, at a fixed rate of 4.21% per annum. The Asset-Backed Notes have a two-year reinvestment period and a stated maturity of September 15, 2027.</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At September 30, 2019, the Asset-Backed Notes had an outstanding principal balance of $100.0 million. There was no outstanding principal balance for the Asset-Backed Notes at December 31, 2018.</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Under the terms of the Asset-Backed Notes, we are required to maintain a reserve cash balance, funded through proceeds from the sale of the Asset-Backed Notes, which may be used to pay monthly interest and principal payments on the Asset-Backed Notes. The Company has segregated these funds and classified them as restricted investments in money market funds. At September 30, 2019, there was approximately $1.2 million of restricted investments. There were no funds segregated as restricted investments related to the Asset-Backed Notes at December 31, 2018.</w:t>
      </w:r>
    </w:p>
    <w:p>
      <w:pPr>
        <w:spacing w:after="0" w:line="17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Other assets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September 30, 2019 and December 31, 2018, other assets were $2.2 million and $1.8 million, respectively, which is primarily comprised of debt issuance costs and prepaid expenses.</w:t>
      </w:r>
    </w:p>
    <w:p>
      <w:pPr>
        <w:spacing w:after="0" w:line="15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off-balance sheet arrangements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shows our significant contractual payment obligations and off-balance sheet arrangements as of September 30, 2019:</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7"/>
          </w:tcPr>
          <w:p>
            <w:pPr>
              <w:ind w:left="980"/>
              <w:spacing w:after="0"/>
              <w:rPr>
                <w:sz w:val="20"/>
                <w:szCs w:val="20"/>
                <w:color w:val="auto"/>
              </w:rPr>
            </w:pPr>
            <w:r>
              <w:rPr>
                <w:rFonts w:ascii="Times New Roman" w:cs="Times New Roman" w:eastAsia="Times New Roman" w:hAnsi="Times New Roman"/>
                <w:sz w:val="18"/>
                <w:szCs w:val="18"/>
                <w:b w:val="1"/>
                <w:bCs w:val="1"/>
                <w:color w:val="auto"/>
              </w:rPr>
              <w:t>Payments due by period</w:t>
            </w:r>
          </w:p>
        </w:tc>
        <w:tc>
          <w:tcPr>
            <w:tcW w:w="10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4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gridSpan w:val="2"/>
          </w:tcPr>
          <w:p>
            <w:pPr>
              <w:jc w:val="center"/>
              <w:ind w:right="440"/>
              <w:spacing w:after="0" w:line="188" w:lineRule="exact"/>
              <w:rPr>
                <w:sz w:val="20"/>
                <w:szCs w:val="20"/>
                <w:color w:val="auto"/>
              </w:rPr>
            </w:pPr>
            <w:r>
              <w:rPr>
                <w:rFonts w:ascii="Times New Roman" w:cs="Times New Roman" w:eastAsia="Times New Roman" w:hAnsi="Times New Roman"/>
                <w:sz w:val="18"/>
                <w:szCs w:val="18"/>
                <w:b w:val="1"/>
                <w:bCs w:val="1"/>
                <w:color w:val="auto"/>
              </w:rPr>
              <w:t>Less than</w:t>
            </w:r>
          </w:p>
        </w:tc>
        <w:tc>
          <w:tcPr>
            <w:tcW w:w="240" w:type="dxa"/>
            <w:vAlign w:val="bottom"/>
          </w:tcPr>
          <w:p>
            <w:pPr>
              <w:spacing w:after="0"/>
              <w:rPr>
                <w:sz w:val="16"/>
                <w:szCs w:val="16"/>
                <w:color w:val="auto"/>
              </w:rPr>
            </w:pPr>
          </w:p>
        </w:tc>
        <w:tc>
          <w:tcPr>
            <w:tcW w:w="1100" w:type="dxa"/>
            <w:vAlign w:val="bottom"/>
            <w:gridSpan w:val="2"/>
          </w:tcPr>
          <w:p>
            <w:pPr>
              <w:jc w:val="center"/>
              <w:ind w:right="340"/>
              <w:spacing w:after="0" w:line="188" w:lineRule="exact"/>
              <w:rPr>
                <w:sz w:val="20"/>
                <w:szCs w:val="20"/>
                <w:color w:val="auto"/>
              </w:rPr>
            </w:pPr>
            <w:r>
              <w:rPr>
                <w:rFonts w:ascii="Times New Roman" w:cs="Times New Roman" w:eastAsia="Times New Roman" w:hAnsi="Times New Roman"/>
                <w:sz w:val="18"/>
                <w:szCs w:val="18"/>
                <w:b w:val="1"/>
                <w:bCs w:val="1"/>
                <w:color w:val="auto"/>
                <w:w w:val="99"/>
              </w:rPr>
              <w:t>1 – 3</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center"/>
              <w:ind w:right="340"/>
              <w:spacing w:after="0" w:line="188" w:lineRule="exact"/>
              <w:rPr>
                <w:sz w:val="20"/>
                <w:szCs w:val="20"/>
                <w:color w:val="auto"/>
              </w:rPr>
            </w:pPr>
            <w:r>
              <w:rPr>
                <w:rFonts w:ascii="Times New Roman" w:cs="Times New Roman" w:eastAsia="Times New Roman" w:hAnsi="Times New Roman"/>
                <w:sz w:val="18"/>
                <w:szCs w:val="18"/>
                <w:b w:val="1"/>
                <w:bCs w:val="1"/>
                <w:color w:val="auto"/>
                <w:w w:val="99"/>
              </w:rPr>
              <w:t>3 – 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center"/>
              <w:ind w:right="13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After 5</w:t>
            </w:r>
          </w:p>
        </w:tc>
        <w:tc>
          <w:tcPr>
            <w:tcW w:w="100" w:type="dxa"/>
            <w:vAlign w:val="bottom"/>
          </w:tcPr>
          <w:p>
            <w:pPr>
              <w:spacing w:after="0"/>
              <w:rPr>
                <w:sz w:val="16"/>
                <w:szCs w:val="16"/>
                <w:color w:val="auto"/>
              </w:rPr>
            </w:pPr>
          </w:p>
        </w:tc>
      </w:tr>
      <w:tr>
        <w:trPr>
          <w:trHeight w:val="238"/>
        </w:trPr>
        <w:tc>
          <w:tcPr>
            <w:tcW w:w="4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tcPr>
          <w:p>
            <w:pPr>
              <w:spacing w:after="0"/>
              <w:rPr>
                <w:sz w:val="20"/>
                <w:szCs w:val="20"/>
                <w:color w:val="auto"/>
              </w:rPr>
            </w:pPr>
          </w:p>
        </w:tc>
        <w:tc>
          <w:tcPr>
            <w:tcW w:w="13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1 year</w:t>
            </w:r>
          </w:p>
        </w:tc>
        <w:tc>
          <w:tcPr>
            <w:tcW w:w="240" w:type="dxa"/>
            <w:vAlign w:val="bottom"/>
          </w:tcPr>
          <w:p>
            <w:pPr>
              <w:spacing w:after="0"/>
              <w:rPr>
                <w:sz w:val="20"/>
                <w:szCs w:val="20"/>
                <w:color w:val="auto"/>
              </w:rPr>
            </w:pPr>
          </w:p>
        </w:tc>
        <w:tc>
          <w:tcPr>
            <w:tcW w:w="11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3"/>
              </w:rPr>
              <w:t>Years</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3"/>
              </w:rPr>
              <w:t>Years</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years</w:t>
            </w:r>
          </w:p>
        </w:tc>
      </w:tr>
      <w:tr>
        <w:trPr>
          <w:trHeight w:val="210"/>
        </w:trPr>
        <w:tc>
          <w:tcPr>
            <w:tcW w:w="4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Borrowings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152,375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15,348</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64,407</w:t>
            </w:r>
          </w:p>
        </w:tc>
        <w:tc>
          <w:tcPr>
            <w:tcW w:w="36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72,620</w:t>
            </w:r>
          </w:p>
        </w:tc>
        <w:tc>
          <w:tcPr>
            <w:tcW w:w="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Unfunded commitments</w:t>
            </w:r>
          </w:p>
        </w:tc>
        <w:tc>
          <w:tcPr>
            <w:tcW w:w="28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37,750</w:t>
            </w:r>
          </w:p>
        </w:tc>
        <w:tc>
          <w:tcPr>
            <w:tcW w:w="180" w:type="dxa"/>
            <w:vAlign w:val="bottom"/>
          </w:tcPr>
          <w:p>
            <w:pPr>
              <w:spacing w:after="0"/>
              <w:rPr>
                <w:sz w:val="19"/>
                <w:szCs w:val="19"/>
                <w:color w:val="auto"/>
              </w:rPr>
            </w:pPr>
          </w:p>
        </w:tc>
        <w:tc>
          <w:tcPr>
            <w:tcW w:w="13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37,500</w:t>
            </w:r>
          </w:p>
        </w:tc>
        <w:tc>
          <w:tcPr>
            <w:tcW w:w="2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1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190,125</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w w:val="92"/>
              </w:rPr>
              <w:t>52,848</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69,407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72,620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the normal course of business, we are party to financial instruments with off-balance sheet risk. These consist primarily of unfunded commitments to extend credit, in the form of loans, to our portfolio companies. Unfunded commitments to provide funds to portfolio companies are not reflected on our balance sheet. Our unfunded commitments may be significant from time to time. As of September 30, 2019, we had such unfunded commitments of $37.8 million. This includes no undrawn revolver commitments. These commitments are subject to the same underwriting and ongoing portfolio maintenance requirements as are the financial instruments that we hold on our balance sheet. In addition, these commitments are often subject to financial or non-financial milestones and other conditions to borrowing that must be achieved before the commitment can be drawn. Since these commitments may expire without being drawn upon, the total commitment amount does not necessarily represent future cash requirements. We regularly monitor our unfunded commitments and anticipated refinancings, maturities and capital raising, to ensure that we have sufficient liquidity to fund such unfunded commitments. As of September 30, 2019, we reasonably believed that our assets would provide adequate financial resources to satisfy all of our unfunded commitments.</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addition to the Key Facility, we have certain commitments pursuant to our Investment Management Agreement entered into with our Advisor. We have agreed to pay a fee for investment advisory and management services consisting of two components (1) a base management fee equal to a percentage of the value of our gross assets less cash or cash equivalents, and (2) a two-part incentive fee. We have also entered into a contract with our Advisor to serve as our administrator. Payments under the Administration Agreement are equal to an amount based upon our allocable portion of our Advisor’s overhead in performing its obligations under the agreement, including rent, fees and other expenses inclusive of our allocable portion of the compensation of our Chief Financial Officer and Chief Compliance Officer and their respective staffs. See Note 3 to our consolidated financial statements for additional information regarding our Investment Management Agreement and our Administration Agreement.</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64" w:name="page65"/>
    <w:bookmarkEnd w:id="64"/>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Distributions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order to qualify and be subject to tax as a RIC, we must meet certain source-of-income, asset diversification and annual distribution requirements. Generally, in order to qualify as a RIC, we must derive at least 90% of our gross income for each tax year from dividends, interest, payments with respect to certain securities, loans, gains from the sale or other disposition of stock, securities or foreign currencies, income derived from certain publicly traded partnerships, or other income derived with respect to its business of investing in stock or other securities. We must also meet certain asset diversification requirements at the end of each quarter of each tax year. Failure to meet these diversification requirements on the last day of a quarter may result in us having to dispose of certain investments quickly in order to prevent the loss of RIC status. Any such dispositions could be made at disadvantageous prices or times, and may cause us to incur substantial losses.</w:t>
      </w:r>
    </w:p>
    <w:p>
      <w:pPr>
        <w:spacing w:after="0" w:line="18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addition, in order to be subject to tax as a RIC and to avoid the imposition of corporate-level tax on the income and gains we distribute to our stockholders in respect of any tax year, we are required under the Code to distribute as dividends to our stockholders out of assets legally available for distribution each tax year an amount generally at least equal to 90% of the sum of our net ordinary income and net short-term capital gains in excess of net long-term capital losses, if any. Additionally, in order to avoid the imposition of a U.S. federal excise tax, we are required to distribute, in respect of each calendar year, dividends to our stockholders of an amount at least equal to the sum of 98% of our calendar year net ordinary income (taking into account certain deferrals and elections); 98.2% of our capital gain net income (adjusted for certain ordinary losses) for the one year period ending on October 31 of such calendar year; and any net ordinary income and capital gain net income for preceding calendar years that were not distributed during such calendar years and on which we previously did not incur any U.S. federal income tax. If we fail to qualify as a RIC for any reason and become subject to corporate tax, the resulting corporate taxes could substantially reduce our net assets, the amount of income available for distribution and the amount of our distributions. Such a failure would have a material adverse effect on us and our stockholders. In addition, we could be required to recognize unrealized gains, incur substantial taxes and interest and make substantial distributions in order to re-qualify as a RIC. We cannot assure stockholders that they will receive any distributions.</w:t>
      </w:r>
    </w:p>
    <w:p>
      <w:pPr>
        <w:spacing w:after="0" w:line="19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To the extent our taxable earnings in a tax year fall below the total amount of our distributions made to stockholders in respect of such tax year, a portion of those distributions may be deemed a return of capital to our stockholders for U.S. federal income tax purposes. Thus, the source of a distribution to our stockholders may be the original capital invested by the stockholder rather than our income or gains. Stockholders should review any written disclosure accompanying a distribution payment carefully and should not assume that the source of any distribution is our ordinary income or gains.</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have adopted an “opt out” dividend reinvestment plan, or DRIP, for our common stockholders. As a result, if we declare a distribution, then stockholders’ cash distributions will be automatically reinvested in additional shares of our common stock unless a stockholder specifically “opts out” of our DRIP. If a stockholder opts out, that stockholder will receive cash distributions. Although distributions paid in the form of additional shares of our common stock will generally be subject to U.S. federal, state and local taxes, stockholders participating in our DRIP will not receive any corresponding cash distributions with which to pay any such applicable taxes. If our common stock is trading above net asset value, a stockholder receiving distributions in the form of additional shares of our common stock will be treated as receiving a distribution of an amount equal to the fair market value of such shares of our common stock. We may use newly issued shares to implement the DRIP, or we may purchase shares in the open market in connection with our obligations under the DRIP.</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have entered into the Investment Management Agreement with the Advisor. The Advisor is registered as an investment adviser under the Investment Advisers Act of 1940, as amended. Our investment activities are managed by the Advisor and supervised by the Board, the majority of whom are independent directors. Under the Investment Management Agreement, we have agreed to pay the Advisor a base management fee as well as an incentive fee. During the three months ended September 30, 2019 and 2018, we paid the Advisor $2.8 million and $2.0 million, respectively, pursuant to the Investment Management Agreement. During the nine months ended September 30, 2019 and 2018, we paid the Advisor $7.6 million and $5.6 million, respectively, pursuant to the Investment Management Agreement.</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65" w:name="page66"/>
    <w:bookmarkEnd w:id="65"/>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Advisor is wholly-owned by HTF Holdings LLC, which is wholly-owned by Horizon Technology Finance, LLC. By virtue of their ownership interest in Horizon Technology Finance, LLC, our Chief Executive Officer, Robert D. Pomeroy, Jr. and our President, Gerald A. Michaud, may be deemed to control our Advisor.</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have also entered into the Administration Agreement with the Advisor. Under the Administration Agreement, we have agreed to reimburse the Advisor for our allocable portion of overhead and other expenses incurred by the Advisor in performing its obligations under the Administration Agreement, including rent and our allocable portion of the costs of compensation and related expenses of our Chief Financial Officer and Chief Compliance Officer and their respective staffs. In addition, pursuant to the terms of the Administration Agreement the Advisor provides us with the office facilities and administrative services necessary to conduct our day-to-day operations. During the three months ended September 30, 2019 and 2018, we paid the Advisor $0.2 million and $0.2 million, respectively, pursuant to the Administration Agreement. During the nine months ended September 30, 2019 and 2018, we paid the Advisor $0.6 million and $0.5 million, respectively, pursuant to the Administration Agreement.</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predecessor of the Advisor has granted the Company a non-exclusive, royalty-free license to use the name “Horizon Technology Finance.”</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believe that we derive substantial benefits from our relationship with our Advisor. Our Advisor may manage other investment vehicles, or Advisor Funds, with the same investment strategy as us. The Advisor may provide us an opportunity to co-invest with the Advisor Funds. Under the 1940 Act, absent receipt of exemptive relief from the SEC, we and our affiliates are precluded from co-investing in negotiated investments. On November 27, 2017, we were granted exemptive relief from the SEC which permits us to co-invest with Advisor Funds, subject to certain conditions.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discussion of our financial condition and results of operation is based upon our financial statements, which have been prepared in accordance with U.S. generally accepted accounting principles. The preparation of these consolidated financial statements requires management to make estimates and assumptions that affect the reported amounts of assets, liabilities, revenues and expenses. Changes in the economic environment, financial markets and any other parameters used in determining such estimates could cause actual results to differ. In addition to the discussion below, we describe our significant accounting policies in the notes to our consolidated financial statements.</w:t>
      </w:r>
    </w:p>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have identified the following items as critical accounting policies.</w:t>
      </w:r>
    </w:p>
    <w:p>
      <w:pPr>
        <w:spacing w:after="0" w:line="22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Valuation of investments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Investments are recorded at fair value. Our Board determines the fair value of our portfolio investments. We apply fair value to substantially all of our investments in accordance with Topic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of the Financial Accounting Standards Board’s, or FASB’s, Accounting Standards Codification as amended, or ASC, which establishes a framework used to measure fair value and requires disclosures for fair value measurements. We have categorized our investments carried at fair value, based on the priority of the valuation technique, into a three-level fair value hierarchy. Fair value is a market-based measure considered from the perspective of the market participant who holds the financial instrument rather than an entity specific measure. Therefore, when market assumptions are not readily available, our own assumptions are set to reflect those that management believes market participants would use in pricing the financial instrument at the measurement date.</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availability of observable inputs can vary depending on the financial instrument and is affected by a wide variety of factors, including, for example, the type of product, whether the product is new, whether the product is traded on an active exchange or in the secondary market and the current market conditions. To the extent that the valuation is based on models or inputs that are less observable or unobservable in the market, the determination of fair value requires more judgment. The three categories within the hierarchy are as follows:</w:t>
      </w:r>
    </w:p>
    <w:p>
      <w:pPr>
        <w:spacing w:after="0" w:line="176" w:lineRule="exact"/>
        <w:rPr>
          <w:sz w:val="20"/>
          <w:szCs w:val="20"/>
          <w:color w:val="auto"/>
        </w:rPr>
      </w:pPr>
    </w:p>
    <w:p>
      <w:pPr>
        <w:ind w:left="34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Level 1</w:t>
      </w:r>
      <w:r>
        <w:rPr>
          <w:sz w:val="20"/>
          <w:szCs w:val="20"/>
          <w:color w:val="auto"/>
        </w:rPr>
        <w:tab/>
      </w:r>
      <w:r>
        <w:rPr>
          <w:rFonts w:ascii="Times New Roman" w:cs="Times New Roman" w:eastAsia="Times New Roman" w:hAnsi="Times New Roman"/>
          <w:sz w:val="18"/>
          <w:szCs w:val="18"/>
          <w:color w:val="auto"/>
        </w:rPr>
        <w:t>Quoted prices in active markets for identical assets and liabilities.</w:t>
      </w:r>
    </w:p>
    <w:p>
      <w:pPr>
        <w:spacing w:after="0" w:line="225" w:lineRule="exact"/>
        <w:rPr>
          <w:sz w:val="20"/>
          <w:szCs w:val="20"/>
          <w:color w:val="auto"/>
        </w:rPr>
      </w:pPr>
    </w:p>
    <w:p>
      <w:pPr>
        <w:jc w:val="both"/>
        <w:ind w:left="1300" w:right="20" w:hanging="971"/>
        <w:spacing w:after="0" w:line="266"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Level 2</w:t>
      </w:r>
      <w:r>
        <w:rPr>
          <w:sz w:val="20"/>
          <w:szCs w:val="20"/>
          <w:color w:val="auto"/>
        </w:rPr>
        <w:tab/>
      </w:r>
      <w:r>
        <w:rPr>
          <w:rFonts w:ascii="Times New Roman" w:cs="Times New Roman" w:eastAsia="Times New Roman" w:hAnsi="Times New Roman"/>
          <w:sz w:val="18"/>
          <w:szCs w:val="18"/>
          <w:color w:val="auto"/>
        </w:rPr>
        <w:t>Observable inputs other than Level 1 prices such as quoted prices for similar assets or liabilities in active markets, quoted prices in markets that are not active and model-based valuation techniques for which all significant inputs are observable or can be corroborated by observable market data for substantially the full term of the assets or liabilities.</w:t>
      </w:r>
    </w:p>
    <w:p>
      <w:pPr>
        <w:spacing w:after="0" w:line="176" w:lineRule="exact"/>
        <w:rPr>
          <w:sz w:val="20"/>
          <w:szCs w:val="20"/>
          <w:color w:val="auto"/>
        </w:rPr>
      </w:pPr>
    </w:p>
    <w:p>
      <w:pPr>
        <w:jc w:val="both"/>
        <w:ind w:left="1300" w:hanging="971"/>
        <w:spacing w:after="0" w:line="261"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Level 3</w:t>
      </w:r>
      <w:r>
        <w:rPr>
          <w:sz w:val="20"/>
          <w:szCs w:val="20"/>
          <w:color w:val="auto"/>
        </w:rPr>
        <w:tab/>
      </w:r>
      <w:r>
        <w:rPr>
          <w:rFonts w:ascii="Times New Roman" w:cs="Times New Roman" w:eastAsia="Times New Roman" w:hAnsi="Times New Roman"/>
          <w:sz w:val="18"/>
          <w:szCs w:val="18"/>
          <w:color w:val="auto"/>
        </w:rPr>
        <w:t>Unobservable inputs that are supported by little or no market activity and that are significant to the fair value of the assets or liabilities. Level 3 assets and liabilities include financial instruments whose value is determined using pricing models, discounted cash flow methodologies or similar techniques, as well as instruments for which the determination of fair value requires significant management judgment or estimation.</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6" w:name="page67"/>
    <w:bookmarkEnd w:id="66"/>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Board determines the fair value of investments in good faith, based on the input of management, the audit committee and independent valuation firms that have been engaged at the direction of our Board to assist in the valuation of each portfolio investment without a readily available market quotation at least once during a trailing twelve-month period under our valuation policy and a consistently applied valuation process. The Board conducts this valuation process at the end of each fiscal quarter, with 25% (based on fair value) of our valuation of portfolio companies that do not have a readily available market quotations subject to review by an independent valuation firm.</w:t>
      </w:r>
    </w:p>
    <w:p>
      <w:pPr>
        <w:spacing w:after="0" w:line="1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Income recognition</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Interest on debt investments is accrued and included in income based on contractual rates applied to principal amounts outstanding. Interest income is determined using a method that results in a level rate of return on principal amounts outstanding. Generally, when a debt investment becomes 90 days or more past due, or if we otherwise do not expect to receive interest and principal repayments, the debt investment is placed on non-accrual status and the recognition of interest income may be discontinued. Interest payments received on non-accrual debt investments may be recognized as income, on a cash basis, or applied to principal depending upon management’s judgment at the time the debt investment is placed on non-accrual status. For the three and nine months ended September 30, 2019 and 2018, we did not recognize any interest income from debt investments on non-accrual status.</w:t>
      </w:r>
    </w:p>
    <w:p>
      <w:pPr>
        <w:spacing w:after="0" w:line="18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receive a variety of fees from borrowers in the ordinary course of conducting our business, including advisory fees, commitment fees, amendment fees, non-utilization fees, success fees and prepayment fees. In a limited number of cases, we may also receive a non-refundable deposit earned upon the termination of a transaction. Debt investment origination fees, net of certain direct origination costs, are deferred, and along with unearned income, are amortized as a level yield adjustment over the respective term of the debt investment. All other income is recorded into income when earned. Fees for counterparty debt investment commitments with multiple debt investments are allocated to each debt investment based upon each debt investment’s relative fair value. When a debt investment is placed on non-accrual status, the amortization of the related fees and unearned income is discontinued until the debt investment is returned to accrual status.</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Certain debt investment agreements also require the borrower to make an ETP that is accrued into income over the life of the debt investment to the extent such amounts are expected to be collected. We will generally cease accruing the income if there is insufficient value to support the accrual or if we do not expect the borrower to be able to pay all principal and interest due.</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connection with substantially all lending arrangements, we receive warrants to purchase shares of stock from the borrower. We record the warrants as assets at estimated fair value on the grant date using the Black-Scholes valuation model. We consider the warrants as loan fees and record them as unearned income on the grant date. The unearned income is recognized as interest income over the contractual life of the related debt investment in accordance with our income recognition policy. Subsequent to origination, the warrants are also measured at fair value using the Black-Scholes valuation model. Any adjustment to fair value is recorded through earnings as net unrealized gain or loss on investments. Gains and losses from the disposition of the warrants or stock acquired from the exercise of warrants are recognized as realized gains and losses on investments.</w:t>
      </w:r>
    </w:p>
    <w:p>
      <w:pPr>
        <w:spacing w:after="0" w:line="18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Distributions from HSLFI are evaluated at the time of distribution to determine if the distribution should be recorded as dividend income or a return of capital. Generally, we will not record distributions from HSLFI as dividend income unless there are sufficient accumulated tax-basis earnings and profit in HSLFI prior to distribution. Distributions that are classified as a return of capital are recorded as a reduction in the cost basis of the investment. For the three and nine months ended September 30, 2019, HSLFI distributed $0.2 million and $0.7 million, respectively, classified as dividend income to us. For the period June 1, 2018 (the commencement of HSLFI’s operations) through September 30, 2018, there were no distributions from HSLFI.</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7" w:name="page68"/>
    <w:bookmarkEnd w:id="67"/>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Realized gains or losses on the sale of investments, or upon the determination that an investment balance, or portion thereof, is not recoverable, are calculated using the specific identification method. We measure realized gains or losses by calculating the difference between the net proceeds from the repayment or sale and the amortized cost basis of the investment. Net change in unrealized appreciation or depreciation reflects the change in the fair values of our portfolio investments during the reporting period, including any reversal of previously recorded unrealized appreciation or depreciation, when gains or losses are realized.</w:t>
      </w:r>
    </w:p>
    <w:p>
      <w:pPr>
        <w:spacing w:after="0" w:line="1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have elected to be treated as a RIC under Subchapter M of the Code and operate in a manner so as to qualify for the tax treatment applicable to RICs. In order to qualify as a RIC and to avoid the imposition of corporate-level U.S. federal income tax on the amounts we distribute to our stockholders, among other things, we are required to meet certain source of income and asset diversification requirements, and we must timely distribute dividends to our stockholders out of assets legally available for distribution each tax year of an amount generally at least equal to 90% of our investment company taxable income, as defined by the Code and determined without regard to any deduction for dividends paid. We, among other things, have made and intend to continue to make the requisite distributions to our stockholders, which will generally relieve us from incurring any material liability for U.S. federal income taxes.</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Depending on the level of taxable income earned in a tax year, we may choose to carry forward taxable income in excess of current year distributions into the next tax year and incur a 4% excise tax on such income, as required. To the extent that we determine that our estimated current year annual taxable income will be in excess of estimated current year distributions, we will accrue excise tax, if any, on estimated excess taxable income as taxable income is earned.</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We evaluate tax positions taken in the course of preparing our tax returns to determine whether the tax positions are “more-likely-than-not” to be sustained by the applicable tax authority in accordance with ASC Topic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as modified by ASC Topic 946, </w:t>
      </w:r>
      <w:r>
        <w:rPr>
          <w:rFonts w:ascii="Times New Roman" w:cs="Times New Roman" w:eastAsia="Times New Roman" w:hAnsi="Times New Roman"/>
          <w:sz w:val="18"/>
          <w:szCs w:val="18"/>
          <w:i w:val="1"/>
          <w:iCs w:val="1"/>
          <w:color w:val="auto"/>
        </w:rPr>
        <w:t>Financial Services</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Investment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Companies</w:t>
      </w:r>
      <w:r>
        <w:rPr>
          <w:rFonts w:ascii="Times New Roman" w:cs="Times New Roman" w:eastAsia="Times New Roman" w:hAnsi="Times New Roman"/>
          <w:sz w:val="18"/>
          <w:szCs w:val="18"/>
          <w:color w:val="auto"/>
        </w:rPr>
        <w:t>. Tax benefits of positions not deemed to meet the more-likely-than-not threshold, or uncertain tax positions, are recorded as a tax expense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current year. It is our policy to recognize accrued interest and penalties related to uncertain tax benefits in income tax expense. We had no material uncertain tax positions at September 30, 2019 and December 31, 2018.</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April 2014, the FASB issued Accounting Standards Update 2014-09, Revenue from Contracts with Customers (Topic 606), or ASU 2014-09, which amends existing revenue recognition guidance to depict the transfer of promised goods or services to customers in an amount that reflects the consideration to which the entity expects to be entitled in exchange for those goods or services. ASU 2014-09 is effective for annual and interim periods beginning after December 15, 2017. As required, we adopted ASU 2014-09 effective January 1, 2018, and such adoption did not have an impact on our consolidated financial statements and disclosures.</w:t>
      </w:r>
    </w:p>
    <w:p>
      <w:pPr>
        <w:spacing w:after="0" w:line="18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August 2018, the FASB issued ASU 2018-13, Fair Value Measurement (Topic 820): Disclosure Framework – Changes to the Disclosure Requirements for Fair Value Measurement, or ASU 2018-13, which modifies disclosure requirements for the fair value measurement of Level 3 securities of public companies. This guidance is effective for annual and interim periods beginning on or after December 15, 2019 and early adoption is permitted. We elected to early adopt ASU 2018-13 for the year ended December 31, 2018. As a result, no significant changes were made to our disclosures in the notes to the consolidated financial statements.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 Disclosure Update and Simplification</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August 2018, the SEC adopted the final rule under SEC Release No. 33-10532, Disclosure Update and Simplification, or the SEC Release, amending certain disclosure requirements that were redundant, duplicative, overlapping, outdated or superseded. The SEC Release is effective for all filings on or after November 5, 2018. As required, we adopted the SEC Release for the year ended December 31, 2018. The SEC Release required changes to the presentation of our Consolidated Statements of Assets and Liabilities and the Consolidated Statements of Changes in Net Assets. Prior to adoption, we presented distributable earnings on the Consolidated Statements of Assets and Liabilities and the Consolidated Statement of Net Assets as three components: 1) distributions in excess of net investment income; 2) net unrealized depreciation on investments; and 3) net realized loss on investments. Upon adoption, we present distributable earnings in total on the Consolidated Statements of Assets and Liabilities and the Consolidated Statements of Changes in Net Assets. The changes in presentation have been retrospectively applied to the Consolidated Statements of Changes in Net Assets for the nine months ended September 30, 2018.</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color w:val="auto"/>
        </w:rPr>
        <w:t>Recent development</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Subsequent to September 30, 2019, and as of October 29, 2019, we sold $0.1 million shares of common stock for total accumulated net proceeds of approximately $1.8 million, net of offering expenses, under the Equity Distribution Agreement. As of October 29, 2019, shares representing approximately $37.8 million of its common stock remain available for issuance and sale under the Equity Distribution Agreement.</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October 11, 2019 we received proceeds of $1.7 million in connection with the termination of its warrants in Verity Solutions, Inc. (“Verity”) upon Verity’s sale to Express Scripts.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are subject to financial market risks, including changes in interest rates. During the periods covered by our financial statements, the interest rates on the debt investments within our portfolio were primarily at floating rates. We expect that our debt investments in the future will primarily have floating interest rates. As of September 30, 2019 and December 31, 2018, 99% of the outstanding principal amount of our debt investments bore interest at floating rates. The initial commitments to lend to our portfolio companies are usually based on a floating LIBOR index.</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Based on our September 30, 2019 consolidated statement of assets and liabilities (without adjustment for potential changes in the credit market, credit quality, size and composition of assets on the consolidated statement of assets and liabilities or other business developments that could affect net income) and the base index rates at September 30, 2019, the following table shows the annual impact on the change in net assets resulting from operations of changes in interest rates, which assumes no changes in our investments and borrowings:</w:t>
      </w:r>
    </w:p>
    <w:p>
      <w:pPr>
        <w:spacing w:after="0" w:line="176" w:lineRule="exact"/>
        <w:rPr>
          <w:sz w:val="20"/>
          <w:szCs w:val="20"/>
          <w:color w:val="auto"/>
        </w:rPr>
      </w:pPr>
    </w:p>
    <w:tbl>
      <w:tblPr>
        <w:tblLayout w:type="fixed"/>
        <w:tblInd w:w="580" w:type="dxa"/>
        <w:tblCellMar>
          <w:top w:w="0" w:type="dxa"/>
          <w:left w:w="0" w:type="dxa"/>
          <w:bottom w:w="0" w:type="dxa"/>
          <w:right w:w="0" w:type="dxa"/>
        </w:tblCellMar>
      </w:tblPr>
      <w:tr>
        <w:trPr>
          <w:trHeight w:val="225"/>
        </w:trPr>
        <w:tc>
          <w:tcPr>
            <w:tcW w:w="6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99"/>
              </w:rPr>
              <w:t>Investment</w:t>
            </w:r>
          </w:p>
        </w:tc>
        <w:tc>
          <w:tcPr>
            <w:tcW w:w="240" w:type="dxa"/>
            <w:vAlign w:val="bottom"/>
          </w:tcPr>
          <w:p>
            <w:pPr>
              <w:spacing w:after="0"/>
              <w:rPr>
                <w:sz w:val="19"/>
                <w:szCs w:val="19"/>
                <w:color w:val="auto"/>
              </w:rPr>
            </w:pPr>
          </w:p>
        </w:tc>
        <w:tc>
          <w:tcPr>
            <w:tcW w:w="10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180" w:type="dxa"/>
            <w:vAlign w:val="bottom"/>
          </w:tcPr>
          <w:p>
            <w:pPr>
              <w:spacing w:after="0"/>
              <w:rPr>
                <w:sz w:val="19"/>
                <w:szCs w:val="19"/>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Change in</w:t>
            </w:r>
          </w:p>
        </w:tc>
      </w:tr>
      <w:tr>
        <w:trPr>
          <w:trHeight w:val="270"/>
        </w:trPr>
        <w:tc>
          <w:tcPr>
            <w:tcW w:w="6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Change in basis points</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240" w:type="dxa"/>
            <w:vAlign w:val="bottom"/>
          </w:tcPr>
          <w:p>
            <w:pPr>
              <w:spacing w:after="0"/>
              <w:rPr>
                <w:sz w:val="23"/>
                <w:szCs w:val="23"/>
                <w:color w:val="auto"/>
              </w:rPr>
            </w:pPr>
          </w:p>
        </w:tc>
        <w:tc>
          <w:tcPr>
            <w:tcW w:w="10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Expense</w:t>
            </w:r>
          </w:p>
        </w:tc>
        <w:tc>
          <w:tcPr>
            <w:tcW w:w="1300" w:type="dxa"/>
            <w:vAlign w:val="bottom"/>
            <w:gridSpan w:val="3"/>
          </w:tcPr>
          <w:p>
            <w:pPr>
              <w:jc w:val="right"/>
              <w:ind w:right="180"/>
              <w:spacing w:after="0" w:line="269" w:lineRule="exact"/>
              <w:rPr>
                <w:sz w:val="20"/>
                <w:szCs w:val="20"/>
                <w:color w:val="auto"/>
              </w:rPr>
            </w:pPr>
            <w:r>
              <w:rPr>
                <w:rFonts w:ascii="Times New Roman" w:cs="Times New Roman" w:eastAsia="Times New Roman" w:hAnsi="Times New Roman"/>
                <w:sz w:val="18"/>
                <w:szCs w:val="18"/>
                <w:b w:val="1"/>
                <w:bCs w:val="1"/>
                <w:color w:val="auto"/>
              </w:rPr>
              <w:t>Net Assets</w:t>
            </w:r>
            <w:r>
              <w:rPr>
                <w:rFonts w:ascii="Times New Roman" w:cs="Times New Roman" w:eastAsia="Times New Roman" w:hAnsi="Times New Roman"/>
                <w:sz w:val="30"/>
                <w:szCs w:val="30"/>
                <w:b w:val="1"/>
                <w:bCs w:val="1"/>
                <w:color w:val="auto"/>
                <w:vertAlign w:val="superscript"/>
              </w:rPr>
              <w:t>(1)</w:t>
            </w:r>
          </w:p>
        </w:tc>
      </w:tr>
      <w:tr>
        <w:trPr>
          <w:trHeight w:val="210"/>
        </w:trPr>
        <w:tc>
          <w:tcPr>
            <w:tcW w:w="6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Up 300 basis points</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7,711</w:t>
            </w:r>
          </w:p>
        </w:tc>
        <w:tc>
          <w:tcPr>
            <w:tcW w:w="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7,253</w:t>
            </w:r>
          </w:p>
        </w:tc>
        <w:tc>
          <w:tcPr>
            <w:tcW w:w="100" w:type="dxa"/>
            <w:vAlign w:val="bottom"/>
            <w:shd w:val="clear" w:color="auto" w:fill="CCEEFF"/>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Up 200 basis points</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4,952</w:t>
            </w:r>
          </w:p>
        </w:tc>
        <w:tc>
          <w:tcPr>
            <w:tcW w:w="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4,648</w:t>
            </w:r>
          </w:p>
        </w:tc>
        <w:tc>
          <w:tcPr>
            <w:tcW w:w="100" w:type="dxa"/>
            <w:vAlign w:val="bottom"/>
          </w:tcPr>
          <w:p>
            <w:pPr>
              <w:spacing w:after="0"/>
              <w:rPr>
                <w:sz w:val="18"/>
                <w:szCs w:val="18"/>
                <w:color w:val="auto"/>
              </w:rPr>
            </w:pP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Up 100 basis points</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2,206</w:t>
            </w:r>
          </w:p>
        </w:tc>
        <w:tc>
          <w:tcPr>
            <w:tcW w:w="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2,054</w:t>
            </w:r>
          </w:p>
        </w:tc>
        <w:tc>
          <w:tcPr>
            <w:tcW w:w="100" w:type="dxa"/>
            <w:vAlign w:val="bottom"/>
            <w:shd w:val="clear" w:color="auto" w:fill="CCEEFF"/>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Down 300 basis points</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(722)</w:t>
            </w: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Down 200 basis points</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(710)</w:t>
            </w:r>
          </w:p>
        </w:tc>
      </w:tr>
      <w:tr>
        <w:trPr>
          <w:trHeight w:val="234"/>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Down 100 basis points</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(613)</w:t>
            </w:r>
          </w:p>
        </w:tc>
      </w:tr>
    </w:tbl>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 Excludes the impact of incentive fees based on pre-incentive fee net investment income.</w:t>
      </w:r>
    </w:p>
    <w:p>
      <w:pPr>
        <w:spacing w:after="0" w:line="22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While our 2022 Notes and our Asset-Backed Notes bear interest at a fixed rate, our Key Facility has a floating interest rate provision, subject to a floor of 0.75% per annum, based on a LIBOR index which resets monthly, and any other credit facilities into which we enter in the future may have floating interest rate provisions. We have used hedging instruments in the past to protect us against interest rate fluctuations, and we may use them in the future. Such instruments may include caps, swaps, futures, options and forward contracts. While hedging activities may insulate us against adverse changes in interest rates, they may also limit our ability to participate in the benefits of lower interest rates with respect to the investments in our portfolio with fixed interest rates.</w:t>
      </w:r>
    </w:p>
    <w:p>
      <w:pPr>
        <w:spacing w:after="0" w:line="18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Because we currently fund, and expect to continue to fund, our investments with borrowings, our net income is dependent upon the difference between the rate at which we borrow funds and the rate at which we invest the funds borrowed. Accordingly, there can be no assurance that a significant change in market interest rates will not have a material adverse effect on our net income. In periods of rising interest rates, our cost of funds could increase, which would reduce our net investment income.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Controls and Procedures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 Evaluation of disclosure controls and procedures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As of September 30, 2019, we, including our Chief Executive Officer and Chief Financial Officer, evaluated the effectiveness of the design and operation of our disclosure controls and procedures (as defined in Rule 13a-15(e) under the Exchange Act). Based on that evaluation, our management, including our Chief Executive Officer and Chief Financial Officer, concluded that our disclosure controls and procedures were effective and provided reasonable assurance that information required to be disclosed in our periodic SEC filings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However, in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such possible controls and procedures.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 Changes in internal controls over financial reporting.</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in our internal control over financial reporting (as defined in Rules 13a-15(f) and 15d-15(f) under the Exchange Act) during our most recently completed fiscal quarter, that have materially affected, or are reasonably likely to materially affect, our internal control over financial reporting.</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Neither we nor our Advisor is currently subject to any material legal proceedings, nor, to our knowledge, is any material legal proceeding threatened against us or against our Advisor.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to other information set forth in this report, you should carefully consider the factors set forth below and in “Item 1A Risk Factors” in our annual report on Form 10-K for the year ended December 31, 2018, which could materially affect our business, financial condition and/or operating results. Additional risks and uncertainties not currently known to us or that we currently deem to be immaterial also may materially affect our business, financial condition and/or operating results. There have been no material changes during the nine months ended September 30, 2019 to the risk factors set forth in “Item 1A. Risk Factors” of our annual report on Form 10-K for the year ended December 31, 2018, except as set forth below.</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passed legislation will allow us to incur additional leverage.</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 BDC has historically been able to issue “senior securities,” including borrowing money from banks or other financial institutions, only in amounts such that its asset coverage, as defined in Section 61(a)(2) of the 1940 Act, equals at least 200% after such incurrence or issuance. In March 2018, the Consolidated Appropriations Act of 2018 (which includes the SBCAA) was signed into law and amended the 1940 Act to decrease this percentage from 200% to 150% for a BDC that has received either stockholder approval or approval of a “required majority” (as defined in Section 57(o) of the 1940 Act) of its board of directors of the application of such lower asset coverage ratio to the BDC. As defined in the 1940 Act, asset coverage of 150% means that for every $100 of net assets a BDC holds, it may raise up to $200 from borrowing and issuing senior securities. We received approval from our stockholders to reduce our asset coverage requirement from 200% to 150% on October 30, 2018. In addition, since our base management fee is determined and payable based upon our average adjusted gross assets, which includes any borrowings for investment purposes, our base management fee expense may increase if we incur additional leverage.</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Because we intend to distribute substantially all of our income to our stockholders to maintain our ability to be subject to tax as a RIC, we will need to raise additional capital to finance our growth. If funds are not available to us, we may need to curtail new investments, and our common stock value could decline.</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order to satisfy the requirements to be treated as a RIC for federal income tax purposes, we intend to distribute to our stockholders substantially all of our investment company taxable income and net capital gains each taxable year. However, we may retain all or a portion of our net capital gains and pay applicable income taxes with respect thereto and elect to treat such retained net capital gains as deemed dividend distributions to our stockholders.</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a BDC, we are required to meet a 150% asset coverage ratio, subject to certain disclosure requirements of total assets to total senior securities, which includes all of our borrowings, and any preferred stock we may issue in the future. This requirement limits the amount we may borrow. If the value of our assets declines, we may be unable to satisfy this test. If that happens, we may be required to sell a portion of our investments or sell additional common stock and, depending on the nature of our leverage, to repay a portion of our indebtedness at a time when such sales and repayments may be disadvantageous. In addition, the issuance of additional securities could dilute the percentage ownership of our current stockholders in us.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5"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5" w:lineRule="exact"/>
        <w:rPr>
          <w:sz w:val="20"/>
          <w:szCs w:val="20"/>
          <w:color w:val="auto"/>
        </w:rPr>
      </w:pPr>
    </w:p>
    <w:p>
      <w:pPr>
        <w:ind w:left="60"/>
        <w:spacing w:after="0"/>
        <w:tabs>
          <w:tab w:leader="none" w:pos="5240" w:val="left"/>
        </w:tabs>
        <w:rPr>
          <w:sz w:val="20"/>
          <w:szCs w:val="20"/>
          <w:color w:val="auto"/>
        </w:rPr>
      </w:pPr>
      <w:r>
        <w:rPr>
          <w:rFonts w:ascii="Times New Roman" w:cs="Times New Roman" w:eastAsia="Times New Roman" w:hAnsi="Times New Roman"/>
          <w:sz w:val="18"/>
          <w:szCs w:val="18"/>
          <w:b w:val="1"/>
          <w:bCs w:val="1"/>
          <w:color w:val="auto"/>
        </w:rPr>
        <w:t>Exhibit No.</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45" w:lineRule="exact"/>
        <w:rPr>
          <w:sz w:val="20"/>
          <w:szCs w:val="20"/>
          <w:color w:val="auto"/>
        </w:rPr>
      </w:pPr>
    </w:p>
    <w:p>
      <w:pPr>
        <w:ind w:left="1100" w:hanging="809"/>
        <w:spacing w:after="0" w:line="258" w:lineRule="auto"/>
        <w:tabs>
          <w:tab w:leader="none" w:pos="1080" w:val="left"/>
        </w:tabs>
        <w:rPr>
          <w:rFonts w:ascii="Times New Roman" w:cs="Times New Roman" w:eastAsia="Times New Roman" w:hAnsi="Times New Roman"/>
          <w:sz w:val="18"/>
          <w:szCs w:val="18"/>
          <w:u w:val="single" w:color="auto"/>
          <w:color w:val="0000EE"/>
        </w:rPr>
      </w:pPr>
      <w:hyperlink w:anchor="page74">
        <w:r>
          <w:rPr>
            <w:rFonts w:ascii="Times New Roman" w:cs="Times New Roman" w:eastAsia="Times New Roman" w:hAnsi="Times New Roman"/>
            <w:sz w:val="18"/>
            <w:szCs w:val="18"/>
            <w:u w:val="single" w:color="auto"/>
            <w:color w:val="0000EE"/>
          </w:rPr>
          <w:t>31.1*</w:t>
        </w:r>
      </w:hyperlink>
      <w:r>
        <w:rPr>
          <w:rFonts w:ascii="Times New Roman" w:cs="Times New Roman" w:eastAsia="Times New Roman" w:hAnsi="Times New Roman"/>
          <w:sz w:val="18"/>
          <w:szCs w:val="18"/>
          <w:u w:val="single" w:color="auto"/>
          <w:color w:val="0000EE"/>
        </w:rPr>
        <w:tab/>
      </w:r>
      <w:hyperlink w:anchor="page74">
        <w:r>
          <w:rPr>
            <w:rFonts w:ascii="Times New Roman" w:cs="Times New Roman" w:eastAsia="Times New Roman" w:hAnsi="Times New Roman"/>
            <w:sz w:val="18"/>
            <w:szCs w:val="18"/>
            <w:u w:val="single" w:color="auto"/>
            <w:color w:val="0000EE"/>
          </w:rPr>
          <w:t>Certifications by Chief Executive Officer pursuant to Exchange Act Rule 13a-14(a), as adopted pursuant to Section 302 of the Sarbanes-Oxley</w:t>
        </w:r>
      </w:hyperlink>
      <w:r>
        <w:rPr>
          <w:rFonts w:ascii="Times New Roman" w:cs="Times New Roman" w:eastAsia="Times New Roman" w:hAnsi="Times New Roman"/>
          <w:sz w:val="18"/>
          <w:szCs w:val="18"/>
          <w:u w:val="single" w:color="auto"/>
          <w:color w:val="0000EE"/>
        </w:rPr>
        <w:t xml:space="preserve"> </w:t>
      </w:r>
      <w:hyperlink w:anchor="page74">
        <w:r>
          <w:rPr>
            <w:rFonts w:ascii="Times New Roman" w:cs="Times New Roman" w:eastAsia="Times New Roman" w:hAnsi="Times New Roman"/>
            <w:sz w:val="18"/>
            <w:szCs w:val="18"/>
            <w:u w:val="single" w:color="auto"/>
            <w:color w:val="0000EE"/>
          </w:rPr>
          <w:t>Act of 2002, as amended</w:t>
        </w:r>
      </w:hyperlink>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-281940</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1100" w:right="20" w:hanging="809"/>
        <w:spacing w:after="0" w:line="250" w:lineRule="auto"/>
        <w:tabs>
          <w:tab w:leader="none" w:pos="1080" w:val="left"/>
        </w:tabs>
        <w:rPr>
          <w:rFonts w:ascii="Times New Roman" w:cs="Times New Roman" w:eastAsia="Times New Roman" w:hAnsi="Times New Roman"/>
          <w:sz w:val="18"/>
          <w:szCs w:val="18"/>
          <w:u w:val="single" w:color="auto"/>
          <w:color w:val="0000EE"/>
        </w:rPr>
      </w:pPr>
      <w:hyperlink w:anchor="page75">
        <w:r>
          <w:rPr>
            <w:rFonts w:ascii="Times New Roman" w:cs="Times New Roman" w:eastAsia="Times New Roman" w:hAnsi="Times New Roman"/>
            <w:sz w:val="18"/>
            <w:szCs w:val="18"/>
            <w:u w:val="single" w:color="auto"/>
            <w:color w:val="0000EE"/>
          </w:rPr>
          <w:t>31.2*</w:t>
        </w:r>
      </w:hyperlink>
      <w:r>
        <w:rPr>
          <w:rFonts w:ascii="Times New Roman" w:cs="Times New Roman" w:eastAsia="Times New Roman" w:hAnsi="Times New Roman"/>
          <w:sz w:val="18"/>
          <w:szCs w:val="18"/>
          <w:u w:val="single" w:color="auto"/>
          <w:color w:val="0000EE"/>
        </w:rPr>
        <w:tab/>
      </w:r>
      <w:hyperlink w:anchor="page75">
        <w:r>
          <w:rPr>
            <w:rFonts w:ascii="Times New Roman" w:cs="Times New Roman" w:eastAsia="Times New Roman" w:hAnsi="Times New Roman"/>
            <w:sz w:val="18"/>
            <w:szCs w:val="18"/>
            <w:u w:val="single" w:color="auto"/>
            <w:color w:val="0000EE"/>
          </w:rPr>
          <w:t>Certifications by Chief Financial Officer pursuant to Exchange Act Rule 13a-14(a), as adopted pursuant to Section 302 of the Sarbanes-Oxley</w:t>
        </w:r>
      </w:hyperlink>
      <w:r>
        <w:rPr>
          <w:rFonts w:ascii="Times New Roman" w:cs="Times New Roman" w:eastAsia="Times New Roman" w:hAnsi="Times New Roman"/>
          <w:sz w:val="18"/>
          <w:szCs w:val="18"/>
          <w:u w:val="single" w:color="auto"/>
          <w:color w:val="0000EE"/>
        </w:rPr>
        <w:t xml:space="preserve"> </w:t>
      </w:r>
      <w:hyperlink w:anchor="page75">
        <w:r>
          <w:rPr>
            <w:rFonts w:ascii="Times New Roman" w:cs="Times New Roman" w:eastAsia="Times New Roman" w:hAnsi="Times New Roman"/>
            <w:sz w:val="18"/>
            <w:szCs w:val="18"/>
            <w:u w:val="single" w:color="auto"/>
            <w:color w:val="0000EE"/>
          </w:rPr>
          <w:t>Act of 2002, as amended</w:t>
        </w:r>
      </w:hyperlink>
    </w:p>
    <w:p>
      <w:pPr>
        <w:spacing w:after="0" w:line="1" w:lineRule="exact"/>
        <w:rPr>
          <w:rFonts w:ascii="Times New Roman" w:cs="Times New Roman" w:eastAsia="Times New Roman" w:hAnsi="Times New Roman"/>
          <w:sz w:val="18"/>
          <w:szCs w:val="18"/>
          <w:u w:val="single" w:color="auto"/>
          <w:color w:val="0000EE"/>
        </w:rPr>
      </w:pPr>
    </w:p>
    <w:p>
      <w:pPr>
        <w:ind w:left="1100" w:hanging="809"/>
        <w:spacing w:after="0" w:line="250" w:lineRule="auto"/>
        <w:tabs>
          <w:tab w:leader="none" w:pos="1080" w:val="left"/>
        </w:tabs>
        <w:rPr>
          <w:rFonts w:ascii="Times New Roman" w:cs="Times New Roman" w:eastAsia="Times New Roman" w:hAnsi="Times New Roman"/>
          <w:sz w:val="18"/>
          <w:szCs w:val="18"/>
          <w:u w:val="single" w:color="auto"/>
          <w:color w:val="0000EE"/>
        </w:rPr>
      </w:pPr>
      <w:hyperlink w:anchor="page76">
        <w:r>
          <w:rPr>
            <w:rFonts w:ascii="Times New Roman" w:cs="Times New Roman" w:eastAsia="Times New Roman" w:hAnsi="Times New Roman"/>
            <w:sz w:val="18"/>
            <w:szCs w:val="18"/>
            <w:u w:val="single" w:color="auto"/>
            <w:color w:val="0000EE"/>
          </w:rPr>
          <w:t>32.1*</w:t>
        </w:r>
      </w:hyperlink>
      <w:r>
        <w:rPr>
          <w:rFonts w:ascii="Times New Roman" w:cs="Times New Roman" w:eastAsia="Times New Roman" w:hAnsi="Times New Roman"/>
          <w:sz w:val="18"/>
          <w:szCs w:val="18"/>
          <w:u w:val="single" w:color="auto"/>
          <w:color w:val="0000EE"/>
        </w:rPr>
        <w:tab/>
      </w:r>
      <w:hyperlink w:anchor="page76">
        <w:r>
          <w:rPr>
            <w:rFonts w:ascii="Times New Roman" w:cs="Times New Roman" w:eastAsia="Times New Roman" w:hAnsi="Times New Roman"/>
            <w:sz w:val="18"/>
            <w:szCs w:val="18"/>
            <w:u w:val="single" w:color="auto"/>
            <w:color w:val="0000EE"/>
          </w:rPr>
          <w:t>Certification of the Chief Executive Officer pursuant to 18 U.S.C. Section 1350, as adopted pursuant to Section 906 of the Sarbanes-Oxley Act</w:t>
        </w:r>
      </w:hyperlink>
      <w:r>
        <w:rPr>
          <w:rFonts w:ascii="Times New Roman" w:cs="Times New Roman" w:eastAsia="Times New Roman" w:hAnsi="Times New Roman"/>
          <w:sz w:val="18"/>
          <w:szCs w:val="18"/>
          <w:u w:val="single" w:color="auto"/>
          <w:color w:val="0000EE"/>
        </w:rPr>
        <w:t xml:space="preserve"> </w:t>
      </w:r>
      <w:hyperlink w:anchor="page76">
        <w:r>
          <w:rPr>
            <w:rFonts w:ascii="Times New Roman" w:cs="Times New Roman" w:eastAsia="Times New Roman" w:hAnsi="Times New Roman"/>
            <w:sz w:val="18"/>
            <w:szCs w:val="18"/>
            <w:u w:val="single" w:color="auto"/>
            <w:color w:val="0000EE"/>
          </w:rPr>
          <w:t>of 2002, as amended</w:t>
        </w:r>
      </w:hyperlink>
    </w:p>
    <w:p>
      <w:pPr>
        <w:spacing w:after="0" w:line="1" w:lineRule="exact"/>
        <w:rPr>
          <w:rFonts w:ascii="Times New Roman" w:cs="Times New Roman" w:eastAsia="Times New Roman" w:hAnsi="Times New Roman"/>
          <w:sz w:val="18"/>
          <w:szCs w:val="18"/>
          <w:u w:val="single" w:color="auto"/>
          <w:color w:val="0000EE"/>
        </w:rPr>
      </w:pPr>
    </w:p>
    <w:p>
      <w:pPr>
        <w:ind w:left="1100" w:hanging="809"/>
        <w:spacing w:after="0" w:line="261" w:lineRule="auto"/>
        <w:tabs>
          <w:tab w:leader="none" w:pos="1080" w:val="left"/>
        </w:tabs>
        <w:rPr>
          <w:rFonts w:ascii="Times New Roman" w:cs="Times New Roman" w:eastAsia="Times New Roman" w:hAnsi="Times New Roman"/>
          <w:sz w:val="18"/>
          <w:szCs w:val="18"/>
          <w:u w:val="single" w:color="auto"/>
          <w:color w:val="0000EE"/>
        </w:rPr>
      </w:pPr>
      <w:hyperlink w:anchor="page77">
        <w:r>
          <w:rPr>
            <w:rFonts w:ascii="Times New Roman" w:cs="Times New Roman" w:eastAsia="Times New Roman" w:hAnsi="Times New Roman"/>
            <w:sz w:val="18"/>
            <w:szCs w:val="18"/>
            <w:u w:val="single" w:color="auto"/>
            <w:color w:val="0000EE"/>
          </w:rPr>
          <w:t>32.2*</w:t>
        </w:r>
      </w:hyperlink>
      <w:r>
        <w:rPr>
          <w:rFonts w:ascii="Times New Roman" w:cs="Times New Roman" w:eastAsia="Times New Roman" w:hAnsi="Times New Roman"/>
          <w:sz w:val="18"/>
          <w:szCs w:val="18"/>
          <w:u w:val="single" w:color="auto"/>
          <w:color w:val="0000EE"/>
        </w:rPr>
        <w:tab/>
      </w:r>
      <w:hyperlink w:anchor="page77">
        <w:r>
          <w:rPr>
            <w:rFonts w:ascii="Times New Roman" w:cs="Times New Roman" w:eastAsia="Times New Roman" w:hAnsi="Times New Roman"/>
            <w:sz w:val="18"/>
            <w:szCs w:val="18"/>
            <w:u w:val="single" w:color="auto"/>
            <w:color w:val="0000EE"/>
          </w:rPr>
          <w:t>Certification of the Chief Financial Officer pursuant to 18 U.S.C. Section 1350, as adopted pursuant to Section 906 of the Sarbanes-Oxley Act</w:t>
        </w:r>
      </w:hyperlink>
      <w:r>
        <w:rPr>
          <w:rFonts w:ascii="Times New Roman" w:cs="Times New Roman" w:eastAsia="Times New Roman" w:hAnsi="Times New Roman"/>
          <w:sz w:val="18"/>
          <w:szCs w:val="18"/>
          <w:u w:val="single" w:color="auto"/>
          <w:color w:val="0000EE"/>
        </w:rPr>
        <w:t xml:space="preserve"> </w:t>
      </w:r>
      <w:hyperlink w:anchor="page77">
        <w:r>
          <w:rPr>
            <w:rFonts w:ascii="Times New Roman" w:cs="Times New Roman" w:eastAsia="Times New Roman" w:hAnsi="Times New Roman"/>
            <w:sz w:val="18"/>
            <w:szCs w:val="18"/>
            <w:u w:val="single" w:color="auto"/>
            <w:color w:val="0000EE"/>
          </w:rPr>
          <w:t>of 2002, as amended</w:t>
        </w:r>
      </w:hyperlink>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71513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715135" cy="8890"/>
                    </a:xfrm>
                    <a:prstGeom prst="rect">
                      <a:avLst/>
                    </a:prstGeom>
                    <a:noFill/>
                  </pic:spPr>
                </pic:pic>
              </a:graphicData>
            </a:graphic>
          </wp:anchor>
        </w:drawing>
      </w:r>
    </w:p>
    <w:p>
      <w:pPr>
        <w:spacing w:after="0" w:line="187" w:lineRule="exact"/>
        <w:rPr>
          <w:rFonts w:ascii="Times New Roman" w:cs="Times New Roman" w:eastAsia="Times New Roman" w:hAnsi="Times New Roman"/>
          <w:sz w:val="18"/>
          <w:szCs w:val="18"/>
          <w:u w:val="single" w:color="auto"/>
          <w:color w:val="0000EE"/>
        </w:rPr>
      </w:pPr>
    </w:p>
    <w:p>
      <w:pPr>
        <w:ind w:left="340" w:hanging="332"/>
        <w:spacing w:after="0"/>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00" w:lineRule="exact"/>
        <w:rPr>
          <w:rFonts w:ascii="Times New Roman" w:cs="Times New Roman" w:eastAsia="Times New Roman" w:hAnsi="Times New Roman"/>
          <w:sz w:val="18"/>
          <w:szCs w:val="18"/>
          <w:u w:val="single" w:color="auto"/>
          <w:color w:val="0000EE"/>
        </w:rPr>
      </w:pPr>
    </w:p>
    <w:p>
      <w:pPr>
        <w:spacing w:after="0" w:line="241" w:lineRule="exact"/>
        <w:rPr>
          <w:rFonts w:ascii="Times New Roman" w:cs="Times New Roman" w:eastAsia="Times New Roman" w:hAnsi="Times New Roman"/>
          <w:sz w:val="18"/>
          <w:szCs w:val="18"/>
          <w:u w:val="single" w:color="auto"/>
          <w:color w:val="0000EE"/>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Quarterly Report on Form 10-Q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7760" w:type="dxa"/>
            <w:vAlign w:val="bottom"/>
            <w:gridSpan w:val="2"/>
          </w:tcPr>
          <w:p>
            <w:pPr>
              <w:ind w:left="2040"/>
              <w:spacing w:after="0"/>
              <w:rPr>
                <w:sz w:val="20"/>
                <w:szCs w:val="20"/>
                <w:color w:val="auto"/>
              </w:rPr>
            </w:pPr>
            <w:r>
              <w:rPr>
                <w:rFonts w:ascii="Times New Roman" w:cs="Times New Roman" w:eastAsia="Times New Roman" w:hAnsi="Times New Roman"/>
                <w:sz w:val="18"/>
                <w:szCs w:val="18"/>
                <w:color w:val="auto"/>
              </w:rPr>
              <w:t>H</w:t>
            </w:r>
            <w:r>
              <w:rPr>
                <w:rFonts w:ascii="Times New Roman" w:cs="Times New Roman" w:eastAsia="Times New Roman" w:hAnsi="Times New Roman"/>
                <w:sz w:val="12"/>
                <w:szCs w:val="12"/>
                <w:color w:val="auto"/>
              </w:rPr>
              <w:t>ORIZON</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2"/>
                <w:szCs w:val="12"/>
                <w:color w:val="auto"/>
              </w:rPr>
              <w:t>ECHNOLOGY</w:t>
            </w:r>
            <w:r>
              <w:rPr>
                <w:rFonts w:ascii="Times New Roman" w:cs="Times New Roman" w:eastAsia="Times New Roman" w:hAnsi="Times New Roman"/>
                <w:sz w:val="18"/>
                <w:szCs w:val="18"/>
                <w:color w:val="auto"/>
              </w:rPr>
              <w:t xml:space="preserve"> F</w:t>
            </w:r>
            <w:r>
              <w:rPr>
                <w:rFonts w:ascii="Times New Roman" w:cs="Times New Roman" w:eastAsia="Times New Roman" w:hAnsi="Times New Roman"/>
                <w:sz w:val="12"/>
                <w:szCs w:val="12"/>
                <w:color w:val="auto"/>
              </w:rPr>
              <w:t>INANCE</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ORPORATION</w:t>
            </w:r>
          </w:p>
        </w:tc>
      </w:tr>
      <w:tr>
        <w:trPr>
          <w:trHeight w:val="432"/>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29, 2019</w:t>
            </w:r>
          </w:p>
        </w:tc>
        <w:tc>
          <w:tcPr>
            <w:tcW w:w="262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By:</w:t>
            </w:r>
          </w:p>
        </w:tc>
        <w:tc>
          <w:tcPr>
            <w:tcW w:w="51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Robert D. Pomeroy, Jr.</w:t>
            </w:r>
          </w:p>
        </w:tc>
      </w:tr>
      <w:tr>
        <w:trPr>
          <w:trHeight w:val="191"/>
        </w:trPr>
        <w:tc>
          <w:tcPr>
            <w:tcW w:w="3660" w:type="dxa"/>
            <w:vAlign w:val="bottom"/>
          </w:tcPr>
          <w:p>
            <w:pPr>
              <w:spacing w:after="0"/>
              <w:rPr>
                <w:sz w:val="16"/>
                <w:szCs w:val="16"/>
                <w:color w:val="auto"/>
              </w:rPr>
            </w:pPr>
          </w:p>
        </w:tc>
        <w:tc>
          <w:tcPr>
            <w:tcW w:w="2620" w:type="dxa"/>
            <w:vAlign w:val="bottom"/>
          </w:tcPr>
          <w:p>
            <w:pPr>
              <w:ind w:left="20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1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Robert D. Pomeroy, Jr.</w:t>
            </w:r>
          </w:p>
        </w:tc>
      </w:tr>
      <w:tr>
        <w:trPr>
          <w:trHeight w:val="234"/>
        </w:trPr>
        <w:tc>
          <w:tcPr>
            <w:tcW w:w="3660" w:type="dxa"/>
            <w:vAlign w:val="bottom"/>
          </w:tcPr>
          <w:p>
            <w:pPr>
              <w:spacing w:after="0"/>
              <w:rPr>
                <w:sz w:val="20"/>
                <w:szCs w:val="20"/>
                <w:color w:val="auto"/>
              </w:rPr>
            </w:pPr>
          </w:p>
        </w:tc>
        <w:tc>
          <w:tcPr>
            <w:tcW w:w="262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Title:</w:t>
            </w: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Chairman of the Board</w:t>
            </w:r>
          </w:p>
        </w:tc>
      </w:tr>
      <w:tr>
        <w:trPr>
          <w:trHeight w:val="432"/>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29, 2019</w:t>
            </w:r>
          </w:p>
        </w:tc>
        <w:tc>
          <w:tcPr>
            <w:tcW w:w="262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By:</w:t>
            </w:r>
          </w:p>
        </w:tc>
        <w:tc>
          <w:tcPr>
            <w:tcW w:w="51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Daniel R. Trolio</w:t>
            </w:r>
          </w:p>
        </w:tc>
      </w:tr>
      <w:tr>
        <w:trPr>
          <w:trHeight w:val="191"/>
        </w:trPr>
        <w:tc>
          <w:tcPr>
            <w:tcW w:w="3660" w:type="dxa"/>
            <w:vAlign w:val="bottom"/>
          </w:tcPr>
          <w:p>
            <w:pPr>
              <w:spacing w:after="0"/>
              <w:rPr>
                <w:sz w:val="16"/>
                <w:szCs w:val="16"/>
                <w:color w:val="auto"/>
              </w:rPr>
            </w:pPr>
          </w:p>
        </w:tc>
        <w:tc>
          <w:tcPr>
            <w:tcW w:w="2620" w:type="dxa"/>
            <w:vAlign w:val="bottom"/>
          </w:tcPr>
          <w:p>
            <w:pPr>
              <w:ind w:left="20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1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Daniel R. Trolio</w:t>
            </w:r>
          </w:p>
        </w:tc>
      </w:tr>
      <w:tr>
        <w:trPr>
          <w:trHeight w:val="234"/>
        </w:trPr>
        <w:tc>
          <w:tcPr>
            <w:tcW w:w="3660" w:type="dxa"/>
            <w:vAlign w:val="bottom"/>
          </w:tcPr>
          <w:p>
            <w:pPr>
              <w:spacing w:after="0"/>
              <w:rPr>
                <w:sz w:val="20"/>
                <w:szCs w:val="20"/>
                <w:color w:val="auto"/>
              </w:rPr>
            </w:pPr>
          </w:p>
        </w:tc>
        <w:tc>
          <w:tcPr>
            <w:tcW w:w="262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Title:</w:t>
            </w: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648"/>
        </w:trPr>
        <w:tc>
          <w:tcPr>
            <w:tcW w:w="366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ind w:left="1980"/>
              <w:spacing w:after="0"/>
              <w:rPr>
                <w:sz w:val="20"/>
                <w:szCs w:val="20"/>
                <w:color w:val="auto"/>
              </w:rPr>
            </w:pPr>
            <w:r>
              <w:rPr>
                <w:rFonts w:ascii="Times New Roman" w:cs="Times New Roman" w:eastAsia="Times New Roman" w:hAnsi="Times New Roman"/>
                <w:sz w:val="18"/>
                <w:szCs w:val="18"/>
                <w:color w:val="auto"/>
              </w:rPr>
              <w:t>71</w:t>
            </w: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0" w:right="239" w:bottom="1440" w:gutter="0" w:footer="0" w:header="0"/>
        </w:sectPr>
      </w:pPr>
    </w:p>
    <w:bookmarkStart w:id="73" w:name="page74"/>
    <w:bookmarkEnd w:id="7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EXCHANGE ACT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 AND 15d-14, AS ADOPTED PURSUANT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SECTION 302 OF THE SARBANES-OXLEY ACT OF 2002</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 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D. Pomeroy, Jr., as Chief Executive Officer and Chairman of the Board of Horizon Technology Finance Corporation, certify that:</w:t>
      </w:r>
    </w:p>
    <w:p>
      <w:pPr>
        <w:spacing w:after="0" w:line="225" w:lineRule="exact"/>
        <w:rPr>
          <w:sz w:val="20"/>
          <w:szCs w:val="20"/>
          <w:color w:val="auto"/>
        </w:rPr>
      </w:pPr>
    </w:p>
    <w:p>
      <w:pPr>
        <w:ind w:left="520" w:hanging="188"/>
        <w:spacing w:after="0"/>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Horizon Technology Finance Corporation;</w:t>
      </w:r>
    </w:p>
    <w:p>
      <w:pPr>
        <w:spacing w:after="0" w:line="225" w:lineRule="exact"/>
        <w:rPr>
          <w:rFonts w:ascii="Times New Roman" w:cs="Times New Roman" w:eastAsia="Times New Roman" w:hAnsi="Times New Roman"/>
          <w:sz w:val="18"/>
          <w:szCs w:val="18"/>
          <w:color w:val="auto"/>
        </w:rPr>
      </w:pPr>
    </w:p>
    <w:p>
      <w:pPr>
        <w:ind w:firstLine="332"/>
        <w:spacing w:after="0" w:line="282" w:lineRule="auto"/>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332"/>
        <w:spacing w:after="0" w:line="282" w:lineRule="auto"/>
        <w:tabs>
          <w:tab w:leader="none" w:pos="52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332"/>
        <w:spacing w:after="0" w:line="266" w:lineRule="auto"/>
        <w:tabs>
          <w:tab w:leader="none" w:pos="53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jc w:val="both"/>
        <w:ind w:firstLine="332"/>
        <w:spacing w:after="0" w:line="266" w:lineRule="auto"/>
        <w:tabs>
          <w:tab w:leader="none" w:pos="517"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jc w:val="both"/>
        <w:ind w:firstLine="332"/>
        <w:spacing w:after="0" w:line="266" w:lineRule="auto"/>
        <w:tabs>
          <w:tab w:leader="none" w:pos="52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firstLine="332"/>
        <w:spacing w:after="0" w:line="282" w:lineRule="auto"/>
        <w:tabs>
          <w:tab w:leader="none" w:pos="51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firstLine="332"/>
        <w:spacing w:after="0" w:line="266" w:lineRule="auto"/>
        <w:tabs>
          <w:tab w:leader="none" w:pos="53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firstLine="332"/>
        <w:spacing w:after="0" w:line="282" w:lineRule="auto"/>
        <w:tabs>
          <w:tab w:leader="none" w:pos="51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firstLine="332"/>
        <w:spacing w:after="0" w:line="282" w:lineRule="auto"/>
        <w:tabs>
          <w:tab w:leader="none" w:pos="51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firstLine="332"/>
        <w:spacing w:after="0" w:line="282" w:lineRule="auto"/>
        <w:tabs>
          <w:tab w:leader="none" w:pos="527"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29, 2019</w:t>
      </w:r>
    </w:p>
    <w:p>
      <w:pPr>
        <w:spacing w:after="0" w:line="200" w:lineRule="exact"/>
        <w:rPr>
          <w:sz w:val="20"/>
          <w:szCs w:val="20"/>
          <w:color w:val="auto"/>
        </w:rPr>
      </w:pPr>
    </w:p>
    <w:p>
      <w:pPr>
        <w:spacing w:after="0" w:line="241"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Robert D. Pomeroy, Jr.</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Chief Executive Officer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-130810</wp:posOffset>
            </wp:positionV>
            <wp:extent cx="362775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Chairman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74" w:name="page75"/>
    <w:bookmarkEnd w:id="7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EXCHANGE ACT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 AND 15d-14, AS ADOPTED PURSUANT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SECTION 302 OF THE SARBANES-OXLEY ACT OF 2002</w:t>
      </w:r>
    </w:p>
    <w:p>
      <w:pPr>
        <w:spacing w:after="0" w:line="203"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CHIEF FINANCIAL OFFICER 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Daniel R. Trolio, as Chief Financial Officer of Horizon Technology Finance Corporation, certify that:</w:t>
      </w:r>
    </w:p>
    <w:p>
      <w:pPr>
        <w:spacing w:after="0" w:line="225" w:lineRule="exact"/>
        <w:rPr>
          <w:sz w:val="20"/>
          <w:szCs w:val="20"/>
          <w:color w:val="auto"/>
        </w:rPr>
      </w:pPr>
    </w:p>
    <w:p>
      <w:pPr>
        <w:ind w:left="520" w:hanging="188"/>
        <w:spacing w:after="0"/>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Horizon Technology Finance Corporation;</w:t>
      </w:r>
    </w:p>
    <w:p>
      <w:pPr>
        <w:spacing w:after="0" w:line="225" w:lineRule="exact"/>
        <w:rPr>
          <w:rFonts w:ascii="Times New Roman" w:cs="Times New Roman" w:eastAsia="Times New Roman" w:hAnsi="Times New Roman"/>
          <w:sz w:val="18"/>
          <w:szCs w:val="18"/>
          <w:color w:val="auto"/>
        </w:rPr>
      </w:pPr>
    </w:p>
    <w:p>
      <w:pPr>
        <w:ind w:firstLine="332"/>
        <w:spacing w:after="0" w:line="282" w:lineRule="auto"/>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332"/>
        <w:spacing w:after="0" w:line="282" w:lineRule="auto"/>
        <w:tabs>
          <w:tab w:leader="none" w:pos="522"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332"/>
        <w:spacing w:after="0" w:line="266" w:lineRule="auto"/>
        <w:tabs>
          <w:tab w:leader="none" w:pos="532"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jc w:val="both"/>
        <w:ind w:firstLine="332"/>
        <w:spacing w:after="0" w:line="266" w:lineRule="auto"/>
        <w:tabs>
          <w:tab w:leader="none" w:pos="517"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jc w:val="both"/>
        <w:ind w:firstLine="332"/>
        <w:spacing w:after="0" w:line="266" w:lineRule="auto"/>
        <w:tabs>
          <w:tab w:leader="none" w:pos="52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firstLine="332"/>
        <w:spacing w:after="0" w:line="282" w:lineRule="auto"/>
        <w:tabs>
          <w:tab w:leader="none" w:pos="51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firstLine="332"/>
        <w:spacing w:after="0" w:line="266" w:lineRule="auto"/>
        <w:tabs>
          <w:tab w:leader="none" w:pos="53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firstLine="332"/>
        <w:spacing w:after="0" w:line="282" w:lineRule="auto"/>
        <w:tabs>
          <w:tab w:leader="none" w:pos="51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firstLine="332"/>
        <w:spacing w:after="0" w:line="282" w:lineRule="auto"/>
        <w:tabs>
          <w:tab w:leader="none" w:pos="51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firstLine="332"/>
        <w:spacing w:after="0" w:line="282" w:lineRule="auto"/>
        <w:tabs>
          <w:tab w:leader="none" w:pos="527"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29, 2019</w:t>
      </w:r>
    </w:p>
    <w:p>
      <w:pPr>
        <w:spacing w:after="0" w:line="200" w:lineRule="exact"/>
        <w:rPr>
          <w:sz w:val="20"/>
          <w:szCs w:val="20"/>
          <w:color w:val="auto"/>
        </w:rPr>
      </w:pPr>
    </w:p>
    <w:p>
      <w:pPr>
        <w:spacing w:after="0" w:line="241"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Daniel R. Trolio</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Daniel R. Trolio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-130810</wp:posOffset>
            </wp:positionV>
            <wp:extent cx="362775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75" w:name="page76"/>
    <w:bookmarkEnd w:id="7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 (18 U.S.C. Section 1350)</w:t>
      </w:r>
    </w:p>
    <w:p>
      <w:pPr>
        <w:spacing w:after="0" w:line="20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Horizon Technology Finance Corporation (the “Company”) for the quarterly period ended September 30, 2019 as filed with the Securities and Exchange Commission on the date hereof (the “Report”), I, Robert D. Pomeroy, Jr., as Chief Executive Officer and Chairman of the Board, certify, pursuant to 18 U.S.C. Section 1350, as adopted pursuant to Section 906 of Sarbanes-Oxley Act of 2002, as amended, that to my knowledge:</w:t>
      </w:r>
    </w:p>
    <w:p>
      <w:pPr>
        <w:spacing w:after="0" w:line="180" w:lineRule="exact"/>
        <w:rPr>
          <w:sz w:val="20"/>
          <w:szCs w:val="20"/>
          <w:color w:val="auto"/>
        </w:rPr>
      </w:pPr>
    </w:p>
    <w:p>
      <w:pPr>
        <w:ind w:left="580" w:hanging="248"/>
        <w:spacing w:after="0"/>
        <w:tabs>
          <w:tab w:leader="none" w:pos="5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Robert D. Pomeroy, Jr.</w:t>
      </w:r>
    </w:p>
    <w:p>
      <w:pPr>
        <w:spacing w:after="0" w:line="27"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b w:val="1"/>
          <w:bCs w:val="1"/>
          <w:color w:val="auto"/>
        </w:rPr>
        <w:t>Robert D. Pomeroy,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b w:val="1"/>
          <w:bCs w:val="1"/>
          <w:color w:val="auto"/>
        </w:rPr>
        <w:t>Chief Executive Officer and</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Chairman of the Board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29,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72466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76" w:name="page77"/>
    <w:bookmarkEnd w:id="7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 (18 U.S.C. Section 1350)</w:t>
      </w:r>
    </w:p>
    <w:p>
      <w:pPr>
        <w:spacing w:after="0" w:line="20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Horizon Technology Finance Corporation (the “Company”) for the quarterly period ended September 30, 2019 as filed with the Securities and Exchange Commission on the date hereof (the “Report”), I, Daniel R. Trolio, as Chief Financial Officer of the Company, certify, pursuant to 18 U.S.C. Section 1350, as adopted pursuant to Section 906 of Sarbanes-Oxley Act of 2002, as amended, that to my knowledge:</w:t>
      </w:r>
    </w:p>
    <w:p>
      <w:pPr>
        <w:spacing w:after="0" w:line="180" w:lineRule="exact"/>
        <w:rPr>
          <w:sz w:val="20"/>
          <w:szCs w:val="20"/>
          <w:color w:val="auto"/>
        </w:rPr>
      </w:pPr>
    </w:p>
    <w:p>
      <w:pPr>
        <w:ind w:left="580" w:hanging="248"/>
        <w:spacing w:after="0"/>
        <w:tabs>
          <w:tab w:leader="none" w:pos="5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Daniel R. Trolio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Name: </w:t>
      </w:r>
      <w:r>
        <w:rPr>
          <w:rFonts w:ascii="Times New Roman" w:cs="Times New Roman" w:eastAsia="Times New Roman" w:hAnsi="Times New Roman"/>
          <w:sz w:val="18"/>
          <w:szCs w:val="18"/>
          <w:b w:val="1"/>
          <w:bCs w:val="1"/>
          <w:color w:val="auto"/>
        </w:rPr>
        <w:t>Daniel R. Trolio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6204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662045" cy="8890"/>
                    </a:xfrm>
                    <a:prstGeom prst="rect">
                      <a:avLst/>
                    </a:prstGeom>
                    <a:noFill/>
                  </pic:spPr>
                </pic:pic>
              </a:graphicData>
            </a:graphic>
          </wp:anchor>
        </w:drawing>
      </w:r>
    </w:p>
    <w:p>
      <w:pPr>
        <w:spacing w:after="0" w:line="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b w:val="1"/>
          <w:bCs w:val="1"/>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29,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72466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x"/>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1"/>
      <w:numFmt w:val="bullet"/>
      <w:start w:val="1"/>
    </w:lvl>
  </w:abstractNum>
  <w:abstractNum w:abstractNumId="3">
    <w:nsid w:val="62BBD95A"/>
    <w:multiLevelType w:val="hybridMultilevel"/>
    <w:lvl w:ilvl="0">
      <w:lvlJc w:val="left"/>
      <w:lvlText w:val="(%1)"/>
      <w:numFmt w:val="decimal"/>
      <w:start w:val="1"/>
    </w:lvl>
  </w:abstractNum>
  <w:abstractNum w:abstractNumId="4">
    <w:nsid w:val="436C6125"/>
    <w:multiLevelType w:val="hybridMultilevel"/>
    <w:lvl w:ilvl="0">
      <w:lvlJc w:val="left"/>
      <w:lvlText w:val="(%1)"/>
      <w:numFmt w:val="decimal"/>
      <w:start w:val="12"/>
    </w:lvl>
  </w:abstractNum>
  <w:abstractNum w:abstractNumId="5">
    <w:nsid w:val="628C895D"/>
    <w:multiLevelType w:val="hybridMultilevel"/>
    <w:lvl w:ilvl="0">
      <w:lvlJc w:val="left"/>
      <w:lvlText w:val="(%1)"/>
      <w:numFmt w:val="decimal"/>
      <w:start w:val="1"/>
    </w:lvl>
  </w:abstractNum>
  <w:abstractNum w:abstractNumId="6">
    <w:nsid w:val="333AB105"/>
    <w:multiLevelType w:val="hybridMultilevel"/>
    <w:lvl w:ilvl="0">
      <w:lvlJc w:val="left"/>
      <w:lvlText w:val="(%1)"/>
      <w:numFmt w:val="decimal"/>
      <w:start w:val="1"/>
    </w:lvl>
  </w:abstractNum>
  <w:abstractNum w:abstractNumId="7">
    <w:nsid w:val="721DA317"/>
    <w:multiLevelType w:val="hybridMultilevel"/>
    <w:lvl w:ilvl="0">
      <w:lvlJc w:val="left"/>
      <w:lvlText w:val="(%1)"/>
      <w:numFmt w:val="decimal"/>
      <w:start w:val="7"/>
    </w:lvl>
  </w:abstractNum>
  <w:abstractNum w:abstractNumId="8">
    <w:nsid w:val="2443A858"/>
    <w:multiLevelType w:val="hybridMultilevel"/>
    <w:lvl w:ilvl="0">
      <w:lvlJc w:val="left"/>
      <w:lvlText w:val="(%1)"/>
      <w:numFmt w:val="decimal"/>
      <w:start w:val="1"/>
    </w:lvl>
  </w:abstractNum>
  <w:abstractNum w:abstractNumId="9">
    <w:nsid w:val="2D1D5AE9"/>
    <w:multiLevelType w:val="hybridMultilevel"/>
    <w:lvl w:ilvl="0">
      <w:lvlJc w:val="left"/>
      <w:lvlText w:val="(%1)"/>
      <w:numFmt w:val="decimal"/>
      <w:start w:val="1"/>
    </w:lvl>
  </w:abstractNum>
  <w:abstractNum w:abstractNumId="10">
    <w:nsid w:val="6763845E"/>
    <w:multiLevelType w:val="hybridMultilevel"/>
    <w:lvl w:ilvl="0">
      <w:lvlJc w:val="left"/>
      <w:lvlText w:val="(%1)"/>
      <w:numFmt w:val="decimal"/>
      <w:start w:val="1"/>
    </w:lvl>
  </w:abstractNum>
  <w:abstractNum w:abstractNumId="11">
    <w:nsid w:val="75A2A8D4"/>
    <w:multiLevelType w:val="hybridMultilevel"/>
    <w:lvl w:ilvl="0">
      <w:lvlJc w:val="left"/>
      <w:lvlText w:val="•"/>
      <w:numFmt w:val="bullet"/>
      <w:start w:val="1"/>
    </w:lvl>
  </w:abstractNum>
  <w:abstractNum w:abstractNumId="12">
    <w:nsid w:val="8EDBDAB"/>
    <w:multiLevelType w:val="hybridMultilevel"/>
    <w:lvl w:ilvl="0">
      <w:lvlJc w:val="left"/>
      <w:lvlText w:val="(%1)"/>
      <w:numFmt w:val="decimal"/>
      <w:start w:val="1"/>
    </w:lvl>
  </w:abstractNum>
  <w:abstractNum w:abstractNumId="13">
    <w:nsid w:val="79838CB2"/>
    <w:multiLevelType w:val="hybridMultilevel"/>
    <w:lvl w:ilvl="0">
      <w:lvlJc w:val="left"/>
      <w:lvlText w:val="(%1)"/>
      <w:numFmt w:val="decimal"/>
      <w:start w:val="1"/>
    </w:lvl>
  </w:abstractNum>
  <w:abstractNum w:abstractNumId="14">
    <w:nsid w:val="4353D0CD"/>
    <w:multiLevelType w:val="hybridMultilevel"/>
    <w:lvl w:ilvl="0">
      <w:lvlJc w:val="left"/>
      <w:lvlText w:val="(%1)"/>
      <w:numFmt w:val="decimal"/>
      <w:start w:val="1"/>
    </w:lvl>
  </w:abstractNum>
  <w:abstractNum w:abstractNumId="15">
    <w:nsid w:val="B03E0C6"/>
    <w:multiLevelType w:val="hybridMultilevel"/>
    <w:lvl w:ilvl="0">
      <w:lvlJc w:val="left"/>
      <w:lvlText w:val="(%1)"/>
      <w:numFmt w:val="decimal"/>
      <w:start w:val="1"/>
    </w:lvl>
  </w:abstractNum>
  <w:abstractNum w:abstractNumId="16">
    <w:nsid w:val="189A769B"/>
    <w:multiLevelType w:val="hybridMultilevel"/>
    <w:lvl w:ilvl="0">
      <w:lvlJc w:val="left"/>
      <w:lvlText w:val="%1"/>
      <w:numFmt w:val="decimal"/>
      <w:start w:val="1"/>
    </w:lvl>
    <w:lvl w:ilvl="1">
      <w:lvlJc w:val="left"/>
      <w:lvlText w:val="(%2)"/>
      <w:numFmt w:val="lowerRoman"/>
      <w:start w:val="2"/>
    </w:lvl>
  </w:abstractNum>
  <w:abstractNum w:abstractNumId="17">
    <w:nsid w:val="54E49EB4"/>
    <w:multiLevelType w:val="hybridMultilevel"/>
    <w:lvl w:ilvl="0">
      <w:lvlJc w:val="left"/>
      <w:lvlText w:val="(%1)"/>
      <w:numFmt w:val="decimal"/>
      <w:start w:val="2"/>
    </w:lvl>
    <w:lvl w:ilvl="1">
      <w:lvlJc w:val="left"/>
      <w:lvlText w:val="%2"/>
      <w:numFmt w:val="lowerRoman"/>
      <w:start w:val="1"/>
    </w:lvl>
  </w:abstractNum>
  <w:abstractNum w:abstractNumId="18">
    <w:nsid w:val="71F32454"/>
    <w:multiLevelType w:val="hybridMultilevel"/>
    <w:lvl w:ilvl="0">
      <w:lvlJc w:val="left"/>
      <w:lvlText w:val="•"/>
      <w:numFmt w:val="bullet"/>
      <w:start w:val="1"/>
    </w:lvl>
  </w:abstractNum>
  <w:abstractNum w:abstractNumId="19">
    <w:nsid w:val="2CA88611"/>
    <w:multiLevelType w:val="hybridMultilevel"/>
    <w:lvl w:ilvl="0">
      <w:lvlJc w:val="left"/>
      <w:lvlText w:val="(%1)"/>
      <w:numFmt w:val="decimal"/>
      <w:start w:val="1"/>
    </w:lvl>
  </w:abstractNum>
  <w:abstractNum w:abstractNumId="20">
    <w:nsid w:val="836C40E"/>
    <w:multiLevelType w:val="hybridMultilevel"/>
    <w:lvl w:ilvl="0">
      <w:lvlJc w:val="left"/>
      <w:lvlText w:val="(%1)"/>
      <w:numFmt w:val="decimal"/>
      <w:start w:val="1"/>
    </w:lvl>
  </w:abstractNum>
  <w:abstractNum w:abstractNumId="21">
    <w:nsid w:val="2901D82"/>
    <w:multiLevelType w:val="hybridMultilevel"/>
    <w:lvl w:ilvl="0">
      <w:lvlJc w:val="left"/>
      <w:lvlText w:val="(%1)"/>
      <w:numFmt w:val="decimal"/>
      <w:start w:val="1"/>
    </w:lvl>
  </w:abstractNum>
  <w:abstractNum w:abstractNumId="22">
    <w:nsid w:val="3A95F874"/>
    <w:multiLevelType w:val="hybridMultilevel"/>
    <w:lvl w:ilvl="0">
      <w:lvlJc w:val="left"/>
      <w:lvlText w:val="(%1)"/>
      <w:numFmt w:val="decimal"/>
      <w:start w:val="1"/>
    </w:lvl>
  </w:abstractNum>
  <w:abstractNum w:abstractNumId="23">
    <w:nsid w:val="8138641"/>
    <w:multiLevelType w:val="hybridMultilevel"/>
    <w:lvl w:ilvl="0">
      <w:lvlJc w:val="left"/>
      <w:lvlText w:val="(%1)"/>
      <w:numFmt w:val="decimal"/>
      <w:start w:val="1"/>
    </w:lvl>
  </w:abstractNum>
  <w:abstractNum w:abstractNumId="24">
    <w:nsid w:val="1E7FF521"/>
    <w:multiLevelType w:val="hybridMultilevel"/>
    <w:lvl w:ilvl="0">
      <w:lvlJc w:val="left"/>
      <w:lvlText w:val="(%1)"/>
      <w:numFmt w:val="decimal"/>
      <w:start w:val="4"/>
    </w:lvl>
  </w:abstractNum>
  <w:abstractNum w:abstractNumId="25">
    <w:nsid w:val="7C3DBD3D"/>
    <w:multiLevelType w:val="hybridMultilevel"/>
    <w:lvl w:ilvl="0">
      <w:lvlJc w:val="left"/>
      <w:lvlText w:val="*"/>
      <w:numFmt w:val="bullet"/>
      <w:start w:val="1"/>
    </w:lvl>
  </w:abstractNum>
  <w:abstractNum w:abstractNumId="26">
    <w:nsid w:val="737B8DDC"/>
    <w:multiLevelType w:val="hybridMultilevel"/>
    <w:lvl w:ilvl="0">
      <w:lvlJc w:val="left"/>
      <w:lvlText w:val="%1."/>
      <w:numFmt w:val="decimal"/>
      <w:start w:val="1"/>
    </w:lvl>
  </w:abstractNum>
  <w:abstractNum w:abstractNumId="27">
    <w:nsid w:val="6CEAF087"/>
    <w:multiLevelType w:val="hybridMultilevel"/>
    <w:lvl w:ilvl="0">
      <w:lvlJc w:val="left"/>
      <w:lvlText w:val="%1)"/>
      <w:numFmt w:val="lowerLetter"/>
      <w:start w:val="1"/>
    </w:lvl>
  </w:abstractNum>
  <w:abstractNum w:abstractNumId="28">
    <w:nsid w:val="22221A70"/>
    <w:multiLevelType w:val="hybridMultilevel"/>
    <w:lvl w:ilvl="0">
      <w:lvlJc w:val="left"/>
      <w:lvlText w:val="%1."/>
      <w:numFmt w:val="decimal"/>
      <w:start w:val="5"/>
    </w:lvl>
  </w:abstractNum>
  <w:abstractNum w:abstractNumId="29">
    <w:nsid w:val="4516DDE9"/>
    <w:multiLevelType w:val="hybridMultilevel"/>
    <w:lvl w:ilvl="0">
      <w:lvlJc w:val="left"/>
      <w:lvlText w:val="%1)"/>
      <w:numFmt w:val="lowerLetter"/>
      <w:start w:val="1"/>
    </w:lvl>
  </w:abstractNum>
  <w:abstractNum w:abstractNumId="30">
    <w:nsid w:val="3006C83E"/>
    <w:multiLevelType w:val="hybridMultilevel"/>
    <w:lvl w:ilvl="0">
      <w:lvlJc w:val="left"/>
      <w:lvlText w:val="%1."/>
      <w:numFmt w:val="decimal"/>
      <w:start w:val="1"/>
    </w:lvl>
  </w:abstractNum>
  <w:abstractNum w:abstractNumId="31">
    <w:nsid w:val="614FD4A1"/>
    <w:multiLevelType w:val="hybridMultilevel"/>
    <w:lvl w:ilvl="0">
      <w:lvlJc w:val="left"/>
      <w:lvlText w:val="%1)"/>
      <w:numFmt w:val="lowerLetter"/>
      <w:start w:val="1"/>
    </w:lvl>
  </w:abstractNum>
  <w:abstractNum w:abstractNumId="32">
    <w:nsid w:val="419AC241"/>
    <w:multiLevelType w:val="hybridMultilevel"/>
    <w:lvl w:ilvl="0">
      <w:lvlJc w:val="left"/>
      <w:lvlText w:val="%1."/>
      <w:numFmt w:val="decimal"/>
      <w:start w:val="5"/>
    </w:lvl>
  </w:abstractNum>
  <w:abstractNum w:abstractNumId="33">
    <w:nsid w:val="5577F8E1"/>
    <w:multiLevelType w:val="hybridMultilevel"/>
    <w:lvl w:ilvl="0">
      <w:lvlJc w:val="left"/>
      <w:lvlText w:val="%1)"/>
      <w:numFmt w:val="lowerLetter"/>
      <w:start w:val="1"/>
    </w:lvl>
  </w:abstractNum>
  <w:abstractNum w:abstractNumId="34">
    <w:nsid w:val="440BADFC"/>
    <w:multiLevelType w:val="hybridMultilevel"/>
    <w:lvl w:ilvl="0">
      <w:lvlJc w:val="left"/>
      <w:lvlText w:val="(%1)"/>
      <w:numFmt w:val="decimal"/>
      <w:start w:val="1"/>
    </w:lvl>
  </w:abstractNum>
  <w:abstractNum w:abstractNumId="35">
    <w:nsid w:val="507236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2019-12-28T04:19:19Z</dcterms:created>
  <dcterms:modified xsi:type="dcterms:W3CDTF">2019-12-28T04:19:19Z</dcterms:modified>
</cp:coreProperties>
</file>