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rzn20260626_8k.htm"/>
      <w:bookmarkStart w:id="1" w:name="kshrzn20260626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June 26,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HORIZON TECHNOLOGY FINANCE CORPORATION</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2150"/>
        <w:gridCol w:w="60"/>
        <w:gridCol w:w="2210"/>
        <w:gridCol w:w="60"/>
        <w:gridCol w:w="2900"/>
      </w:tblGrid>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814-00802</w:t>
            </w:r>
          </w:p>
        </w:tc>
        <w:tc>
          <w:tcPr>
            <w:tcW w:w="60" w:type="dxa"/>
            <w:tcBorders/>
            <w:vAlign w:val="center"/>
          </w:tcPr>
          <w:p>
            <w:pPr>
              <w:pStyle w:val="TableContents"/>
              <w:bidi w:val="0"/>
              <w:spacing w:before="0" w:after="0"/>
              <w:ind w:left="0" w:right="0" w:hanging="0"/>
              <w:jc w:val="left"/>
              <w:rPr/>
            </w:pPr>
            <w:r>
              <w:rPr/>
              <w:t> </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27-2114934</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vAlign w:val="center"/>
          </w:tcPr>
          <w:p>
            <w:pPr>
              <w:pStyle w:val="TableContents"/>
              <w:bidi w:val="0"/>
              <w:spacing w:before="0" w:after="0"/>
              <w:ind w:left="0" w:right="0" w:hanging="0"/>
              <w:jc w:val="left"/>
              <w:rPr/>
            </w:pPr>
            <w:r>
              <w:rPr/>
              <w:t> </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312 Farmington Avenue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Farmington, CT 06032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(860) 676-8654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60"/>
        <w:gridCol w:w="1415"/>
        <w:gridCol w:w="60"/>
        <w:gridCol w:w="3575"/>
      </w:tblGrid>
      <w:tr>
        <w:trPr/>
        <w:tc>
          <w:tcPr>
            <w:tcW w:w="3500" w:type="dxa"/>
            <w:tcBorders>
              <w:bottom w:val="single" w:sz="2" w:space="0" w:color="000000"/>
            </w:tcBorders>
            <w:vAlign w:val="center"/>
          </w:tcPr>
          <w:p>
            <w:pPr>
              <w:pStyle w:val="TableContents"/>
              <w:bidi w:val="0"/>
              <w:spacing w:before="0" w:after="0"/>
              <w:ind w:left="120" w:right="0" w:hanging="12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Ticker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120" w:right="0" w:hanging="12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HRZN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6.25% Notes due 2027</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HTFC</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tbl>
      <w:tblPr>
        <w:tblW w:w="5185" w:type="dxa"/>
        <w:jc w:val="left"/>
        <w:tblInd w:w="0" w:type="dxa"/>
        <w:tblLayout w:type="fixed"/>
        <w:tblCellMar>
          <w:top w:w="0" w:type="dxa"/>
          <w:left w:w="0" w:type="dxa"/>
          <w:bottom w:w="0" w:type="dxa"/>
          <w:right w:w="0" w:type="dxa"/>
        </w:tblCellMar>
      </w:tblPr>
      <w:tblGrid>
        <w:gridCol w:w="815"/>
        <w:gridCol w:w="4370"/>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Section 5</w:t>
            </w:r>
          </w:p>
        </w:tc>
        <w:tc>
          <w:tcPr>
            <w:tcW w:w="43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Governance and Management</w:t>
            </w:r>
          </w:p>
        </w:tc>
      </w:tr>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5.07</w:t>
            </w:r>
          </w:p>
        </w:tc>
        <w:tc>
          <w:tcPr>
            <w:tcW w:w="43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Annual Meeting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26, 2026, Horizon Technology Finance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held its annual meeting of stockholders (the “</w:t>
      </w:r>
      <w:r>
        <w:rPr>
          <w:rFonts w:ascii="Times New Roman" w:hAnsi="Times New Roman"/>
          <w:caps w:val="false"/>
          <w:smallCaps w:val="false"/>
          <w:sz w:val="20"/>
          <w:u w:val="single"/>
        </w:rPr>
        <w:t>Annual Meeting</w:t>
      </w:r>
      <w:r>
        <w:rPr>
          <w:rFonts w:ascii="Times New Roman" w:hAnsi="Times New Roman"/>
          <w:caps w:val="false"/>
          <w:smallCaps w:val="false"/>
          <w:sz w:val="20"/>
        </w:rPr>
        <w:t>”). At the Annual Meeting, the Company’s stockholders approved two proposals. The proposals are described in detail in the Company’s definitive proxy statement for the Annual Meeting as filed with the Securities and Exchange Commission on May 14, 2026. As of April 27, 2026, the record date for the Annual Meeting, 68,261,111 shares of the Company’s common stock were eligible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1</w:t>
      </w:r>
      <w:r>
        <w:rPr>
          <w:rFonts w:ascii="Times New Roman" w:hAnsi="Times New Roman"/>
          <w:caps w:val="false"/>
          <w:smallCaps w:val="false"/>
          <w:sz w:val="20"/>
        </w:rPr>
        <w:t>: The Company’s stockholders elected two Class I directors of the Company, each of whom will serve until the 2029 annual meeting of stockholders, or until his or her successor is duly elected and qualified or until his or her earlier resignation, removal from office, death or incapacity. The following votes were taken in connection with this proposal:</w:t>
      </w:r>
    </w:p>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1955"/>
        <w:gridCol w:w="950"/>
        <w:gridCol w:w="845"/>
        <w:gridCol w:w="1490"/>
      </w:tblGrid>
      <w:tr>
        <w:trPr/>
        <w:tc>
          <w:tcPr>
            <w:tcW w:w="195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w:t>
            </w:r>
          </w:p>
        </w:tc>
        <w:tc>
          <w:tcPr>
            <w:tcW w:w="95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w:t>
            </w:r>
          </w:p>
        </w:tc>
        <w:tc>
          <w:tcPr>
            <w:tcW w:w="84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Withheld</w:t>
            </w:r>
          </w:p>
        </w:tc>
        <w:tc>
          <w:tcPr>
            <w:tcW w:w="149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Broker Non-Votes</w:t>
            </w:r>
          </w:p>
        </w:tc>
      </w:tr>
      <w:tr>
        <w:trPr/>
        <w:tc>
          <w:tcPr>
            <w:tcW w:w="19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Kimberley A. O’Connor</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13,760,758</w:t>
            </w:r>
          </w:p>
        </w:tc>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3,450,722</w:t>
            </w:r>
          </w:p>
        </w:tc>
        <w:tc>
          <w:tcPr>
            <w:tcW w:w="149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25,143,830</w:t>
            </w:r>
          </w:p>
        </w:tc>
      </w:tr>
      <w:tr>
        <w:trPr/>
        <w:tc>
          <w:tcPr>
            <w:tcW w:w="19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Thomas J. Allison</w:t>
            </w:r>
          </w:p>
        </w:tc>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14,572,710</w:t>
            </w:r>
          </w:p>
        </w:tc>
        <w:tc>
          <w:tcPr>
            <w:tcW w:w="84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2,638,770</w:t>
            </w:r>
          </w:p>
        </w:tc>
        <w:tc>
          <w:tcPr>
            <w:tcW w:w="149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25,143,830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2</w:t>
      </w:r>
      <w:r>
        <w:rPr>
          <w:rFonts w:ascii="Times New Roman" w:hAnsi="Times New Roman"/>
          <w:caps w:val="false"/>
          <w:smallCaps w:val="false"/>
          <w:sz w:val="20"/>
        </w:rPr>
        <w:t>: The Company's stockholders ratified the selection of Grant Thornton LLP to serve as the Company's independent registered public accounting firm for the fiscal year ending December 31, 2026. The following votes were taken in connection with this proposal:</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950"/>
        <w:gridCol w:w="845"/>
        <w:gridCol w:w="845"/>
        <w:gridCol w:w="1490"/>
      </w:tblGrid>
      <w:tr>
        <w:trPr/>
        <w:tc>
          <w:tcPr>
            <w:tcW w:w="95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w:t>
            </w:r>
          </w:p>
        </w:tc>
        <w:tc>
          <w:tcPr>
            <w:tcW w:w="84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Against</w:t>
            </w:r>
          </w:p>
        </w:tc>
        <w:tc>
          <w:tcPr>
            <w:tcW w:w="84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Withheld</w:t>
            </w:r>
          </w:p>
        </w:tc>
        <w:tc>
          <w:tcPr>
            <w:tcW w:w="149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Broker Non-Votes</w:t>
            </w:r>
          </w:p>
        </w:tc>
      </w:tr>
      <w:tr>
        <w:trPr/>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38,701,672</w:t>
            </w:r>
          </w:p>
        </w:tc>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2,326,097</w:t>
            </w:r>
          </w:p>
        </w:tc>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1,327,541</w:t>
            </w:r>
          </w:p>
        </w:tc>
        <w:tc>
          <w:tcPr>
            <w:tcW w:w="149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640"/>
        <w:gridCol w:w="2146"/>
        <w:gridCol w:w="958"/>
        <w:gridCol w:w="966"/>
        <w:gridCol w:w="60"/>
      </w:tblGrid>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June 26, 2026</w:t>
            </w:r>
          </w:p>
        </w:tc>
        <w:tc>
          <w:tcPr>
            <w:tcW w:w="4070"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HORIZON TECHNOLOGY FINANCE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CORPORATION</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2146"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2146"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21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2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Michael P. Balkin</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2146" w:type="dxa"/>
            <w:tcBorders/>
            <w:vAlign w:val="center"/>
          </w:tcPr>
          <w:p>
            <w:pPr>
              <w:pStyle w:val="TableContents"/>
              <w:bidi w:val="0"/>
              <w:spacing w:before="0" w:after="0"/>
              <w:ind w:left="0" w:right="0" w:hanging="0"/>
              <w:jc w:val="left"/>
              <w:rPr/>
            </w:pPr>
            <w:r>
              <w:rPr/>
              <w:t> </w:t>
            </w:r>
          </w:p>
        </w:tc>
        <w:tc>
          <w:tcPr>
            <w:tcW w:w="192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P. Balkin</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2146" w:type="dxa"/>
            <w:tcBorders/>
            <w:vAlign w:val="center"/>
          </w:tcPr>
          <w:p>
            <w:pPr>
              <w:pStyle w:val="TableContents"/>
              <w:bidi w:val="0"/>
              <w:spacing w:before="0" w:after="0"/>
              <w:ind w:left="0" w:right="0" w:hanging="0"/>
              <w:jc w:val="left"/>
              <w:rPr/>
            </w:pPr>
            <w:r>
              <w:rPr/>
              <w:t> </w:t>
            </w:r>
          </w:p>
        </w:tc>
        <w:tc>
          <w:tcPr>
            <w:tcW w:w="1924" w:type="dxa"/>
            <w:gridSpan w:val="2"/>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576</Words>
  <Characters>3189</Characters>
  <CharactersWithSpaces>3760</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