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hrzn20260804_8k.htm"/>
      <w:bookmarkStart w:id="1" w:name="kshrzn20260804_8k"/>
      <w:bookmarkEnd w:id="0"/>
      <w:bookmarkEnd w:id="1"/>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UNITED STATES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AND EXCHANGE COMMISSION</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FORM 8-K</w:t>
      </w:r>
      <w:r>
        <w:rPr>
          <w:rFonts w:ascii="Times New Roman" w:hAnsi="Times New Roman"/>
          <w:caps w:val="false"/>
          <w:smallCaps w:val="false"/>
          <w:sz w:val="36"/>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CURRENT REPORT</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 13 or 15(d) of The 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Date of Report (Date of earliest event reported): August 4,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48"/>
        </w:rPr>
      </w:pPr>
      <w:r>
        <w:rPr>
          <w:rFonts w:ascii="Times New Roman" w:hAnsi="Times New Roman"/>
          <w:b/>
          <w:caps w:val="false"/>
          <w:smallCaps w:val="false"/>
          <w:sz w:val="48"/>
        </w:rPr>
        <w:t>HORIZON TECHNOLOGY FINANCE CORPORATION</w:t>
      </w:r>
      <w:r>
        <w:rPr>
          <w:rFonts w:ascii="Times New Roman" w:hAnsi="Times New Roman"/>
          <w:caps w:val="false"/>
          <w:smallCaps w:val="false"/>
          <w:sz w:val="48"/>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7245" w:type="dxa"/>
        <w:jc w:val="left"/>
        <w:tblInd w:w="0" w:type="dxa"/>
        <w:tblLayout w:type="fixed"/>
        <w:tblCellMar>
          <w:top w:w="0" w:type="dxa"/>
          <w:left w:w="0" w:type="dxa"/>
          <w:bottom w:w="0" w:type="dxa"/>
          <w:right w:w="0" w:type="dxa"/>
        </w:tblCellMar>
      </w:tblPr>
      <w:tblGrid>
        <w:gridCol w:w="2150"/>
        <w:gridCol w:w="60"/>
        <w:gridCol w:w="2210"/>
        <w:gridCol w:w="60"/>
        <w:gridCol w:w="2765"/>
      </w:tblGrid>
      <w:tr>
        <w:trPr/>
        <w:tc>
          <w:tcPr>
            <w:tcW w:w="21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60" w:type="dxa"/>
            <w:tcBorders/>
            <w:vAlign w:val="center"/>
          </w:tcPr>
          <w:p>
            <w:pPr>
              <w:pStyle w:val="TableContents"/>
              <w:bidi w:val="0"/>
              <w:spacing w:before="0" w:after="0"/>
              <w:ind w:left="0" w:right="0" w:hanging="0"/>
              <w:jc w:val="left"/>
              <w:rPr/>
            </w:pPr>
            <w:r>
              <w:rPr/>
              <w:t> </w:t>
            </w:r>
          </w:p>
        </w:tc>
        <w:tc>
          <w:tcPr>
            <w:tcW w:w="22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814-00802</w:t>
            </w:r>
          </w:p>
        </w:tc>
        <w:tc>
          <w:tcPr>
            <w:tcW w:w="60" w:type="dxa"/>
            <w:tcBorders/>
            <w:vAlign w:val="center"/>
          </w:tcPr>
          <w:p>
            <w:pPr>
              <w:pStyle w:val="TableContents"/>
              <w:bidi w:val="0"/>
              <w:spacing w:before="0" w:after="0"/>
              <w:ind w:left="0" w:right="0" w:hanging="0"/>
              <w:jc w:val="left"/>
              <w:rPr/>
            </w:pPr>
            <w:r>
              <w:rPr/>
              <w:t> </w:t>
            </w:r>
          </w:p>
        </w:tc>
        <w:tc>
          <w:tcPr>
            <w:tcW w:w="27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27-2114934</w:t>
            </w:r>
          </w:p>
        </w:tc>
      </w:tr>
      <w:tr>
        <w:trPr/>
        <w:tc>
          <w:tcPr>
            <w:tcW w:w="21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of incorporation)</w:t>
            </w:r>
          </w:p>
        </w:tc>
        <w:tc>
          <w:tcPr>
            <w:tcW w:w="60" w:type="dxa"/>
            <w:tcBorders/>
            <w:vAlign w:val="center"/>
          </w:tcPr>
          <w:p>
            <w:pPr>
              <w:pStyle w:val="TableContents"/>
              <w:bidi w:val="0"/>
              <w:spacing w:before="0" w:after="0"/>
              <w:ind w:left="0" w:right="0" w:hanging="0"/>
              <w:jc w:val="left"/>
              <w:rPr/>
            </w:pPr>
            <w:r>
              <w:rPr/>
              <w:t> </w:t>
            </w:r>
          </w:p>
        </w:tc>
        <w:tc>
          <w:tcPr>
            <w:tcW w:w="22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w:t>
            </w:r>
          </w:p>
        </w:tc>
        <w:tc>
          <w:tcPr>
            <w:tcW w:w="60" w:type="dxa"/>
            <w:tcBorders/>
            <w:vAlign w:val="center"/>
          </w:tcPr>
          <w:p>
            <w:pPr>
              <w:pStyle w:val="TableContents"/>
              <w:bidi w:val="0"/>
              <w:spacing w:before="0" w:after="0"/>
              <w:ind w:left="0" w:right="0" w:hanging="0"/>
              <w:jc w:val="left"/>
              <w:rPr/>
            </w:pPr>
            <w:r>
              <w:rPr/>
              <w:t> </w:t>
            </w:r>
          </w:p>
        </w:tc>
        <w:tc>
          <w:tcPr>
            <w:tcW w:w="27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312 Farmington Avenue</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Farmington, CT</w:t>
      </w:r>
      <w:r>
        <w:rPr>
          <w:rFonts w:ascii="Times New Roman" w:hAnsi="Times New Roman"/>
          <w:caps w:val="false"/>
          <w:smallCaps w:val="false"/>
          <w:sz w:val="20"/>
        </w:rPr>
        <w:t> </w:t>
      </w:r>
      <w:r>
        <w:rPr>
          <w:rFonts w:ascii="Times New Roman" w:hAnsi="Times New Roman"/>
          <w:b/>
          <w:caps w:val="false"/>
          <w:smallCaps w:val="false"/>
          <w:sz w:val="20"/>
        </w:rPr>
        <w:t>06032</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and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Registrant’s telephone number, including area code: </w:t>
      </w:r>
      <w:r>
        <w:rPr>
          <w:rFonts w:ascii="Times New Roman" w:hAnsi="Times New Roman"/>
          <w:b/>
          <w:caps w:val="false"/>
          <w:smallCaps w:val="false"/>
          <w:sz w:val="20"/>
        </w:rPr>
        <w:t>(860) 676-8654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Written communications pursuant to Rule 425 under the Securities Act (17 CFR 230.425)</w:t>
            </w:r>
          </w:p>
        </w:tc>
      </w:tr>
      <w:tr>
        <w:trPr/>
        <w:tc>
          <w:tcPr>
            <w:tcW w:w="230" w:type="dxa"/>
            <w:tcBorders/>
            <w:vAlign w:val="center"/>
          </w:tcPr>
          <w:p>
            <w:pPr>
              <w:pStyle w:val="TableContents"/>
              <w:bidi w:val="0"/>
              <w:spacing w:before="0" w:after="0"/>
              <w:ind w:left="0" w:right="0" w:hanging="0"/>
              <w:jc w:val="left"/>
              <w:rPr/>
            </w:pPr>
            <w:r>
              <w:rPr/>
              <w:t> </w:t>
            </w:r>
          </w:p>
        </w:tc>
        <w:tc>
          <w:tcPr>
            <w:tcW w:w="9050"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Soliciting material pursuant to Rule 14a-12 under the Exchange Act (17 CFR 240.14a-12)</w:t>
            </w:r>
          </w:p>
        </w:tc>
      </w:tr>
      <w:tr>
        <w:trPr/>
        <w:tc>
          <w:tcPr>
            <w:tcW w:w="230" w:type="dxa"/>
            <w:tcBorders/>
            <w:vAlign w:val="center"/>
          </w:tcPr>
          <w:p>
            <w:pPr>
              <w:pStyle w:val="TableContents"/>
              <w:bidi w:val="0"/>
              <w:spacing w:before="0" w:after="0"/>
              <w:ind w:left="0" w:right="0" w:hanging="0"/>
              <w:jc w:val="left"/>
              <w:rPr/>
            </w:pPr>
            <w:r>
              <w:rPr/>
              <w:t> </w:t>
            </w:r>
          </w:p>
        </w:tc>
        <w:tc>
          <w:tcPr>
            <w:tcW w:w="9050"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Pre-commencement communications pursuant to Rule 14d-2(b) under the Exchange Act (17 CFR 240.14d-2(b))</w:t>
            </w:r>
          </w:p>
        </w:tc>
      </w:tr>
      <w:tr>
        <w:trPr/>
        <w:tc>
          <w:tcPr>
            <w:tcW w:w="230" w:type="dxa"/>
            <w:tcBorders/>
            <w:vAlign w:val="center"/>
          </w:tcPr>
          <w:p>
            <w:pPr>
              <w:pStyle w:val="TableContents"/>
              <w:bidi w:val="0"/>
              <w:spacing w:before="0" w:after="0"/>
              <w:ind w:left="0" w:right="0" w:hanging="0"/>
              <w:jc w:val="left"/>
              <w:rPr/>
            </w:pPr>
            <w:r>
              <w:rPr/>
              <w:t> </w:t>
            </w:r>
          </w:p>
        </w:tc>
        <w:tc>
          <w:tcPr>
            <w:tcW w:w="9050"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610" w:type="dxa"/>
        <w:jc w:val="left"/>
        <w:tblInd w:w="0" w:type="dxa"/>
        <w:tblLayout w:type="fixed"/>
        <w:tblCellMar>
          <w:top w:w="0" w:type="dxa"/>
          <w:left w:w="0" w:type="dxa"/>
          <w:bottom w:w="28" w:type="dxa"/>
          <w:right w:w="0" w:type="dxa"/>
        </w:tblCellMar>
      </w:tblPr>
      <w:tblGrid>
        <w:gridCol w:w="3500"/>
        <w:gridCol w:w="60"/>
        <w:gridCol w:w="1415"/>
        <w:gridCol w:w="60"/>
        <w:gridCol w:w="3575"/>
      </w:tblGrid>
      <w:tr>
        <w:trPr/>
        <w:tc>
          <w:tcPr>
            <w:tcW w:w="3500" w:type="dxa"/>
            <w:tcBorders>
              <w:bottom w:val="single" w:sz="2" w:space="0" w:color="000000"/>
            </w:tcBorders>
            <w:vAlign w:val="center"/>
          </w:tcPr>
          <w:p>
            <w:pPr>
              <w:pStyle w:val="TableContents"/>
              <w:bidi w:val="0"/>
              <w:spacing w:before="0" w:after="0"/>
              <w:ind w:left="120" w:right="0" w:hanging="12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41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Ticker Symbol(s)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57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3500" w:type="dxa"/>
            <w:tcBorders/>
            <w:tcMar>
              <w:bottom w:w="0" w:type="dxa"/>
            </w:tcMar>
            <w:vAlign w:val="center"/>
          </w:tcPr>
          <w:p>
            <w:pPr>
              <w:pStyle w:val="TableContents"/>
              <w:bidi w:val="0"/>
              <w:spacing w:before="0" w:after="0"/>
              <w:ind w:left="120" w:right="0" w:hanging="120"/>
              <w:jc w:val="center"/>
              <w:rPr>
                <w:rFonts w:ascii="Times New Roman" w:hAnsi="Times New Roman"/>
                <w:caps w:val="false"/>
                <w:smallCaps w:val="false"/>
                <w:sz w:val="20"/>
              </w:rPr>
            </w:pPr>
            <w:r>
              <w:rPr>
                <w:rFonts w:ascii="Times New Roman" w:hAnsi="Times New Roman"/>
                <w:caps w:val="false"/>
                <w:smallCaps w:val="false"/>
                <w:sz w:val="20"/>
              </w:rPr>
              <w:t>Common Stock, par value $0.001 per share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41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HRZN</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57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r>
        <w:trPr/>
        <w:tc>
          <w:tcPr>
            <w:tcW w:w="350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6.25% Notes due 2027</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41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HTFC</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57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1945" w:type="dxa"/>
        <w:jc w:val="left"/>
        <w:tblInd w:w="0" w:type="dxa"/>
        <w:tblLayout w:type="fixed"/>
        <w:tblCellMar>
          <w:top w:w="0" w:type="dxa"/>
          <w:left w:w="0" w:type="dxa"/>
          <w:bottom w:w="0" w:type="dxa"/>
          <w:right w:w="0" w:type="dxa"/>
        </w:tblCellMar>
      </w:tblPr>
      <w:tblGrid>
        <w:gridCol w:w="815"/>
        <w:gridCol w:w="1130"/>
      </w:tblGrid>
      <w:tr>
        <w:trPr/>
        <w:tc>
          <w:tcPr>
            <w:tcW w:w="81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Section 8</w:t>
            </w:r>
          </w:p>
        </w:tc>
        <w:tc>
          <w:tcPr>
            <w:tcW w:w="113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Events</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 8.01</w:t>
            </w:r>
          </w:p>
        </w:tc>
        <w:tc>
          <w:tcPr>
            <w:tcW w:w="113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30, 2026, Horizon Technology Finance Corporation (the “</w:t>
      </w:r>
      <w:r>
        <w:rPr>
          <w:rFonts w:ascii="Times New Roman" w:hAnsi="Times New Roman"/>
          <w:caps w:val="false"/>
          <w:smallCaps w:val="false"/>
          <w:sz w:val="20"/>
          <w:u w:val="single"/>
        </w:rPr>
        <w:t>Company</w:t>
      </w:r>
      <w:r>
        <w:rPr>
          <w:rFonts w:ascii="Times New Roman" w:hAnsi="Times New Roman"/>
          <w:caps w:val="false"/>
          <w:smallCaps w:val="false"/>
          <w:sz w:val="20"/>
        </w:rPr>
        <w:t>”) announced that its Board of Directors has declared (i) regular monthly distributions totaling $0.18 per share and (ii) special monthly distributions per share of $0.09 payable in such amounts and on such dates to stockholders of record, as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Regular Monthly Distributions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6664" w:type="dxa"/>
        <w:jc w:val="left"/>
        <w:tblInd w:w="0" w:type="dxa"/>
        <w:tblLayout w:type="fixed"/>
        <w:tblCellMar>
          <w:top w:w="0" w:type="dxa"/>
          <w:left w:w="0" w:type="dxa"/>
          <w:bottom w:w="28" w:type="dxa"/>
          <w:right w:w="0" w:type="dxa"/>
        </w:tblCellMar>
      </w:tblPr>
      <w:tblGrid>
        <w:gridCol w:w="1685"/>
        <w:gridCol w:w="1640"/>
        <w:gridCol w:w="1625"/>
        <w:gridCol w:w="60"/>
        <w:gridCol w:w="391"/>
        <w:gridCol w:w="1188"/>
        <w:gridCol w:w="75"/>
      </w:tblGrid>
      <w:tr>
        <w:trPr/>
        <w:tc>
          <w:tcPr>
            <w:tcW w:w="168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Ex-Dividend Date</w:t>
            </w:r>
          </w:p>
        </w:tc>
        <w:tc>
          <w:tcPr>
            <w:tcW w:w="164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Record Date</w:t>
            </w:r>
          </w:p>
        </w:tc>
        <w:tc>
          <w:tcPr>
            <w:tcW w:w="162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Payment Date</w:t>
            </w:r>
          </w:p>
        </w:tc>
        <w:tc>
          <w:tcPr>
            <w:tcW w:w="60" w:type="dxa"/>
            <w:tcBorders>
              <w:bottom w:val="single" w:sz="2" w:space="0" w:color="000000"/>
            </w:tcBorders>
            <w:vAlign w:val="center"/>
          </w:tcPr>
          <w:p>
            <w:pPr>
              <w:pStyle w:val="TableContents"/>
              <w:bidi w:val="0"/>
              <w:spacing w:before="0" w:after="0"/>
              <w:ind w:left="0" w:right="0" w:hanging="0"/>
              <w:jc w:val="left"/>
              <w:rPr/>
            </w:pPr>
            <w:r>
              <w:rPr/>
              <w:t> </w:t>
            </w:r>
          </w:p>
        </w:tc>
        <w:tc>
          <w:tcPr>
            <w:tcW w:w="157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 Per Share</w:t>
            </w:r>
          </w:p>
        </w:tc>
        <w:tc>
          <w:tcPr>
            <w:tcW w:w="75" w:type="dxa"/>
            <w:tcBorders/>
            <w:tcMar>
              <w:bottom w:w="0" w:type="dxa"/>
            </w:tcMar>
            <w:vAlign w:val="center"/>
          </w:tcPr>
          <w:p>
            <w:pPr>
              <w:pStyle w:val="TableContents"/>
              <w:bidi w:val="0"/>
              <w:spacing w:before="0" w:after="0"/>
              <w:ind w:left="0" w:right="0" w:hanging="0"/>
              <w:jc w:val="left"/>
              <w:rPr/>
            </w:pPr>
            <w:r>
              <w:rPr/>
              <w:t> </w:t>
            </w:r>
          </w:p>
        </w:tc>
      </w:tr>
      <w:tr>
        <w:trPr/>
        <w:tc>
          <w:tcPr>
            <w:tcW w:w="168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16, 2026</w:t>
            </w:r>
          </w:p>
        </w:tc>
        <w:tc>
          <w:tcPr>
            <w:tcW w:w="16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16, 2026</w:t>
            </w:r>
          </w:p>
        </w:tc>
        <w:tc>
          <w:tcPr>
            <w:tcW w:w="162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October 15, 2026</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391"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8"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0.06</w:t>
            </w:r>
          </w:p>
        </w:tc>
        <w:tc>
          <w:tcPr>
            <w:tcW w:w="75"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168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October 16, 2026</w:t>
            </w:r>
          </w:p>
        </w:tc>
        <w:tc>
          <w:tcPr>
            <w:tcW w:w="164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October 16, 2026</w:t>
            </w:r>
          </w:p>
        </w:tc>
        <w:tc>
          <w:tcPr>
            <w:tcW w:w="162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November 16, 2026</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391"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8"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0.06</w:t>
            </w:r>
          </w:p>
        </w:tc>
        <w:tc>
          <w:tcPr>
            <w:tcW w:w="75"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168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November 17 , 2026</w:t>
            </w:r>
          </w:p>
        </w:tc>
        <w:tc>
          <w:tcPr>
            <w:tcW w:w="16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November 17, 2026</w:t>
            </w:r>
          </w:p>
        </w:tc>
        <w:tc>
          <w:tcPr>
            <w:tcW w:w="162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15, 2026</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391"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8" w:type="dxa"/>
            <w:tcBorders>
              <w:bottom w:val="single" w:sz="2" w:space="0" w:color="000000"/>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0.06</w:t>
            </w:r>
          </w:p>
        </w:tc>
        <w:tc>
          <w:tcPr>
            <w:tcW w:w="75"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1685" w:type="dxa"/>
            <w:tcBorders/>
            <w:shd w:fill="FFFFFF" w:val="clear"/>
            <w:tcMar>
              <w:bottom w:w="0" w:type="dxa"/>
            </w:tcMar>
            <w:vAlign w:val="center"/>
          </w:tcPr>
          <w:p>
            <w:pPr>
              <w:pStyle w:val="TableContents"/>
              <w:bidi w:val="0"/>
              <w:spacing w:before="0" w:after="0"/>
              <w:ind w:left="0" w:right="0" w:hanging="0"/>
              <w:jc w:val="left"/>
              <w:rPr/>
            </w:pPr>
            <w:r>
              <w:rPr/>
              <w:t> </w:t>
            </w:r>
          </w:p>
        </w:tc>
        <w:tc>
          <w:tcPr>
            <w:tcW w:w="1640" w:type="dxa"/>
            <w:tcBorders/>
            <w:shd w:fill="FFFFFF" w:val="clear"/>
            <w:tcMar>
              <w:bottom w:w="0" w:type="dxa"/>
            </w:tcMar>
            <w:vAlign w:val="center"/>
          </w:tcPr>
          <w:p>
            <w:pPr>
              <w:pStyle w:val="TableContents"/>
              <w:bidi w:val="0"/>
              <w:spacing w:before="0" w:after="0"/>
              <w:ind w:left="0" w:right="0" w:hanging="0"/>
              <w:jc w:val="left"/>
              <w:rPr/>
            </w:pPr>
            <w:r>
              <w:rPr/>
              <w:t> </w:t>
            </w:r>
          </w:p>
        </w:tc>
        <w:tc>
          <w:tcPr>
            <w:tcW w:w="1625" w:type="dxa"/>
            <w:tcBorders/>
            <w:shd w:fill="FFFF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391"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8"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0.18</w:t>
            </w:r>
          </w:p>
        </w:tc>
        <w:tc>
          <w:tcPr>
            <w:tcW w:w="75" w:type="dxa"/>
            <w:tcBorders/>
            <w:shd w:fill="FFFFFF" w:val="clear"/>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Special Monthly Distributions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6634" w:type="dxa"/>
        <w:jc w:val="left"/>
        <w:tblInd w:w="0" w:type="dxa"/>
        <w:tblLayout w:type="fixed"/>
        <w:tblCellMar>
          <w:top w:w="0" w:type="dxa"/>
          <w:left w:w="0" w:type="dxa"/>
          <w:bottom w:w="28" w:type="dxa"/>
          <w:right w:w="0" w:type="dxa"/>
        </w:tblCellMar>
      </w:tblPr>
      <w:tblGrid>
        <w:gridCol w:w="1670"/>
        <w:gridCol w:w="1640"/>
        <w:gridCol w:w="1625"/>
        <w:gridCol w:w="60"/>
        <w:gridCol w:w="391"/>
        <w:gridCol w:w="1188"/>
        <w:gridCol w:w="60"/>
      </w:tblGrid>
      <w:tr>
        <w:trPr/>
        <w:tc>
          <w:tcPr>
            <w:tcW w:w="167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Ex-Dividend Date</w:t>
            </w:r>
          </w:p>
        </w:tc>
        <w:tc>
          <w:tcPr>
            <w:tcW w:w="164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Record Date</w:t>
            </w:r>
          </w:p>
        </w:tc>
        <w:tc>
          <w:tcPr>
            <w:tcW w:w="162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Payment Date</w:t>
            </w:r>
          </w:p>
        </w:tc>
        <w:tc>
          <w:tcPr>
            <w:tcW w:w="60" w:type="dxa"/>
            <w:tcBorders>
              <w:bottom w:val="single" w:sz="2" w:space="0" w:color="000000"/>
            </w:tcBorders>
            <w:vAlign w:val="center"/>
          </w:tcPr>
          <w:p>
            <w:pPr>
              <w:pStyle w:val="TableContents"/>
              <w:bidi w:val="0"/>
              <w:spacing w:before="0" w:after="0"/>
              <w:ind w:left="0" w:right="0" w:hanging="0"/>
              <w:jc w:val="left"/>
              <w:rPr/>
            </w:pPr>
            <w:r>
              <w:rPr/>
              <w:t> </w:t>
            </w:r>
          </w:p>
        </w:tc>
        <w:tc>
          <w:tcPr>
            <w:tcW w:w="157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 Per Share</w:t>
            </w:r>
          </w:p>
        </w:tc>
        <w:tc>
          <w:tcPr>
            <w:tcW w:w="60" w:type="dxa"/>
            <w:tcBorders/>
            <w:tcMar>
              <w:bottom w:w="0" w:type="dxa"/>
            </w:tcMar>
            <w:vAlign w:val="center"/>
          </w:tcPr>
          <w:p>
            <w:pPr>
              <w:pStyle w:val="TableContents"/>
              <w:bidi w:val="0"/>
              <w:spacing w:before="0" w:after="0"/>
              <w:ind w:left="0" w:right="0" w:hanging="0"/>
              <w:jc w:val="left"/>
              <w:rPr/>
            </w:pPr>
            <w:r>
              <w:rPr/>
              <w:t> </w:t>
            </w:r>
          </w:p>
        </w:tc>
      </w:tr>
      <w:tr>
        <w:trPr/>
        <w:tc>
          <w:tcPr>
            <w:tcW w:w="167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16, 2026</w:t>
            </w:r>
          </w:p>
        </w:tc>
        <w:tc>
          <w:tcPr>
            <w:tcW w:w="16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16, 2026</w:t>
            </w:r>
          </w:p>
        </w:tc>
        <w:tc>
          <w:tcPr>
            <w:tcW w:w="162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October 15, 2026</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391"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8"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0.03</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167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October 16, 2026</w:t>
            </w:r>
          </w:p>
        </w:tc>
        <w:tc>
          <w:tcPr>
            <w:tcW w:w="164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October 16, 2026</w:t>
            </w:r>
          </w:p>
        </w:tc>
        <w:tc>
          <w:tcPr>
            <w:tcW w:w="162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November 16, 2026</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391"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8"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0.03</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167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November 17 , 2026</w:t>
            </w:r>
          </w:p>
        </w:tc>
        <w:tc>
          <w:tcPr>
            <w:tcW w:w="16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November 17, 2026</w:t>
            </w:r>
          </w:p>
        </w:tc>
        <w:tc>
          <w:tcPr>
            <w:tcW w:w="162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15, 2026</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391"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8" w:type="dxa"/>
            <w:tcBorders>
              <w:bottom w:val="single" w:sz="2" w:space="0" w:color="000000"/>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0.03</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1670" w:type="dxa"/>
            <w:tcBorders/>
            <w:shd w:fill="FFFFFF" w:val="clear"/>
            <w:tcMar>
              <w:bottom w:w="0" w:type="dxa"/>
            </w:tcMar>
            <w:vAlign w:val="center"/>
          </w:tcPr>
          <w:p>
            <w:pPr>
              <w:pStyle w:val="TableContents"/>
              <w:bidi w:val="0"/>
              <w:spacing w:before="0" w:after="0"/>
              <w:ind w:left="0" w:right="0" w:hanging="0"/>
              <w:jc w:val="left"/>
              <w:rPr/>
            </w:pPr>
            <w:r>
              <w:rPr/>
              <w:t> </w:t>
            </w:r>
          </w:p>
        </w:tc>
        <w:tc>
          <w:tcPr>
            <w:tcW w:w="1640" w:type="dxa"/>
            <w:tcBorders/>
            <w:shd w:fill="FFFFFF" w:val="clear"/>
            <w:tcMar>
              <w:bottom w:w="0" w:type="dxa"/>
            </w:tcMar>
            <w:vAlign w:val="center"/>
          </w:tcPr>
          <w:p>
            <w:pPr>
              <w:pStyle w:val="TableContents"/>
              <w:bidi w:val="0"/>
              <w:spacing w:before="0" w:after="0"/>
              <w:ind w:left="0" w:right="0" w:hanging="0"/>
              <w:jc w:val="left"/>
              <w:rPr/>
            </w:pPr>
            <w:r>
              <w:rPr/>
              <w:t> </w:t>
            </w:r>
          </w:p>
        </w:tc>
        <w:tc>
          <w:tcPr>
            <w:tcW w:w="1625" w:type="dxa"/>
            <w:tcBorders/>
            <w:shd w:fill="FFFF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391"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8"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0.09</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copy of the press release announcing such dividend is attached hereto as Exhibit 99.1 and is incorporated by reference herein.</w:t>
      </w:r>
    </w:p>
    <w:p>
      <w:pPr>
        <w:pStyle w:val="TextBody"/>
        <w:bidi w:val="0"/>
        <w:spacing w:before="0" w:after="0"/>
        <w:ind w:left="0" w:right="0" w:hanging="0"/>
        <w:jc w:val="left"/>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815"/>
        <w:gridCol w:w="2900"/>
      </w:tblGrid>
      <w:tr>
        <w:trPr/>
        <w:tc>
          <w:tcPr>
            <w:tcW w:w="81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Section 9</w:t>
            </w:r>
          </w:p>
        </w:tc>
        <w:tc>
          <w:tcPr>
            <w:tcW w:w="290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Financial Statements and Exhibits</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 9.01</w:t>
            </w:r>
          </w:p>
        </w:tc>
        <w:tc>
          <w:tcPr>
            <w:tcW w:w="290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6850" w:type="dxa"/>
        <w:jc w:val="left"/>
        <w:tblInd w:w="0" w:type="dxa"/>
        <w:tblLayout w:type="fixed"/>
        <w:tblCellMar>
          <w:top w:w="0" w:type="dxa"/>
          <w:left w:w="0" w:type="dxa"/>
          <w:bottom w:w="0" w:type="dxa"/>
          <w:right w:w="0" w:type="dxa"/>
        </w:tblCellMar>
      </w:tblPr>
      <w:tblGrid>
        <w:gridCol w:w="380"/>
        <w:gridCol w:w="6470"/>
      </w:tblGrid>
      <w:tr>
        <w:trPr/>
        <w:tc>
          <w:tcPr>
            <w:tcW w:w="3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99.1</w:t>
            </w:r>
          </w:p>
        </w:tc>
        <w:tc>
          <w:tcPr>
            <w:tcW w:w="6470" w:type="dxa"/>
            <w:tcBorders/>
            <w:vAlign w:val="center"/>
          </w:tcPr>
          <w:p>
            <w:pPr>
              <w:pStyle w:val="TableContents"/>
              <w:bidi w:val="0"/>
              <w:spacing w:before="0" w:after="0"/>
              <w:ind w:left="0" w:right="0" w:hanging="0"/>
              <w:jc w:val="left"/>
              <w:rPr/>
            </w:pPr>
            <w:hyperlink w:anchor="ex_998155.htm">
              <w:r>
                <w:rPr>
                  <w:rStyle w:val="InternetLink"/>
                  <w:rFonts w:ascii="Times New Roman;Times;serif" w:hAnsi="Times New Roman;Times;serif"/>
                  <w:caps w:val="false"/>
                  <w:smallCaps w:val="false"/>
                  <w:sz w:val="20"/>
                </w:rPr>
                <w:t xml:space="preserve">Press Release of the Company dated </w:t>
              </w:r>
            </w:hyperlink>
            <w:hyperlink w:anchor="ex_998155.htm">
              <w:r>
                <w:rPr>
                  <w:rStyle w:val="InternetLink"/>
                  <w:rFonts w:ascii="Times New Roman;Times;serif" w:hAnsi="Times New Roman;Times;serif"/>
                  <w:caps w:val="false"/>
                  <w:smallCaps w:val="false"/>
                  <w:sz w:val="20"/>
                  <w:u w:val="single"/>
                </w:rPr>
                <w:t>August 4, 2026.</w:t>
              </w:r>
            </w:hyperlink>
          </w:p>
        </w:tc>
      </w:tr>
      <w:tr>
        <w:trPr/>
        <w:tc>
          <w:tcPr>
            <w:tcW w:w="3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c>
          <w:tcPr>
            <w:tcW w:w="64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7896" w:type="dxa"/>
        <w:jc w:val="left"/>
        <w:tblInd w:w="0" w:type="dxa"/>
        <w:tblLayout w:type="fixed"/>
        <w:tblCellMar>
          <w:top w:w="0" w:type="dxa"/>
          <w:left w:w="0" w:type="dxa"/>
          <w:bottom w:w="0" w:type="dxa"/>
          <w:right w:w="0" w:type="dxa"/>
        </w:tblCellMar>
      </w:tblPr>
      <w:tblGrid>
        <w:gridCol w:w="1760"/>
        <w:gridCol w:w="4137"/>
        <w:gridCol w:w="1924"/>
        <w:gridCol w:w="75"/>
      </w:tblGrid>
      <w:tr>
        <w:trPr/>
        <w:tc>
          <w:tcPr>
            <w:tcW w:w="17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Date: August 4, 2026</w:t>
            </w:r>
          </w:p>
        </w:tc>
        <w:tc>
          <w:tcPr>
            <w:tcW w:w="6061" w:type="dxa"/>
            <w:gridSpan w:val="2"/>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HORIZON TECHNOLOGY FINANCE CORPORATION</w:t>
            </w:r>
          </w:p>
        </w:tc>
        <w:tc>
          <w:tcPr>
            <w:tcW w:w="75" w:type="dxa"/>
            <w:tcBorders/>
            <w:vAlign w:val="center"/>
          </w:tcPr>
          <w:p>
            <w:pPr>
              <w:pStyle w:val="TableContents"/>
              <w:bidi w:val="0"/>
              <w:spacing w:before="0" w:after="0"/>
              <w:ind w:left="0" w:right="0" w:hanging="0"/>
              <w:jc w:val="left"/>
              <w:rPr/>
            </w:pPr>
            <w:r>
              <w:rPr/>
              <w:t> </w:t>
            </w:r>
          </w:p>
        </w:tc>
      </w:tr>
      <w:tr>
        <w:trPr/>
        <w:tc>
          <w:tcPr>
            <w:tcW w:w="1760" w:type="dxa"/>
            <w:tcBorders/>
            <w:vAlign w:val="center"/>
          </w:tcPr>
          <w:p>
            <w:pPr>
              <w:pStyle w:val="TableContents"/>
              <w:bidi w:val="0"/>
              <w:spacing w:before="0" w:after="0"/>
              <w:ind w:left="0" w:right="0" w:hanging="0"/>
              <w:jc w:val="left"/>
              <w:rPr/>
            </w:pPr>
            <w:r>
              <w:rPr/>
              <w:t> </w:t>
            </w:r>
          </w:p>
        </w:tc>
        <w:tc>
          <w:tcPr>
            <w:tcW w:w="6061" w:type="dxa"/>
            <w:gridSpan w:val="2"/>
            <w:tcBorders/>
            <w:vAlign w:val="center"/>
          </w:tcPr>
          <w:p>
            <w:pPr>
              <w:pStyle w:val="TableContents"/>
              <w:bidi w:val="0"/>
              <w:spacing w:before="0" w:after="0"/>
              <w:ind w:left="0" w:right="0" w:hanging="0"/>
              <w:jc w:val="left"/>
              <w:rPr/>
            </w:pPr>
            <w:r>
              <w:rPr/>
              <w:t> </w:t>
            </w:r>
          </w:p>
        </w:tc>
        <w:tc>
          <w:tcPr>
            <w:tcW w:w="75" w:type="dxa"/>
            <w:tcBorders/>
            <w:vAlign w:val="center"/>
          </w:tcPr>
          <w:p>
            <w:pPr>
              <w:pStyle w:val="TableContents"/>
              <w:bidi w:val="0"/>
              <w:spacing w:before="0" w:after="0"/>
              <w:ind w:left="0" w:right="0" w:hanging="0"/>
              <w:jc w:val="left"/>
              <w:rPr/>
            </w:pPr>
            <w:r>
              <w:rPr/>
              <w:t> </w:t>
            </w:r>
          </w:p>
        </w:tc>
      </w:tr>
      <w:tr>
        <w:trPr/>
        <w:tc>
          <w:tcPr>
            <w:tcW w:w="1760" w:type="dxa"/>
            <w:tcBorders/>
            <w:vAlign w:val="center"/>
          </w:tcPr>
          <w:p>
            <w:pPr>
              <w:pStyle w:val="TableContents"/>
              <w:bidi w:val="0"/>
              <w:spacing w:before="0" w:after="0"/>
              <w:ind w:left="0" w:right="0" w:hanging="0"/>
              <w:jc w:val="left"/>
              <w:rPr/>
            </w:pPr>
            <w:r>
              <w:rPr/>
              <w:t> </w:t>
            </w:r>
          </w:p>
        </w:tc>
        <w:tc>
          <w:tcPr>
            <w:tcW w:w="6061" w:type="dxa"/>
            <w:gridSpan w:val="2"/>
            <w:tcBorders/>
            <w:vAlign w:val="center"/>
          </w:tcPr>
          <w:p>
            <w:pPr>
              <w:pStyle w:val="TableContents"/>
              <w:bidi w:val="0"/>
              <w:spacing w:before="0" w:after="0"/>
              <w:ind w:left="0" w:right="0" w:hanging="0"/>
              <w:jc w:val="left"/>
              <w:rPr/>
            </w:pPr>
            <w:r>
              <w:rPr/>
              <w:t> </w:t>
            </w:r>
          </w:p>
        </w:tc>
        <w:tc>
          <w:tcPr>
            <w:tcW w:w="75" w:type="dxa"/>
            <w:tcBorders/>
            <w:vAlign w:val="center"/>
          </w:tcPr>
          <w:p>
            <w:pPr>
              <w:pStyle w:val="TableContents"/>
              <w:bidi w:val="0"/>
              <w:spacing w:before="0" w:after="0"/>
              <w:ind w:left="0" w:right="0" w:hanging="0"/>
              <w:jc w:val="left"/>
              <w:rPr/>
            </w:pPr>
            <w:r>
              <w:rPr/>
              <w:t> </w:t>
            </w:r>
          </w:p>
        </w:tc>
      </w:tr>
      <w:tr>
        <w:trPr/>
        <w:tc>
          <w:tcPr>
            <w:tcW w:w="1760" w:type="dxa"/>
            <w:tcBorders/>
            <w:vAlign w:val="center"/>
          </w:tcPr>
          <w:p>
            <w:pPr>
              <w:pStyle w:val="TableContents"/>
              <w:bidi w:val="0"/>
              <w:spacing w:before="0" w:after="0"/>
              <w:ind w:left="0" w:right="0" w:hanging="0"/>
              <w:jc w:val="left"/>
              <w:rPr/>
            </w:pPr>
            <w:r>
              <w:rPr/>
              <w:t> </w:t>
            </w:r>
          </w:p>
        </w:tc>
        <w:tc>
          <w:tcPr>
            <w:tcW w:w="413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By:</w:t>
            </w:r>
          </w:p>
        </w:tc>
        <w:tc>
          <w:tcPr>
            <w:tcW w:w="192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/s/ Michael P. Balkin</w:t>
            </w:r>
          </w:p>
        </w:tc>
        <w:tc>
          <w:tcPr>
            <w:tcW w:w="75" w:type="dxa"/>
            <w:tcBorders/>
            <w:vAlign w:val="center"/>
          </w:tcPr>
          <w:p>
            <w:pPr>
              <w:pStyle w:val="TableContents"/>
              <w:bidi w:val="0"/>
              <w:spacing w:before="0" w:after="0"/>
              <w:ind w:left="0" w:right="0" w:hanging="0"/>
              <w:jc w:val="left"/>
              <w:rPr/>
            </w:pPr>
            <w:r>
              <w:rPr/>
              <w:t> </w:t>
            </w:r>
          </w:p>
        </w:tc>
      </w:tr>
      <w:tr>
        <w:trPr/>
        <w:tc>
          <w:tcPr>
            <w:tcW w:w="1760" w:type="dxa"/>
            <w:tcBorders/>
            <w:vAlign w:val="center"/>
          </w:tcPr>
          <w:p>
            <w:pPr>
              <w:pStyle w:val="TableContents"/>
              <w:bidi w:val="0"/>
              <w:spacing w:before="0" w:after="0"/>
              <w:ind w:left="0" w:right="0" w:hanging="0"/>
              <w:jc w:val="left"/>
              <w:rPr/>
            </w:pPr>
            <w:r>
              <w:rPr/>
              <w:t> </w:t>
            </w:r>
          </w:p>
        </w:tc>
        <w:tc>
          <w:tcPr>
            <w:tcW w:w="4137" w:type="dxa"/>
            <w:tcBorders/>
            <w:vAlign w:val="center"/>
          </w:tcPr>
          <w:p>
            <w:pPr>
              <w:pStyle w:val="TableContents"/>
              <w:bidi w:val="0"/>
              <w:spacing w:before="0" w:after="0"/>
              <w:ind w:left="0" w:right="0" w:hanging="0"/>
              <w:jc w:val="left"/>
              <w:rPr/>
            </w:pPr>
            <w:r>
              <w:rPr/>
              <w:t> </w:t>
            </w:r>
          </w:p>
        </w:tc>
        <w:tc>
          <w:tcPr>
            <w:tcW w:w="192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Michael P. Balkin</w:t>
            </w:r>
          </w:p>
        </w:tc>
        <w:tc>
          <w:tcPr>
            <w:tcW w:w="75" w:type="dxa"/>
            <w:tcBorders/>
            <w:vAlign w:val="center"/>
          </w:tcPr>
          <w:p>
            <w:pPr>
              <w:pStyle w:val="TableContents"/>
              <w:bidi w:val="0"/>
              <w:spacing w:before="0" w:after="0"/>
              <w:ind w:left="0" w:right="0" w:hanging="0"/>
              <w:jc w:val="left"/>
              <w:rPr/>
            </w:pPr>
            <w:r>
              <w:rPr/>
              <w:t> </w:t>
            </w:r>
          </w:p>
        </w:tc>
      </w:tr>
      <w:tr>
        <w:trPr/>
        <w:tc>
          <w:tcPr>
            <w:tcW w:w="1760" w:type="dxa"/>
            <w:tcBorders/>
            <w:vAlign w:val="center"/>
          </w:tcPr>
          <w:p>
            <w:pPr>
              <w:pStyle w:val="TableContents"/>
              <w:bidi w:val="0"/>
              <w:spacing w:before="0" w:after="0"/>
              <w:ind w:left="0" w:right="0" w:hanging="0"/>
              <w:jc w:val="left"/>
              <w:rPr/>
            </w:pPr>
            <w:r>
              <w:rPr/>
              <w:t> </w:t>
            </w:r>
          </w:p>
        </w:tc>
        <w:tc>
          <w:tcPr>
            <w:tcW w:w="4137" w:type="dxa"/>
            <w:tcBorders/>
            <w:vAlign w:val="center"/>
          </w:tcPr>
          <w:p>
            <w:pPr>
              <w:pStyle w:val="TableContents"/>
              <w:bidi w:val="0"/>
              <w:spacing w:before="0" w:after="0"/>
              <w:ind w:left="0" w:right="0" w:hanging="0"/>
              <w:jc w:val="left"/>
              <w:rPr/>
            </w:pPr>
            <w:r>
              <w:rPr/>
              <w:t> </w:t>
            </w:r>
          </w:p>
        </w:tc>
        <w:tc>
          <w:tcPr>
            <w:tcW w:w="1924"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Chief Executive Officer</w:t>
            </w:r>
          </w:p>
        </w:tc>
        <w:tc>
          <w:tcPr>
            <w:tcW w:w="75"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160"/>
        <w:jc w:val="center"/>
        <w:rPr>
          <w:rFonts w:ascii="Times New Roman" w:hAnsi="Times New Roman"/>
          <w:caps w:val="false"/>
          <w:smallCaps w:val="false"/>
          <w:sz w:val="20"/>
        </w:rPr>
      </w:pPr>
      <w:r>
        <w:rPr>
          <w:rFonts w:ascii="Times New Roman" w:hAnsi="Times New Roman"/>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5275" w:type="dxa"/>
        <w:jc w:val="left"/>
        <w:tblInd w:w="0" w:type="dxa"/>
        <w:tblLayout w:type="fixed"/>
        <w:tblCellMar>
          <w:top w:w="0" w:type="dxa"/>
          <w:left w:w="0" w:type="dxa"/>
          <w:bottom w:w="28" w:type="dxa"/>
          <w:right w:w="0" w:type="dxa"/>
        </w:tblCellMar>
      </w:tblPr>
      <w:tblGrid>
        <w:gridCol w:w="980"/>
        <w:gridCol w:w="60"/>
        <w:gridCol w:w="4235"/>
      </w:tblGrid>
      <w:tr>
        <w:trPr/>
        <w:tc>
          <w:tcPr>
            <w:tcW w:w="98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 No.</w:t>
            </w:r>
          </w:p>
        </w:tc>
        <w:tc>
          <w:tcPr>
            <w:tcW w:w="60" w:type="dxa"/>
            <w:tcBorders/>
            <w:tcMar>
              <w:bottom w:w="0" w:type="dxa"/>
            </w:tcMar>
            <w:vAlign w:val="center"/>
          </w:tcPr>
          <w:p>
            <w:pPr>
              <w:pStyle w:val="TableContents"/>
              <w:bidi w:val="0"/>
              <w:spacing w:before="0" w:after="0"/>
              <w:ind w:left="0" w:right="0" w:hanging="0"/>
              <w:jc w:val="left"/>
              <w:rPr/>
            </w:pPr>
            <w:r>
              <w:rPr/>
              <w:t> </w:t>
            </w:r>
          </w:p>
        </w:tc>
        <w:tc>
          <w:tcPr>
            <w:tcW w:w="4235"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9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423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Press Release of the Company dated August 4,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caps w:val="false"/>
          <w:smallCaps w:val="false"/>
          <w:sz w:val="20"/>
        </w:rPr>
      </w:pPr>
      <w:r>
        <w:rPr>
          <w:rFonts w:ascii="Times New Roman" w:hAnsi="Times New Roman"/>
          <w:caps w:val="false"/>
          <w:smallCaps w:val="false"/>
          <w:sz w:val="20"/>
        </w:rPr>
        <w:t>4</w:t>
      </w:r>
    </w:p>
    <w:p>
      <w:pPr>
        <w:pStyle w:val="TextBody"/>
        <w:bidi w:val="0"/>
        <w:spacing w:before="0" w:after="0"/>
        <w:ind w:left="0" w:right="0" w:hanging="0"/>
        <w:jc w:val="right"/>
        <w:rPr>
          <w:rFonts w:ascii="Times New Roman" w:hAnsi="Times New Roman"/>
          <w:sz w:val="20"/>
        </w:rPr>
      </w:pPr>
      <w:bookmarkStart w:id="2" w:name="ex_998155.htm"/>
      <w:bookmarkStart w:id="3" w:name="ksex_998155"/>
      <w:bookmarkEnd w:id="2"/>
      <w:bookmarkEnd w:id="3"/>
      <w:r>
        <w:rPr>
          <w:rFonts w:ascii="Times New Roman;Times;serif" w:hAnsi="Times New Roman;Times;serif"/>
          <w:b/>
          <w:sz w:val="20"/>
        </w:rPr>
        <w:t>Exhibit 99.1</w:t>
      </w:r>
      <w:r>
        <w:rPr>
          <w:rFonts w:ascii="Times New Roman" w:hAnsi="Times New Roman"/>
          <w:sz w:val="20"/>
        </w:rPr>
        <w:t xml:space="preserve"> </w:t>
      </w:r>
      <w:r>
        <w:br w:type="page"/>
      </w:r>
    </w:p>
    <w:p>
      <w:pPr>
        <w:pStyle w:val="TextBody"/>
        <w:bidi w:val="0"/>
        <w:spacing w:before="0" w:after="0"/>
        <w:ind w:left="0" w:right="0" w:hanging="0"/>
        <w:jc w:val="left"/>
        <w:rPr/>
      </w:pPr>
      <w:r>
        <w:rPr/>
        <w:t xml:space="preserve">  </w:t>
      </w:r>
      <w:r>
        <w:rPr/>
        <w:drawing>
          <wp:inline distT="0" distB="0" distL="0" distR="0">
            <wp:extent cx="1247140" cy="36131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47140" cy="361315"/>
                    </a:xfrm>
                    <a:prstGeom prst="rect">
                      <a:avLst/>
                    </a:prstGeom>
                  </pic:spPr>
                </pic:pic>
              </a:graphicData>
            </a:graphic>
          </wp:inline>
        </w:drawing>
      </w: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Horizon Technology Finance Announces Regular Monthly Distributions for October, November and December 2026 Totaling $0.18 per Share and Special Distributions for October, November and December 2026 Totaling $0.09 per Share</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Farmington, Connecticut </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August 4, 2026 </w:t>
      </w:r>
      <w:r>
        <w:rPr>
          <w:rFonts w:ascii="Times New Roman" w:hAnsi="Times New Roman"/>
          <w:caps w:val="false"/>
          <w:smallCaps w:val="false"/>
          <w:sz w:val="20"/>
        </w:rPr>
        <w:t>– Horizon Technology Finance Corporation (NASDAQ: HRZN) (“Horizon”) (the “Company”), an affiliate of Monroe Capital, announced today that its board of directors has declared regular monthly cash distributions of $0.06 per share, payable in each of October, November and December 2026, and, in accordance with the Company’s previously announced intent to make additional distributions with its undistributed net investment income, or “spillover” income, special cash distributions of $0.03 per share, payable in each of October, November and December 2026. The following tables show these distributions, payable as set forth in the tables below, total $0.27 per share. Since its 2010 initial public offering, Horizon has paid a total of $383 million in distributions to its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Regular Monthly Distributions Payable in Fourth Quarter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6499" w:type="dxa"/>
        <w:jc w:val="left"/>
        <w:tblInd w:w="0" w:type="dxa"/>
        <w:tblLayout w:type="fixed"/>
        <w:tblCellMar>
          <w:top w:w="0" w:type="dxa"/>
          <w:left w:w="0" w:type="dxa"/>
          <w:bottom w:w="28" w:type="dxa"/>
          <w:right w:w="0" w:type="dxa"/>
        </w:tblCellMar>
      </w:tblPr>
      <w:tblGrid>
        <w:gridCol w:w="1640"/>
        <w:gridCol w:w="1640"/>
        <w:gridCol w:w="1625"/>
        <w:gridCol w:w="60"/>
        <w:gridCol w:w="364"/>
        <w:gridCol w:w="1110"/>
        <w:gridCol w:w="60"/>
      </w:tblGrid>
      <w:tr>
        <w:trPr/>
        <w:tc>
          <w:tcPr>
            <w:tcW w:w="164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Ex-Dividend Date</w:t>
            </w:r>
          </w:p>
        </w:tc>
        <w:tc>
          <w:tcPr>
            <w:tcW w:w="1640" w:type="dxa"/>
            <w:tcBorders>
              <w:bottom w:val="single" w:sz="2" w:space="0" w:color="000000"/>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Record Date</w:t>
            </w:r>
          </w:p>
        </w:tc>
        <w:tc>
          <w:tcPr>
            <w:tcW w:w="1625" w:type="dxa"/>
            <w:tcBorders>
              <w:bottom w:val="single" w:sz="2" w:space="0" w:color="000000"/>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Payment Date</w:t>
            </w:r>
            <w:bookmarkStart w:id="4" w:name=".lead.D4"/>
            <w:bookmarkEnd w:id="4"/>
          </w:p>
        </w:tc>
        <w:tc>
          <w:tcPr>
            <w:tcW w:w="60" w:type="dxa"/>
            <w:tcBorders>
              <w:bottom w:val="single" w:sz="2" w:space="0" w:color="000000"/>
            </w:tcBorders>
            <w:vAlign w:val="center"/>
          </w:tcPr>
          <w:p>
            <w:pPr>
              <w:pStyle w:val="TableContents"/>
              <w:bidi w:val="0"/>
              <w:spacing w:before="0" w:after="0"/>
              <w:ind w:left="0" w:right="0" w:hanging="0"/>
              <w:jc w:val="left"/>
              <w:rPr/>
            </w:pPr>
            <w:r>
              <w:rPr/>
              <w:t> </w:t>
            </w:r>
            <w:bookmarkStart w:id="5" w:name=".amt.D4"/>
            <w:bookmarkEnd w:id="5"/>
          </w:p>
        </w:tc>
        <w:tc>
          <w:tcPr>
            <w:tcW w:w="147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Amount per Share</w:t>
            </w:r>
            <w:bookmarkStart w:id="6" w:name=".trail.D4"/>
            <w:bookmarkEnd w:id="6"/>
          </w:p>
        </w:tc>
        <w:tc>
          <w:tcPr>
            <w:tcW w:w="60" w:type="dxa"/>
            <w:tcBorders/>
            <w:tcMar>
              <w:bottom w:w="0" w:type="dxa"/>
            </w:tcMar>
            <w:vAlign w:val="center"/>
          </w:tcPr>
          <w:p>
            <w:pPr>
              <w:pStyle w:val="TableContents"/>
              <w:bidi w:val="0"/>
              <w:spacing w:before="0" w:after="0"/>
              <w:ind w:left="0" w:right="0" w:hanging="0"/>
              <w:jc w:val="left"/>
              <w:rPr/>
            </w:pPr>
            <w:r>
              <w:rPr/>
              <w:t> </w:t>
            </w:r>
          </w:p>
        </w:tc>
      </w:tr>
      <w:tr>
        <w:trPr/>
        <w:tc>
          <w:tcPr>
            <w:tcW w:w="16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16, 2026</w:t>
            </w:r>
          </w:p>
        </w:tc>
        <w:tc>
          <w:tcPr>
            <w:tcW w:w="1640" w:type="dxa"/>
            <w:tcBorders/>
            <w:shd w:fill="CCEEFF" w:val="clear"/>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16, 2026</w:t>
            </w:r>
          </w:p>
        </w:tc>
        <w:tc>
          <w:tcPr>
            <w:tcW w:w="1625" w:type="dxa"/>
            <w:tcBorders/>
            <w:shd w:fill="CCEEFF" w:val="clear"/>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October 15, 2026</w:t>
            </w:r>
            <w:bookmarkStart w:id="7" w:name=".lead.4"/>
            <w:bookmarkEnd w:id="7"/>
          </w:p>
        </w:tc>
        <w:tc>
          <w:tcPr>
            <w:tcW w:w="60" w:type="dxa"/>
            <w:tcBorders/>
            <w:shd w:fill="CCEEFF" w:val="clear"/>
            <w:tcMar>
              <w:bottom w:w="0" w:type="dxa"/>
            </w:tcMar>
            <w:vAlign w:val="center"/>
          </w:tcPr>
          <w:p>
            <w:pPr>
              <w:pStyle w:val="TableContents"/>
              <w:bidi w:val="0"/>
              <w:spacing w:before="0" w:after="0"/>
              <w:ind w:left="0" w:right="0" w:hanging="0"/>
              <w:jc w:val="left"/>
              <w:rPr/>
            </w:pPr>
            <w:r>
              <w:rPr/>
              <w:t> </w:t>
            </w:r>
            <w:bookmarkStart w:id="8" w:name=".symb.4"/>
            <w:bookmarkEnd w:id="8"/>
          </w:p>
        </w:tc>
        <w:tc>
          <w:tcPr>
            <w:tcW w:w="364"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 w:name=".amt.4"/>
            <w:bookmarkEnd w:id="9"/>
          </w:p>
        </w:tc>
        <w:tc>
          <w:tcPr>
            <w:tcW w:w="1110"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0.06</w:t>
            </w:r>
            <w:bookmarkStart w:id="10" w:name=".trail.4"/>
            <w:bookmarkEnd w:id="10"/>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164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October 16, 2026</w:t>
            </w:r>
          </w:p>
        </w:tc>
        <w:tc>
          <w:tcPr>
            <w:tcW w:w="1640" w:type="dxa"/>
            <w:tcBorders/>
            <w:shd w:fill="FFFFFF" w:val="clear"/>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October 16, 2026</w:t>
            </w:r>
          </w:p>
        </w:tc>
        <w:tc>
          <w:tcPr>
            <w:tcW w:w="1625" w:type="dxa"/>
            <w:tcBorders/>
            <w:shd w:fill="FFFFFF" w:val="clear"/>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November 16, 2026</w:t>
            </w:r>
            <w:bookmarkStart w:id="11" w:name=".lead.41"/>
            <w:bookmarkStart w:id="12" w:name=".lead.42"/>
            <w:bookmarkEnd w:id="11"/>
            <w:bookmarkEnd w:id="12"/>
          </w:p>
        </w:tc>
        <w:tc>
          <w:tcPr>
            <w:tcW w:w="60" w:type="dxa"/>
            <w:tcBorders/>
            <w:shd w:fill="FFFFFF" w:val="clear"/>
            <w:tcMar>
              <w:bottom w:w="0" w:type="dxa"/>
            </w:tcMar>
            <w:vAlign w:val="center"/>
          </w:tcPr>
          <w:p>
            <w:pPr>
              <w:pStyle w:val="TableContents"/>
              <w:bidi w:val="0"/>
              <w:spacing w:before="0" w:after="0"/>
              <w:ind w:left="0" w:right="0" w:hanging="0"/>
              <w:jc w:val="left"/>
              <w:rPr/>
            </w:pPr>
            <w:r>
              <w:rPr/>
              <w:t> </w:t>
            </w:r>
            <w:bookmarkStart w:id="13" w:name=".symb.41"/>
            <w:bookmarkStart w:id="14" w:name=".symb.42"/>
            <w:bookmarkEnd w:id="13"/>
            <w:bookmarkEnd w:id="14"/>
          </w:p>
        </w:tc>
        <w:tc>
          <w:tcPr>
            <w:tcW w:w="364"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 w:name=".amt.41"/>
            <w:bookmarkStart w:id="16" w:name=".amt.42"/>
            <w:bookmarkEnd w:id="15"/>
            <w:bookmarkEnd w:id="16"/>
          </w:p>
        </w:tc>
        <w:tc>
          <w:tcPr>
            <w:tcW w:w="1110"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0.06</w:t>
            </w:r>
            <w:bookmarkStart w:id="17" w:name=".trail.41"/>
            <w:bookmarkStart w:id="18" w:name=".trail.42"/>
            <w:bookmarkEnd w:id="17"/>
            <w:bookmarkEnd w:id="18"/>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16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November 17, 2026</w:t>
            </w:r>
          </w:p>
        </w:tc>
        <w:tc>
          <w:tcPr>
            <w:tcW w:w="1640" w:type="dxa"/>
            <w:tcBorders/>
            <w:shd w:fill="CCEEFF" w:val="clear"/>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November 17, 2026</w:t>
            </w:r>
          </w:p>
        </w:tc>
        <w:tc>
          <w:tcPr>
            <w:tcW w:w="1625" w:type="dxa"/>
            <w:tcBorders/>
            <w:shd w:fill="CCEEFF" w:val="clear"/>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15, 2026</w:t>
            </w:r>
            <w:bookmarkStart w:id="19" w:name=".lead.43"/>
            <w:bookmarkStart w:id="20" w:name=".lead.44"/>
            <w:bookmarkEnd w:id="19"/>
            <w:bookmarkEnd w:id="20"/>
          </w:p>
        </w:tc>
        <w:tc>
          <w:tcPr>
            <w:tcW w:w="60" w:type="dxa"/>
            <w:tcBorders/>
            <w:shd w:fill="CCEEFF" w:val="clear"/>
            <w:tcMar>
              <w:bottom w:w="0" w:type="dxa"/>
            </w:tcMar>
            <w:vAlign w:val="center"/>
          </w:tcPr>
          <w:p>
            <w:pPr>
              <w:pStyle w:val="TableContents"/>
              <w:bidi w:val="0"/>
              <w:spacing w:before="0" w:after="0"/>
              <w:ind w:left="0" w:right="0" w:hanging="0"/>
              <w:jc w:val="left"/>
              <w:rPr/>
            </w:pPr>
            <w:r>
              <w:rPr/>
              <w:t> </w:t>
            </w:r>
            <w:bookmarkStart w:id="21" w:name=".symb.43"/>
            <w:bookmarkStart w:id="22" w:name=".symb.44"/>
            <w:bookmarkEnd w:id="21"/>
            <w:bookmarkEnd w:id="22"/>
          </w:p>
        </w:tc>
        <w:tc>
          <w:tcPr>
            <w:tcW w:w="364"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3" w:name=".amt.43"/>
            <w:bookmarkStart w:id="24" w:name=".amt.44"/>
            <w:bookmarkEnd w:id="23"/>
            <w:bookmarkEnd w:id="24"/>
          </w:p>
        </w:tc>
        <w:tc>
          <w:tcPr>
            <w:tcW w:w="1110" w:type="dxa"/>
            <w:tcBorders>
              <w:bottom w:val="single" w:sz="2" w:space="0" w:color="000000"/>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0.06</w:t>
            </w:r>
            <w:bookmarkStart w:id="25" w:name=".trail.43"/>
            <w:bookmarkStart w:id="26" w:name=".trail.44"/>
            <w:bookmarkEnd w:id="25"/>
            <w:bookmarkEnd w:id="26"/>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1640" w:type="dxa"/>
            <w:tcBorders/>
            <w:shd w:fill="FFFFFF" w:val="clear"/>
            <w:tcMar>
              <w:bottom w:w="0" w:type="dxa"/>
            </w:tcMar>
            <w:vAlign w:val="center"/>
          </w:tcPr>
          <w:p>
            <w:pPr>
              <w:pStyle w:val="TableContents"/>
              <w:bidi w:val="0"/>
              <w:spacing w:before="0" w:after="0"/>
              <w:ind w:left="0" w:right="0" w:hanging="0"/>
              <w:jc w:val="left"/>
              <w:rPr/>
            </w:pPr>
            <w:r>
              <w:rPr/>
              <w:t> </w:t>
            </w:r>
          </w:p>
        </w:tc>
        <w:tc>
          <w:tcPr>
            <w:tcW w:w="1640" w:type="dxa"/>
            <w:tcBorders/>
            <w:shd w:fill="FFFFFF" w:val="clear"/>
            <w:tcMar>
              <w:bottom w:w="0" w:type="dxa"/>
            </w:tcMar>
            <w:vAlign w:val="center"/>
          </w:tcPr>
          <w:p>
            <w:pPr>
              <w:pStyle w:val="TableContents"/>
              <w:bidi w:val="0"/>
              <w:spacing w:before="0" w:after="0"/>
              <w:ind w:left="0" w:right="0" w:hanging="0"/>
              <w:jc w:val="left"/>
              <w:rPr/>
            </w:pPr>
            <w:r>
              <w:rPr/>
              <w:t> </w:t>
            </w:r>
          </w:p>
        </w:tc>
        <w:tc>
          <w:tcPr>
            <w:tcW w:w="1625" w:type="dxa"/>
            <w:tcBorders/>
            <w:shd w:fill="FFFF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bookmarkStart w:id="27" w:name=".lead.45"/>
            <w:bookmarkStart w:id="28" w:name=".lead.46"/>
            <w:bookmarkEnd w:id="27"/>
            <w:bookmarkEnd w:id="28"/>
          </w:p>
        </w:tc>
        <w:tc>
          <w:tcPr>
            <w:tcW w:w="60" w:type="dxa"/>
            <w:tcBorders/>
            <w:shd w:fill="FFFFFF" w:val="clear"/>
            <w:tcMar>
              <w:bottom w:w="0" w:type="dxa"/>
            </w:tcMar>
            <w:vAlign w:val="center"/>
          </w:tcPr>
          <w:p>
            <w:pPr>
              <w:pStyle w:val="TableContents"/>
              <w:bidi w:val="0"/>
              <w:spacing w:before="0" w:after="0"/>
              <w:ind w:left="0" w:right="0" w:hanging="0"/>
              <w:jc w:val="left"/>
              <w:rPr/>
            </w:pPr>
            <w:r>
              <w:rPr/>
              <w:t> </w:t>
            </w:r>
            <w:bookmarkStart w:id="29" w:name=".symb.45"/>
            <w:bookmarkStart w:id="30" w:name=".symb.46"/>
            <w:bookmarkEnd w:id="29"/>
            <w:bookmarkEnd w:id="30"/>
          </w:p>
        </w:tc>
        <w:tc>
          <w:tcPr>
            <w:tcW w:w="364"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1" w:name=".amt.45"/>
            <w:bookmarkStart w:id="32" w:name=".amt.46"/>
            <w:bookmarkEnd w:id="31"/>
            <w:bookmarkEnd w:id="32"/>
          </w:p>
        </w:tc>
        <w:tc>
          <w:tcPr>
            <w:tcW w:w="1110"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0.18</w:t>
            </w:r>
            <w:bookmarkStart w:id="33" w:name=".trail.45"/>
            <w:bookmarkStart w:id="34" w:name=".trail.46"/>
            <w:bookmarkEnd w:id="33"/>
            <w:bookmarkEnd w:id="34"/>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Special Monthly Distributions Payable in Fourth Quarter 2026</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tbl>
      <w:tblPr>
        <w:tblW w:w="6499" w:type="dxa"/>
        <w:jc w:val="left"/>
        <w:tblInd w:w="0" w:type="dxa"/>
        <w:tblLayout w:type="fixed"/>
        <w:tblCellMar>
          <w:top w:w="0" w:type="dxa"/>
          <w:left w:w="0" w:type="dxa"/>
          <w:bottom w:w="28" w:type="dxa"/>
          <w:right w:w="0" w:type="dxa"/>
        </w:tblCellMar>
      </w:tblPr>
      <w:tblGrid>
        <w:gridCol w:w="1640"/>
        <w:gridCol w:w="1640"/>
        <w:gridCol w:w="1625"/>
        <w:gridCol w:w="60"/>
        <w:gridCol w:w="364"/>
        <w:gridCol w:w="1110"/>
        <w:gridCol w:w="60"/>
      </w:tblGrid>
      <w:tr>
        <w:trPr/>
        <w:tc>
          <w:tcPr>
            <w:tcW w:w="164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Ex-Dividend Date</w:t>
            </w:r>
          </w:p>
        </w:tc>
        <w:tc>
          <w:tcPr>
            <w:tcW w:w="1640" w:type="dxa"/>
            <w:tcBorders>
              <w:bottom w:val="single" w:sz="2" w:space="0" w:color="000000"/>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Record Date</w:t>
            </w:r>
          </w:p>
        </w:tc>
        <w:tc>
          <w:tcPr>
            <w:tcW w:w="1625" w:type="dxa"/>
            <w:tcBorders>
              <w:bottom w:val="single" w:sz="2" w:space="0" w:color="000000"/>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Payment Date</w:t>
            </w:r>
            <w:bookmarkStart w:id="35" w:name=".lead.D41"/>
            <w:bookmarkStart w:id="36" w:name=".lead.D42"/>
            <w:bookmarkEnd w:id="35"/>
            <w:bookmarkEnd w:id="36"/>
          </w:p>
        </w:tc>
        <w:tc>
          <w:tcPr>
            <w:tcW w:w="60" w:type="dxa"/>
            <w:tcBorders>
              <w:bottom w:val="single" w:sz="2" w:space="0" w:color="000000"/>
            </w:tcBorders>
            <w:vAlign w:val="center"/>
          </w:tcPr>
          <w:p>
            <w:pPr>
              <w:pStyle w:val="TableContents"/>
              <w:bidi w:val="0"/>
              <w:spacing w:before="0" w:after="0"/>
              <w:ind w:left="0" w:right="0" w:hanging="0"/>
              <w:jc w:val="left"/>
              <w:rPr/>
            </w:pPr>
            <w:r>
              <w:rPr/>
              <w:t> </w:t>
            </w:r>
            <w:bookmarkStart w:id="37" w:name=".amt.D41"/>
            <w:bookmarkStart w:id="38" w:name=".amt.D42"/>
            <w:bookmarkEnd w:id="37"/>
            <w:bookmarkEnd w:id="38"/>
          </w:p>
        </w:tc>
        <w:tc>
          <w:tcPr>
            <w:tcW w:w="147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Amount per Share</w:t>
            </w:r>
            <w:bookmarkStart w:id="39" w:name=".trail.D41"/>
            <w:bookmarkStart w:id="40" w:name=".trail.D42"/>
            <w:bookmarkEnd w:id="39"/>
            <w:bookmarkEnd w:id="40"/>
          </w:p>
        </w:tc>
        <w:tc>
          <w:tcPr>
            <w:tcW w:w="60" w:type="dxa"/>
            <w:tcBorders/>
            <w:tcMar>
              <w:bottom w:w="0" w:type="dxa"/>
            </w:tcMar>
            <w:vAlign w:val="center"/>
          </w:tcPr>
          <w:p>
            <w:pPr>
              <w:pStyle w:val="TableContents"/>
              <w:bidi w:val="0"/>
              <w:spacing w:before="0" w:after="0"/>
              <w:ind w:left="0" w:right="0" w:hanging="0"/>
              <w:jc w:val="left"/>
              <w:rPr/>
            </w:pPr>
            <w:r>
              <w:rPr/>
              <w:t> </w:t>
            </w:r>
          </w:p>
        </w:tc>
      </w:tr>
      <w:tr>
        <w:trPr/>
        <w:tc>
          <w:tcPr>
            <w:tcW w:w="16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16, 2026</w:t>
            </w:r>
          </w:p>
        </w:tc>
        <w:tc>
          <w:tcPr>
            <w:tcW w:w="1640" w:type="dxa"/>
            <w:tcBorders/>
            <w:shd w:fill="CCEEFF" w:val="clear"/>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16, 2026</w:t>
            </w:r>
          </w:p>
        </w:tc>
        <w:tc>
          <w:tcPr>
            <w:tcW w:w="1625" w:type="dxa"/>
            <w:tcBorders/>
            <w:shd w:fill="CCEEFF" w:val="clear"/>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October 15, 2026</w:t>
            </w:r>
            <w:bookmarkStart w:id="41" w:name=".lead.47"/>
            <w:bookmarkStart w:id="42" w:name=".lead.48"/>
            <w:bookmarkEnd w:id="41"/>
            <w:bookmarkEnd w:id="42"/>
          </w:p>
        </w:tc>
        <w:tc>
          <w:tcPr>
            <w:tcW w:w="60" w:type="dxa"/>
            <w:tcBorders/>
            <w:shd w:fill="CCEEFF" w:val="clear"/>
            <w:tcMar>
              <w:bottom w:w="0" w:type="dxa"/>
            </w:tcMar>
            <w:vAlign w:val="center"/>
          </w:tcPr>
          <w:p>
            <w:pPr>
              <w:pStyle w:val="TableContents"/>
              <w:bidi w:val="0"/>
              <w:spacing w:before="0" w:after="0"/>
              <w:ind w:left="0" w:right="0" w:hanging="0"/>
              <w:jc w:val="left"/>
              <w:rPr/>
            </w:pPr>
            <w:r>
              <w:rPr/>
              <w:t> </w:t>
            </w:r>
            <w:bookmarkStart w:id="43" w:name=".symb.47"/>
            <w:bookmarkStart w:id="44" w:name=".symb.48"/>
            <w:bookmarkEnd w:id="43"/>
            <w:bookmarkEnd w:id="44"/>
          </w:p>
        </w:tc>
        <w:tc>
          <w:tcPr>
            <w:tcW w:w="364"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5" w:name=".amt.47"/>
            <w:bookmarkStart w:id="46" w:name=".amt.48"/>
            <w:bookmarkEnd w:id="45"/>
            <w:bookmarkEnd w:id="46"/>
          </w:p>
        </w:tc>
        <w:tc>
          <w:tcPr>
            <w:tcW w:w="1110"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0.03</w:t>
            </w:r>
            <w:bookmarkStart w:id="47" w:name=".trail.47"/>
            <w:bookmarkStart w:id="48" w:name=".trail.48"/>
            <w:bookmarkEnd w:id="47"/>
            <w:bookmarkEnd w:id="48"/>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164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October 16, 2026</w:t>
            </w:r>
          </w:p>
        </w:tc>
        <w:tc>
          <w:tcPr>
            <w:tcW w:w="1640" w:type="dxa"/>
            <w:tcBorders/>
            <w:shd w:fill="FFFFFF" w:val="clear"/>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October 16, 2026</w:t>
            </w:r>
          </w:p>
        </w:tc>
        <w:tc>
          <w:tcPr>
            <w:tcW w:w="1625" w:type="dxa"/>
            <w:tcBorders/>
            <w:shd w:fill="FFFFFF" w:val="clear"/>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November 16, 2026</w:t>
            </w:r>
            <w:bookmarkStart w:id="49" w:name=".lead.49"/>
            <w:bookmarkStart w:id="50" w:name=".lead.410"/>
            <w:bookmarkEnd w:id="49"/>
            <w:bookmarkEnd w:id="50"/>
          </w:p>
        </w:tc>
        <w:tc>
          <w:tcPr>
            <w:tcW w:w="60" w:type="dxa"/>
            <w:tcBorders/>
            <w:shd w:fill="FFFFFF" w:val="clear"/>
            <w:tcMar>
              <w:bottom w:w="0" w:type="dxa"/>
            </w:tcMar>
            <w:vAlign w:val="center"/>
          </w:tcPr>
          <w:p>
            <w:pPr>
              <w:pStyle w:val="TableContents"/>
              <w:bidi w:val="0"/>
              <w:spacing w:before="0" w:after="0"/>
              <w:ind w:left="0" w:right="0" w:hanging="0"/>
              <w:jc w:val="left"/>
              <w:rPr/>
            </w:pPr>
            <w:r>
              <w:rPr/>
              <w:t> </w:t>
            </w:r>
            <w:bookmarkStart w:id="51" w:name=".symb.49"/>
            <w:bookmarkStart w:id="52" w:name=".symb.410"/>
            <w:bookmarkEnd w:id="51"/>
            <w:bookmarkEnd w:id="52"/>
          </w:p>
        </w:tc>
        <w:tc>
          <w:tcPr>
            <w:tcW w:w="364"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3" w:name=".amt.49"/>
            <w:bookmarkStart w:id="54" w:name=".amt.410"/>
            <w:bookmarkEnd w:id="53"/>
            <w:bookmarkEnd w:id="54"/>
          </w:p>
        </w:tc>
        <w:tc>
          <w:tcPr>
            <w:tcW w:w="1110"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0.03</w:t>
            </w:r>
            <w:bookmarkStart w:id="55" w:name=".trail.49"/>
            <w:bookmarkStart w:id="56" w:name=".trail.410"/>
            <w:bookmarkEnd w:id="55"/>
            <w:bookmarkEnd w:id="56"/>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16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November 17, 2026</w:t>
            </w:r>
          </w:p>
        </w:tc>
        <w:tc>
          <w:tcPr>
            <w:tcW w:w="1640" w:type="dxa"/>
            <w:tcBorders/>
            <w:shd w:fill="CCEEFF" w:val="clear"/>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November 17, 2026</w:t>
            </w:r>
          </w:p>
        </w:tc>
        <w:tc>
          <w:tcPr>
            <w:tcW w:w="1625" w:type="dxa"/>
            <w:tcBorders/>
            <w:shd w:fill="CCEEFF" w:val="clear"/>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15, 2026</w:t>
            </w:r>
            <w:bookmarkStart w:id="57" w:name=".lead.411"/>
            <w:bookmarkStart w:id="58" w:name=".lead.412"/>
            <w:bookmarkEnd w:id="57"/>
            <w:bookmarkEnd w:id="58"/>
          </w:p>
        </w:tc>
        <w:tc>
          <w:tcPr>
            <w:tcW w:w="60" w:type="dxa"/>
            <w:tcBorders/>
            <w:shd w:fill="CCEEFF" w:val="clear"/>
            <w:tcMar>
              <w:bottom w:w="0" w:type="dxa"/>
            </w:tcMar>
            <w:vAlign w:val="center"/>
          </w:tcPr>
          <w:p>
            <w:pPr>
              <w:pStyle w:val="TableContents"/>
              <w:bidi w:val="0"/>
              <w:spacing w:before="0" w:after="0"/>
              <w:ind w:left="0" w:right="0" w:hanging="0"/>
              <w:jc w:val="left"/>
              <w:rPr/>
            </w:pPr>
            <w:r>
              <w:rPr/>
              <w:t> </w:t>
            </w:r>
            <w:bookmarkStart w:id="59" w:name=".symb.411"/>
            <w:bookmarkStart w:id="60" w:name=".symb.412"/>
            <w:bookmarkEnd w:id="59"/>
            <w:bookmarkEnd w:id="60"/>
          </w:p>
        </w:tc>
        <w:tc>
          <w:tcPr>
            <w:tcW w:w="364"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1" w:name=".amt.411"/>
            <w:bookmarkStart w:id="62" w:name=".amt.412"/>
            <w:bookmarkEnd w:id="61"/>
            <w:bookmarkEnd w:id="62"/>
          </w:p>
        </w:tc>
        <w:tc>
          <w:tcPr>
            <w:tcW w:w="1110" w:type="dxa"/>
            <w:tcBorders>
              <w:bottom w:val="single" w:sz="2" w:space="0" w:color="000000"/>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0.03</w:t>
            </w:r>
            <w:bookmarkStart w:id="63" w:name=".trail.411"/>
            <w:bookmarkStart w:id="64" w:name=".trail.412"/>
            <w:bookmarkEnd w:id="63"/>
            <w:bookmarkEnd w:id="64"/>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1640" w:type="dxa"/>
            <w:tcBorders/>
            <w:shd w:fill="FFFFFF" w:val="clear"/>
            <w:tcMar>
              <w:bottom w:w="0" w:type="dxa"/>
            </w:tcMar>
            <w:vAlign w:val="center"/>
          </w:tcPr>
          <w:p>
            <w:pPr>
              <w:pStyle w:val="TableContents"/>
              <w:bidi w:val="0"/>
              <w:spacing w:before="0" w:after="0"/>
              <w:ind w:left="0" w:right="0" w:hanging="0"/>
              <w:jc w:val="left"/>
              <w:rPr/>
            </w:pPr>
            <w:r>
              <w:rPr/>
              <w:t> </w:t>
            </w:r>
          </w:p>
        </w:tc>
        <w:tc>
          <w:tcPr>
            <w:tcW w:w="1640" w:type="dxa"/>
            <w:tcBorders/>
            <w:shd w:fill="FFFFFF" w:val="clear"/>
            <w:tcMar>
              <w:bottom w:w="0" w:type="dxa"/>
            </w:tcMar>
            <w:vAlign w:val="center"/>
          </w:tcPr>
          <w:p>
            <w:pPr>
              <w:pStyle w:val="TableContents"/>
              <w:bidi w:val="0"/>
              <w:spacing w:before="0" w:after="0"/>
              <w:ind w:left="0" w:right="0" w:hanging="0"/>
              <w:jc w:val="left"/>
              <w:rPr/>
            </w:pPr>
            <w:r>
              <w:rPr/>
              <w:t> </w:t>
            </w:r>
          </w:p>
        </w:tc>
        <w:tc>
          <w:tcPr>
            <w:tcW w:w="1625" w:type="dxa"/>
            <w:tcBorders/>
            <w:shd w:fill="FFFF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bookmarkStart w:id="65" w:name=".lead.413"/>
            <w:bookmarkStart w:id="66" w:name=".lead.414"/>
            <w:bookmarkEnd w:id="65"/>
            <w:bookmarkEnd w:id="66"/>
          </w:p>
        </w:tc>
        <w:tc>
          <w:tcPr>
            <w:tcW w:w="60" w:type="dxa"/>
            <w:tcBorders/>
            <w:shd w:fill="FFFFFF" w:val="clear"/>
            <w:tcMar>
              <w:bottom w:w="0" w:type="dxa"/>
            </w:tcMar>
            <w:vAlign w:val="center"/>
          </w:tcPr>
          <w:p>
            <w:pPr>
              <w:pStyle w:val="TableContents"/>
              <w:bidi w:val="0"/>
              <w:spacing w:before="0" w:after="0"/>
              <w:ind w:left="0" w:right="0" w:hanging="0"/>
              <w:jc w:val="left"/>
              <w:rPr/>
            </w:pPr>
            <w:r>
              <w:rPr/>
              <w:t> </w:t>
            </w:r>
            <w:bookmarkStart w:id="67" w:name=".symb.413"/>
            <w:bookmarkStart w:id="68" w:name=".symb.414"/>
            <w:bookmarkEnd w:id="67"/>
            <w:bookmarkEnd w:id="68"/>
          </w:p>
        </w:tc>
        <w:tc>
          <w:tcPr>
            <w:tcW w:w="364"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9" w:name=".amt.413"/>
            <w:bookmarkStart w:id="70" w:name=".amt.414"/>
            <w:bookmarkEnd w:id="69"/>
            <w:bookmarkEnd w:id="70"/>
          </w:p>
        </w:tc>
        <w:tc>
          <w:tcPr>
            <w:tcW w:w="1110"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0.09</w:t>
            </w:r>
            <w:bookmarkStart w:id="71" w:name=".trail.413"/>
            <w:bookmarkStart w:id="72" w:name=".trail.414"/>
            <w:bookmarkEnd w:id="71"/>
            <w:bookmarkEnd w:id="72"/>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board of directors (“Board”) sets the level of distributions for each quarter based on its results of operations, spillover income and longer-term outlook, including expected operating results for the current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When declaring distributions, Horizon’s Board reviews estimates of taxable income available for distribution, which may differ from consolidated net income under generally accepted accounting principles due to (i) changes in unrealized appreciation and depreciation, (ii) temporary and permanent differences in income and expense recognition, and (iii) the amount of spillover income carried over from a given year for distribution in the following year. The final determination of taxable income for each tax year, as well as the tax attributes for distributions in such tax year, will be made after the close of the tax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Horizon maintains a “Dividend Reinvestment Plan” (“DRIP”) that provides for the reinvestment of distributions on behalf of its stockholders, unless a stockholder has elected to receive distributions in cash. As a result, if Horizon declares a distribution, its stockholders who have not “opted out” of the DRIP by the distribution record date will have their distribution automatically reinvested into additional shares of Horizon’s common stock. Horizon has the option to satisfy the share requirements of the DRIP through the issuance of new shares of common stock or through open market purchases of common stock by the DRIP plan administrator. Newly-issued shares will be valued based upon the final closing price of Horizon’s common stock on a specified valuation date for each distribution as determined by Horizon’s Board. Shares purchased in the open market to satisfy the DRIP requirements will be valued based upon the average price of the applicable shares purchased by the DRIP plan administrator, before any associated brokerage or other costs, which are borne by Horizon.</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pPr>
      <w:r>
        <w:rPr/>
        <w:drawing>
          <wp:inline distT="0" distB="0" distL="0" distR="0">
            <wp:extent cx="1247140" cy="36131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47140" cy="361315"/>
                    </a:xfrm>
                    <a:prstGeom prst="rect">
                      <a:avLst/>
                    </a:prstGeom>
                  </pic:spPr>
                </pic:pic>
              </a:graphicData>
            </a:graphic>
          </wp:inline>
        </w:drawing>
      </w: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About Horizon Technology Finance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Horizon Technology Finance Corporation (NASDAQ: HRZN), externally managed by Horizon Technology Finance Management LLC, an affiliate of Monroe Capital, is a leading specialty finance company that provides capital in the form of secured loans to venture capital and private equity-backed companies and publicly traded companies in the technology, life science, healthcare information and services, and sustainability industries. The investment objective of Horizon is to maximize its investment portfolio’s return by generating current income from the debt investments it makes and capital appreciation from the warrants it receives when making such debt investments. Horizon is headquartered in Farmington, Connecticut, with a regional office in Pleasanton, California, and investment professionals located throughout the U.S. Monroe Capital is a premier asset management firm specializing in private credit markets across various strategies, including direct lending, technology finance, venture debt, opportunistic, structured credit, real estate and equity. To learn more, please visit </w:t>
      </w:r>
      <w:r>
        <w:rPr>
          <w:rFonts w:ascii="Times New Roman" w:hAnsi="Times New Roman"/>
          <w:caps w:val="false"/>
          <w:smallCaps w:val="false"/>
          <w:sz w:val="20"/>
          <w:u w:val="single"/>
        </w:rPr>
        <w:t>horizontechfinance.com</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Forward-Looking Statements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Statements included herein may constitute </w:t>
      </w:r>
      <w:r>
        <w:rPr>
          <w:rFonts w:ascii="Times New Roman" w:hAnsi="Times New Roman"/>
          <w:caps w:val="false"/>
          <w:smallCaps w:val="false"/>
          <w:sz w:val="20"/>
        </w:rPr>
        <w:t>“</w:t>
      </w:r>
      <w:r>
        <w:rPr>
          <w:rFonts w:ascii="Times New Roman" w:hAnsi="Times New Roman"/>
          <w:i/>
          <w:caps w:val="false"/>
          <w:smallCaps w:val="false"/>
          <w:sz w:val="20"/>
        </w:rPr>
        <w:t>forward-looking statements</w:t>
      </w:r>
      <w:r>
        <w:rPr>
          <w:rFonts w:ascii="Times New Roman" w:hAnsi="Times New Roman"/>
          <w:caps w:val="false"/>
          <w:smallCaps w:val="false"/>
          <w:sz w:val="20"/>
        </w:rPr>
        <w:t xml:space="preserve">” </w:t>
      </w:r>
      <w:r>
        <w:rPr>
          <w:rFonts w:ascii="Times New Roman" w:hAnsi="Times New Roman"/>
          <w:i/>
          <w:caps w:val="false"/>
          <w:smallCaps w:val="false"/>
          <w:sz w:val="20"/>
        </w:rPr>
        <w:t>within the meaning of the Private Securities Litigation Reform Act of 1995. Statements other than statements of historical facts included in this press release may constitute forward-looking statements and are not guarantees of future performance, condition or results and involve a number of risks and uncertainties. Actual results may differ materially from those in the forward-looking statements as a result of a number of factors, including those described from time to time in Horizon</w:t>
      </w:r>
      <w:r>
        <w:rPr>
          <w:rFonts w:ascii="Times New Roman" w:hAnsi="Times New Roman"/>
          <w:caps w:val="false"/>
          <w:smallCaps w:val="false"/>
          <w:sz w:val="20"/>
        </w:rPr>
        <w:t>’</w:t>
      </w:r>
      <w:r>
        <w:rPr>
          <w:rFonts w:ascii="Times New Roman" w:hAnsi="Times New Roman"/>
          <w:i/>
          <w:caps w:val="false"/>
          <w:smallCaps w:val="false"/>
          <w:sz w:val="20"/>
        </w:rPr>
        <w:t>s filings with the Securities and Exchange Commission. Horizon undertakes no duty to update any forward-looking statement made herein. All forward-looking statements speak only as of the date of this press release.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Contacts: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Investor Relations:</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ICR</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Garrett Edson</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ir@horizontechfinance.com</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(646) 200-8885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Media Relations:</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ICR</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Chris Gillick</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HorizonPR@icrinc.com</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(646) 677-1819</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1420</Words>
  <Characters>8022</Characters>
  <CharactersWithSpaces>9421</CharactersWithSpaces>
  <Paragraphs>322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