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86360</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100330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44" w:lineRule="exact"/>
        <w:rPr>
          <w:sz w:val="24"/>
          <w:szCs w:val="24"/>
          <w:color w:val="auto"/>
        </w:rPr>
      </w:pPr>
    </w:p>
    <w:p>
      <w:pPr>
        <w:ind w:left="20"/>
        <w:spacing w:after="0"/>
        <w:rPr>
          <w:sz w:val="20"/>
          <w:szCs w:val="20"/>
          <w:color w:val="auto"/>
        </w:rPr>
      </w:pPr>
      <w:r>
        <w:rPr>
          <w:rFonts w:ascii="Arial" w:cs="Arial" w:eastAsia="Arial" w:hAnsi="Arial"/>
          <w:sz w:val="16"/>
          <w:szCs w:val="16"/>
          <w:color w:val="auto"/>
        </w:rPr>
        <w:t>(Mark One)</w:t>
      </w:r>
    </w:p>
    <w:p>
      <w:pPr>
        <w:spacing w:after="0" w:line="109" w:lineRule="exact"/>
        <w:rPr>
          <w:sz w:val="24"/>
          <w:szCs w:val="24"/>
          <w:color w:val="auto"/>
        </w:rPr>
      </w:pPr>
    </w:p>
    <w:p>
      <w:pPr>
        <w:ind w:left="3140" w:right="1620" w:hanging="3038"/>
        <w:spacing w:after="0" w:line="487" w:lineRule="auto"/>
        <w:tabs>
          <w:tab w:leader="none" w:pos="38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QUARTERLY REPORT PURSUANT TO SECTION 13 OR 15(d) OF THE SECURITIES EXCHANGE ACT OF 1934 FOR THE QUARTERLY PERIOD ENDED MARCH 31, 2020</w:t>
      </w:r>
    </w:p>
    <w:p>
      <w:pPr>
        <w:spacing w:after="0" w:line="2"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auto"/>
        </w:rPr>
        <w:t>OR</w:t>
      </w:r>
    </w:p>
    <w:p>
      <w:pPr>
        <w:spacing w:after="0" w:line="221" w:lineRule="exact"/>
        <w:rPr>
          <w:sz w:val="24"/>
          <w:szCs w:val="24"/>
          <w:color w:val="auto"/>
        </w:rPr>
      </w:pPr>
    </w:p>
    <w:p>
      <w:pPr>
        <w:ind w:left="3280" w:right="1620" w:hanging="3158"/>
        <w:spacing w:after="0" w:line="357" w:lineRule="auto"/>
        <w:tabs>
          <w:tab w:leader="none" w:pos="372"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_____TO</w:t>
      </w:r>
    </w:p>
    <w:p>
      <w:pPr>
        <w:spacing w:after="0" w:line="1" w:lineRule="exact"/>
        <w:rPr>
          <w:rFonts w:ascii="Arial" w:cs="Arial" w:eastAsia="Arial" w:hAnsi="Arial"/>
          <w:sz w:val="16"/>
          <w:szCs w:val="16"/>
          <w:color w:val="auto"/>
        </w:rPr>
      </w:pPr>
    </w:p>
    <w:p>
      <w:pPr>
        <w:ind w:left="3580"/>
        <w:spacing w:after="0"/>
        <w:rPr>
          <w:rFonts w:ascii="Arial" w:cs="Arial" w:eastAsia="Arial" w:hAnsi="Arial"/>
          <w:sz w:val="16"/>
          <w:szCs w:val="16"/>
          <w:color w:val="auto"/>
        </w:rPr>
      </w:pPr>
      <w:r>
        <w:rPr>
          <w:rFonts w:ascii="Arial" w:cs="Arial" w:eastAsia="Arial" w:hAnsi="Arial"/>
          <w:sz w:val="16"/>
          <w:szCs w:val="16"/>
          <w:b w:val="1"/>
          <w:bCs w:val="1"/>
          <w:color w:val="auto"/>
        </w:rPr>
        <w:t>COMMISSION FILE NUMBER: 814-00802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97790</wp:posOffset>
            </wp:positionV>
            <wp:extent cx="16287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HORIZON TECHNOLOGY FINANCE CORPORATION</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95250</wp:posOffset>
            </wp:positionV>
            <wp:extent cx="16287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46" w:lineRule="exact"/>
        <w:rPr>
          <w:sz w:val="24"/>
          <w:szCs w:val="24"/>
          <w:color w:val="auto"/>
        </w:rPr>
      </w:pPr>
    </w:p>
    <w:tbl>
      <w:tblPr>
        <w:tblLayout w:type="fixed"/>
        <w:tblInd w:w="540" w:type="dxa"/>
        <w:tblCellMar>
          <w:top w:w="0" w:type="dxa"/>
          <w:left w:w="0" w:type="dxa"/>
          <w:bottom w:w="0" w:type="dxa"/>
          <w:right w:w="0" w:type="dxa"/>
        </w:tblCellMar>
      </w:tblPr>
      <w:tr>
        <w:trPr>
          <w:trHeight w:val="206"/>
        </w:trPr>
        <w:tc>
          <w:tcPr>
            <w:tcW w:w="4980" w:type="dxa"/>
            <w:vAlign w:val="bottom"/>
          </w:tcPr>
          <w:p>
            <w:pPr>
              <w:jc w:val="center"/>
              <w:ind w:right="939"/>
              <w:spacing w:after="0"/>
              <w:rPr>
                <w:sz w:val="20"/>
                <w:szCs w:val="20"/>
                <w:color w:val="auto"/>
              </w:rPr>
            </w:pPr>
            <w:r>
              <w:rPr>
                <w:rFonts w:ascii="Arial" w:cs="Arial" w:eastAsia="Arial" w:hAnsi="Arial"/>
                <w:sz w:val="16"/>
                <w:szCs w:val="16"/>
                <w:b w:val="1"/>
                <w:bCs w:val="1"/>
                <w:color w:val="auto"/>
                <w:w w:val="99"/>
              </w:rPr>
              <w:t>DELAWARE</w:t>
            </w:r>
          </w:p>
        </w:tc>
        <w:tc>
          <w:tcPr>
            <w:tcW w:w="3360" w:type="dxa"/>
            <w:vAlign w:val="bottom"/>
          </w:tcPr>
          <w:p>
            <w:pPr>
              <w:jc w:val="right"/>
              <w:ind w:right="679"/>
              <w:spacing w:after="0"/>
              <w:rPr>
                <w:sz w:val="20"/>
                <w:szCs w:val="20"/>
                <w:color w:val="auto"/>
              </w:rPr>
            </w:pPr>
            <w:r>
              <w:rPr>
                <w:rFonts w:ascii="Arial" w:cs="Arial" w:eastAsia="Arial" w:hAnsi="Arial"/>
                <w:sz w:val="16"/>
                <w:szCs w:val="16"/>
                <w:b w:val="1"/>
                <w:bCs w:val="1"/>
                <w:color w:val="auto"/>
              </w:rPr>
              <w:t>27-2114934</w:t>
            </w:r>
          </w:p>
        </w:tc>
      </w:tr>
      <w:tr>
        <w:trPr>
          <w:trHeight w:val="199"/>
        </w:trPr>
        <w:tc>
          <w:tcPr>
            <w:tcW w:w="4980" w:type="dxa"/>
            <w:vAlign w:val="bottom"/>
          </w:tcPr>
          <w:p>
            <w:pPr>
              <w:jc w:val="center"/>
              <w:ind w:right="959"/>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3360" w:type="dxa"/>
            <w:vAlign w:val="bottom"/>
          </w:tcPr>
          <w:p>
            <w:pPr>
              <w:jc w:val="center"/>
              <w:ind w:left="979"/>
              <w:spacing w:after="0"/>
              <w:rPr>
                <w:sz w:val="20"/>
                <w:szCs w:val="20"/>
                <w:color w:val="auto"/>
              </w:rPr>
            </w:pPr>
            <w:r>
              <w:rPr>
                <w:rFonts w:ascii="Arial" w:cs="Arial" w:eastAsia="Arial" w:hAnsi="Arial"/>
                <w:sz w:val="16"/>
                <w:szCs w:val="16"/>
                <w:i w:val="1"/>
                <w:iCs w:val="1"/>
                <w:color w:val="auto"/>
                <w:w w:val="93"/>
              </w:rPr>
              <w:t>(I.R.S. Employer Identification No.)</w:t>
            </w:r>
          </w:p>
        </w:tc>
      </w:tr>
      <w:tr>
        <w:trPr>
          <w:trHeight w:val="203"/>
        </w:trPr>
        <w:tc>
          <w:tcPr>
            <w:tcW w:w="4980" w:type="dxa"/>
            <w:vAlign w:val="bottom"/>
          </w:tcPr>
          <w:p>
            <w:pPr>
              <w:jc w:val="center"/>
              <w:ind w:right="959"/>
              <w:spacing w:after="0"/>
              <w:rPr>
                <w:sz w:val="20"/>
                <w:szCs w:val="20"/>
                <w:color w:val="auto"/>
              </w:rPr>
            </w:pPr>
            <w:r>
              <w:rPr>
                <w:rFonts w:ascii="Arial" w:cs="Arial" w:eastAsia="Arial" w:hAnsi="Arial"/>
                <w:sz w:val="16"/>
                <w:szCs w:val="16"/>
                <w:b w:val="1"/>
                <w:bCs w:val="1"/>
                <w:color w:val="auto"/>
                <w:w w:val="91"/>
              </w:rPr>
              <w:t>312 Farmington Avenue</w:t>
            </w:r>
          </w:p>
        </w:tc>
        <w:tc>
          <w:tcPr>
            <w:tcW w:w="3360" w:type="dxa"/>
            <w:vAlign w:val="bottom"/>
          </w:tcPr>
          <w:p>
            <w:pPr>
              <w:spacing w:after="0"/>
              <w:rPr>
                <w:sz w:val="17"/>
                <w:szCs w:val="17"/>
                <w:color w:val="auto"/>
              </w:rPr>
            </w:pPr>
          </w:p>
        </w:tc>
      </w:tr>
      <w:tr>
        <w:trPr>
          <w:trHeight w:val="206"/>
        </w:trPr>
        <w:tc>
          <w:tcPr>
            <w:tcW w:w="4980" w:type="dxa"/>
            <w:vAlign w:val="bottom"/>
          </w:tcPr>
          <w:p>
            <w:pPr>
              <w:jc w:val="center"/>
              <w:ind w:right="939"/>
              <w:spacing w:after="0"/>
              <w:rPr>
                <w:sz w:val="20"/>
                <w:szCs w:val="20"/>
                <w:color w:val="auto"/>
              </w:rPr>
            </w:pPr>
            <w:r>
              <w:rPr>
                <w:rFonts w:ascii="Arial" w:cs="Arial" w:eastAsia="Arial" w:hAnsi="Arial"/>
                <w:sz w:val="16"/>
                <w:szCs w:val="16"/>
                <w:b w:val="1"/>
                <w:bCs w:val="1"/>
                <w:color w:val="auto"/>
                <w:w w:val="94"/>
              </w:rPr>
              <w:t>Farmington, CT</w:t>
            </w:r>
          </w:p>
        </w:tc>
        <w:tc>
          <w:tcPr>
            <w:tcW w:w="3360" w:type="dxa"/>
            <w:vAlign w:val="bottom"/>
          </w:tcPr>
          <w:p>
            <w:pPr>
              <w:jc w:val="right"/>
              <w:ind w:right="859"/>
              <w:spacing w:after="0"/>
              <w:rPr>
                <w:sz w:val="20"/>
                <w:szCs w:val="20"/>
                <w:color w:val="auto"/>
              </w:rPr>
            </w:pPr>
            <w:r>
              <w:rPr>
                <w:rFonts w:ascii="Arial" w:cs="Arial" w:eastAsia="Arial" w:hAnsi="Arial"/>
                <w:sz w:val="16"/>
                <w:szCs w:val="16"/>
                <w:b w:val="1"/>
                <w:bCs w:val="1"/>
                <w:color w:val="auto"/>
              </w:rPr>
              <w:t>06032</w:t>
            </w:r>
          </w:p>
        </w:tc>
      </w:tr>
      <w:tr>
        <w:trPr>
          <w:trHeight w:val="206"/>
        </w:trPr>
        <w:tc>
          <w:tcPr>
            <w:tcW w:w="4980" w:type="dxa"/>
            <w:vAlign w:val="bottom"/>
          </w:tcPr>
          <w:p>
            <w:pPr>
              <w:jc w:val="center"/>
              <w:ind w:right="939"/>
              <w:spacing w:after="0"/>
              <w:rPr>
                <w:sz w:val="20"/>
                <w:szCs w:val="20"/>
                <w:color w:val="auto"/>
              </w:rPr>
            </w:pPr>
            <w:r>
              <w:rPr>
                <w:rFonts w:ascii="Arial" w:cs="Arial" w:eastAsia="Arial" w:hAnsi="Arial"/>
                <w:sz w:val="16"/>
                <w:szCs w:val="16"/>
                <w:i w:val="1"/>
                <w:iCs w:val="1"/>
                <w:color w:val="auto"/>
                <w:w w:val="91"/>
              </w:rPr>
              <w:t>(Address of principal executive offices)</w:t>
            </w:r>
          </w:p>
        </w:tc>
        <w:tc>
          <w:tcPr>
            <w:tcW w:w="3360" w:type="dxa"/>
            <w:vAlign w:val="bottom"/>
          </w:tcPr>
          <w:p>
            <w:pPr>
              <w:jc w:val="center"/>
              <w:ind w:left="979"/>
              <w:spacing w:after="0"/>
              <w:rPr>
                <w:sz w:val="20"/>
                <w:szCs w:val="20"/>
                <w:color w:val="auto"/>
              </w:rPr>
            </w:pPr>
            <w:r>
              <w:rPr>
                <w:rFonts w:ascii="Arial" w:cs="Arial" w:eastAsia="Arial" w:hAnsi="Arial"/>
                <w:sz w:val="16"/>
                <w:szCs w:val="16"/>
                <w:i w:val="1"/>
                <w:iCs w:val="1"/>
                <w:color w:val="auto"/>
                <w:w w:val="92"/>
              </w:rPr>
              <w:t>(Zip Code)</w:t>
            </w:r>
          </w:p>
        </w:tc>
      </w:tr>
    </w:tbl>
    <w:p>
      <w:pPr>
        <w:spacing w:after="0" w:line="7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(860) 676-8654</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2439035</wp:posOffset>
            </wp:positionH>
            <wp:positionV relativeFrom="paragraph">
              <wp:posOffset>97790</wp:posOffset>
            </wp:positionV>
            <wp:extent cx="16287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86" w:lineRule="exact"/>
        <w:rPr>
          <w:sz w:val="24"/>
          <w:szCs w:val="24"/>
          <w:color w:val="auto"/>
        </w:rPr>
      </w:pPr>
    </w:p>
    <w:p>
      <w:pPr>
        <w:jc w:val="both"/>
        <w:ind w:left="2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60" w:lineRule="exact"/>
        <w:rPr>
          <w:sz w:val="24"/>
          <w:szCs w:val="24"/>
          <w:color w:val="auto"/>
        </w:rPr>
      </w:pPr>
    </w:p>
    <w:p>
      <w:pPr>
        <w:jc w:val="both"/>
        <w:ind w:left="20" w:firstLine="324"/>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74" w:lineRule="exact"/>
        <w:rPr>
          <w:sz w:val="24"/>
          <w:szCs w:val="24"/>
          <w:color w:val="auto"/>
        </w:rPr>
      </w:pPr>
    </w:p>
    <w:p>
      <w:pPr>
        <w:jc w:val="both"/>
        <w:ind w:left="20" w:firstLine="324"/>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20" w:top="665" w:right="839" w:bottom="1440" w:gutter="0" w:footer="0" w:header="0"/>
        </w:sectPr>
      </w:pPr>
    </w:p>
    <w:p>
      <w:pPr>
        <w:spacing w:after="0" w:line="76"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2" w:lineRule="exact"/>
        <w:rPr>
          <w:sz w:val="24"/>
          <w:szCs w:val="24"/>
          <w:color w:val="auto"/>
        </w:rPr>
      </w:pPr>
    </w:p>
    <w:p>
      <w:pPr>
        <w:ind w:left="20"/>
        <w:spacing w:after="0"/>
        <w:rPr>
          <w:sz w:val="20"/>
          <w:szCs w:val="20"/>
          <w:color w:val="auto"/>
        </w:rPr>
      </w:pPr>
      <w:r>
        <w:rPr>
          <w:rFonts w:ascii="Arial" w:cs="Arial" w:eastAsia="Arial" w:hAnsi="Arial"/>
          <w:sz w:val="16"/>
          <w:szCs w:val="16"/>
          <w:color w:val="auto"/>
        </w:rPr>
        <w:t>Non-accelerated filer</w:t>
      </w:r>
    </w:p>
    <w:p>
      <w:pPr>
        <w:spacing w:after="0" w:line="19" w:lineRule="exact"/>
        <w:rPr>
          <w:sz w:val="24"/>
          <w:szCs w:val="24"/>
          <w:color w:val="auto"/>
        </w:rPr>
      </w:pPr>
    </w:p>
    <w:p>
      <w:pPr>
        <w:ind w:left="20"/>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14" w:lineRule="exact"/>
        <w:rPr>
          <w:sz w:val="24"/>
          <w:szCs w:val="24"/>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6" w:lineRule="exact"/>
        <w:rPr>
          <w:sz w:val="24"/>
          <w:szCs w:val="24"/>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90" w:lineRule="exact"/>
        <w:rPr>
          <w:sz w:val="24"/>
          <w:szCs w:val="24"/>
          <w:color w:val="auto"/>
        </w:rPr>
      </w:pPr>
    </w:p>
    <w:p>
      <w:pPr>
        <w:sectPr>
          <w:pgSz w:w="11900" w:h="16838" w:orient="portrait"/>
          <w:cols w:equalWidth="0" w:num="4">
            <w:col w:w="1780" w:space="560"/>
            <w:col w:w="4680" w:space="720"/>
            <w:col w:w="1760" w:space="540"/>
            <w:col w:w="200"/>
          </w:cols>
          <w:pgMar w:left="820" w:top="665" w:right="839" w:bottom="1440" w:gutter="0" w:footer="0" w:header="0"/>
          <w:type w:val="continuous"/>
        </w:sectPr>
      </w:pPr>
    </w:p>
    <w:p>
      <w:pPr>
        <w:ind w:left="20" w:firstLine="324"/>
        <w:spacing w:after="0" w:line="293"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br w:type="column"/>
      </w:r>
    </w:p>
    <w:p>
      <w:pPr>
        <w:spacing w:after="0" w:line="45" w:lineRule="exact"/>
        <w:rPr>
          <w:sz w:val="24"/>
          <w:szCs w:val="24"/>
          <w:color w:val="auto"/>
        </w:rPr>
      </w:pPr>
    </w:p>
    <w:p>
      <w:pPr>
        <w:spacing w:after="0" w:line="215" w:lineRule="exact"/>
        <w:rPr>
          <w:sz w:val="20"/>
          <w:szCs w:val="20"/>
          <w:color w:val="auto"/>
        </w:rPr>
      </w:pPr>
      <w:r>
        <w:rPr>
          <w:rFonts w:ascii="Arial Unicode MS" w:cs="Arial Unicode MS" w:eastAsia="Arial Unicode MS" w:hAnsi="Arial Unicode MS"/>
          <w:sz w:val="16"/>
          <w:szCs w:val="16"/>
          <w:color w:val="auto"/>
        </w:rPr>
        <w:t>☐</w:t>
      </w:r>
    </w:p>
    <w:p>
      <w:pPr>
        <w:spacing w:after="0" w:line="217" w:lineRule="exact"/>
        <w:rPr>
          <w:sz w:val="24"/>
          <w:szCs w:val="24"/>
          <w:color w:val="auto"/>
        </w:rPr>
      </w:pPr>
    </w:p>
    <w:p>
      <w:pPr>
        <w:sectPr>
          <w:pgSz w:w="11900" w:h="16838" w:orient="portrait"/>
          <w:cols w:equalWidth="0" w:num="2">
            <w:col w:w="9480" w:space="200"/>
            <w:col w:w="560"/>
          </w:cols>
          <w:pgMar w:left="820" w:top="665" w:right="839" w:bottom="1440" w:gutter="0" w:footer="0" w:header="0"/>
          <w:type w:val="continuous"/>
        </w:sectPr>
      </w:pPr>
    </w:p>
    <w:p>
      <w:pPr>
        <w:ind w:left="340"/>
        <w:spacing w:after="0" w:line="215"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Arial" w:cs="Arial" w:eastAsia="Arial" w:hAnsi="Arial"/>
          <w:sz w:val="16"/>
          <w:szCs w:val="16"/>
          <w:color w:val="auto"/>
        </w:rPr>
        <w:t xml:space="preserve"> No </w:t>
      </w:r>
      <w:r>
        <w:rPr>
          <w:rFonts w:ascii="Arial Unicode MS" w:cs="Arial Unicode MS" w:eastAsia="Arial Unicode MS" w:hAnsi="Arial Unicode MS"/>
          <w:sz w:val="16"/>
          <w:szCs w:val="16"/>
          <w:color w:val="auto"/>
        </w:rPr>
        <w:t>⌧</w:t>
      </w:r>
    </w:p>
    <w:p>
      <w:pPr>
        <w:spacing w:after="0" w:line="113" w:lineRule="exact"/>
        <w:rPr>
          <w:sz w:val="24"/>
          <w:szCs w:val="24"/>
          <w:color w:val="auto"/>
        </w:rPr>
      </w:pPr>
    </w:p>
    <w:p>
      <w:pPr>
        <w:ind w:left="20" w:firstLine="324"/>
        <w:spacing w:after="0" w:line="293" w:lineRule="auto"/>
        <w:rPr>
          <w:sz w:val="20"/>
          <w:szCs w:val="20"/>
          <w:color w:val="auto"/>
        </w:rPr>
      </w:pPr>
      <w:r>
        <w:rPr>
          <w:rFonts w:ascii="Arial" w:cs="Arial" w:eastAsia="Arial" w:hAnsi="Arial"/>
          <w:sz w:val="16"/>
          <w:szCs w:val="16"/>
          <w:color w:val="auto"/>
        </w:rPr>
        <w:t>The number of shares of the registrant’s common stock traded under the symbol “HRZN” on the Nasdaq Global Select Market, $0.001 par value per share, outstanding as of April 28, 2020 was 16,855,754.</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220" w:type="dxa"/>
            <w:vAlign w:val="bottom"/>
            <w:gridSpan w:val="3"/>
          </w:tcPr>
          <w:p>
            <w:pPr>
              <w:ind w:left="320"/>
              <w:spacing w:after="0"/>
              <w:rPr>
                <w:sz w:val="20"/>
                <w:szCs w:val="20"/>
                <w:color w:val="auto"/>
              </w:rPr>
            </w:pPr>
            <w:r>
              <w:rPr>
                <w:rFonts w:ascii="Arial" w:cs="Arial" w:eastAsia="Arial" w:hAnsi="Arial"/>
                <w:sz w:val="16"/>
                <w:szCs w:val="16"/>
                <w:color w:val="auto"/>
                <w:w w:val="95"/>
              </w:rPr>
              <w:t>Securities registered pursuant to Section 12(b) of the Act:</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80" w:type="dxa"/>
            <w:vAlign w:val="bottom"/>
          </w:tcPr>
          <w:p>
            <w:pPr>
              <w:spacing w:after="0"/>
              <w:rPr>
                <w:sz w:val="17"/>
                <w:szCs w:val="17"/>
                <w:color w:val="auto"/>
              </w:rPr>
            </w:pPr>
          </w:p>
        </w:tc>
      </w:tr>
      <w:tr>
        <w:trPr>
          <w:trHeight w:val="314"/>
        </w:trPr>
        <w:tc>
          <w:tcPr>
            <w:tcW w:w="20" w:type="dxa"/>
            <w:vAlign w:val="bottom"/>
          </w:tcPr>
          <w:p>
            <w:pPr>
              <w:spacing w:after="0"/>
              <w:rPr>
                <w:sz w:val="24"/>
                <w:szCs w:val="24"/>
                <w:color w:val="auto"/>
              </w:rPr>
            </w:pPr>
          </w:p>
        </w:tc>
        <w:tc>
          <w:tcPr>
            <w:tcW w:w="4220" w:type="dxa"/>
            <w:vAlign w:val="bottom"/>
            <w:gridSpan w:val="3"/>
          </w:tcPr>
          <w:p>
            <w:pPr>
              <w:jc w:val="center"/>
              <w:ind w:right="400"/>
              <w:spacing w:after="0"/>
              <w:rPr>
                <w:sz w:val="20"/>
                <w:szCs w:val="20"/>
                <w:color w:val="auto"/>
              </w:rPr>
            </w:pPr>
            <w:r>
              <w:rPr>
                <w:rFonts w:ascii="Arial" w:cs="Arial" w:eastAsia="Arial" w:hAnsi="Arial"/>
                <w:sz w:val="16"/>
                <w:szCs w:val="16"/>
                <w:color w:val="auto"/>
                <w:w w:val="92"/>
              </w:rPr>
              <w:t>Title of each class</w:t>
            </w:r>
          </w:p>
        </w:tc>
        <w:tc>
          <w:tcPr>
            <w:tcW w:w="1820" w:type="dxa"/>
            <w:vAlign w:val="bottom"/>
            <w:gridSpan w:val="2"/>
          </w:tcPr>
          <w:p>
            <w:pPr>
              <w:jc w:val="center"/>
              <w:ind w:right="400"/>
              <w:spacing w:after="0"/>
              <w:rPr>
                <w:sz w:val="20"/>
                <w:szCs w:val="20"/>
                <w:color w:val="auto"/>
              </w:rPr>
            </w:pPr>
            <w:r>
              <w:rPr>
                <w:rFonts w:ascii="Arial" w:cs="Arial" w:eastAsia="Arial" w:hAnsi="Arial"/>
                <w:sz w:val="16"/>
                <w:szCs w:val="16"/>
                <w:color w:val="auto"/>
                <w:w w:val="93"/>
              </w:rPr>
              <w:t>Ticker symbol(s)</w:t>
            </w:r>
          </w:p>
        </w:tc>
        <w:tc>
          <w:tcPr>
            <w:tcW w:w="41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189"/>
        </w:trPr>
        <w:tc>
          <w:tcPr>
            <w:tcW w:w="20" w:type="dxa"/>
            <w:vAlign w:val="bottom"/>
          </w:tcPr>
          <w:p>
            <w:pPr>
              <w:spacing w:after="0"/>
              <w:rPr>
                <w:sz w:val="16"/>
                <w:szCs w:val="16"/>
                <w:color w:val="auto"/>
              </w:rPr>
            </w:pPr>
          </w:p>
        </w:tc>
        <w:tc>
          <w:tcPr>
            <w:tcW w:w="38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$0.001 per share</w:t>
            </w:r>
          </w:p>
        </w:tc>
        <w:tc>
          <w:tcPr>
            <w:tcW w:w="1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139"/>
              <w:spacing w:after="0"/>
              <w:rPr>
                <w:sz w:val="20"/>
                <w:szCs w:val="20"/>
                <w:color w:val="auto"/>
              </w:rPr>
            </w:pPr>
            <w:r>
              <w:rPr>
                <w:rFonts w:ascii="Arial" w:cs="Arial" w:eastAsia="Arial" w:hAnsi="Arial"/>
                <w:sz w:val="16"/>
                <w:szCs w:val="16"/>
                <w:color w:val="auto"/>
                <w:w w:val="98"/>
              </w:rPr>
              <w:t>HRZN</w:t>
            </w:r>
          </w:p>
        </w:tc>
        <w:tc>
          <w:tcPr>
            <w:tcW w:w="160" w:type="dxa"/>
            <w:vAlign w:val="bottom"/>
          </w:tcPr>
          <w:p>
            <w:pPr>
              <w:spacing w:after="0"/>
              <w:rPr>
                <w:sz w:val="16"/>
                <w:szCs w:val="16"/>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r>
      <w:tr>
        <w:trPr>
          <w:trHeight w:val="206"/>
        </w:trPr>
        <w:tc>
          <w:tcPr>
            <w:tcW w:w="20" w:type="dxa"/>
            <w:vAlign w:val="bottom"/>
          </w:tcPr>
          <w:p>
            <w:pPr>
              <w:spacing w:after="0"/>
              <w:rPr>
                <w:sz w:val="17"/>
                <w:szCs w:val="17"/>
                <w:color w:val="auto"/>
              </w:rPr>
            </w:pPr>
          </w:p>
        </w:tc>
        <w:tc>
          <w:tcPr>
            <w:tcW w:w="4220" w:type="dxa"/>
            <w:vAlign w:val="bottom"/>
            <w:gridSpan w:val="3"/>
          </w:tcPr>
          <w:p>
            <w:pPr>
              <w:jc w:val="center"/>
              <w:ind w:right="400"/>
              <w:spacing w:after="0"/>
              <w:rPr>
                <w:sz w:val="20"/>
                <w:szCs w:val="20"/>
                <w:color w:val="auto"/>
              </w:rPr>
            </w:pPr>
            <w:r>
              <w:rPr>
                <w:rFonts w:ascii="Arial" w:cs="Arial" w:eastAsia="Arial" w:hAnsi="Arial"/>
                <w:sz w:val="16"/>
                <w:szCs w:val="16"/>
                <w:color w:val="auto"/>
                <w:w w:val="89"/>
              </w:rPr>
              <w:t>6.25% Notes due 2022</w:t>
            </w:r>
          </w:p>
        </w:tc>
        <w:tc>
          <w:tcPr>
            <w:tcW w:w="1820" w:type="dxa"/>
            <w:vAlign w:val="bottom"/>
            <w:gridSpan w:val="2"/>
          </w:tcPr>
          <w:p>
            <w:pPr>
              <w:jc w:val="center"/>
              <w:ind w:right="400"/>
              <w:spacing w:after="0"/>
              <w:rPr>
                <w:sz w:val="20"/>
                <w:szCs w:val="20"/>
                <w:color w:val="auto"/>
              </w:rPr>
            </w:pPr>
            <w:r>
              <w:rPr>
                <w:rFonts w:ascii="Arial" w:cs="Arial" w:eastAsia="Arial" w:hAnsi="Arial"/>
                <w:sz w:val="16"/>
                <w:szCs w:val="16"/>
                <w:color w:val="auto"/>
              </w:rPr>
              <w:t>HTFA</w:t>
            </w:r>
          </w:p>
        </w:tc>
        <w:tc>
          <w:tcPr>
            <w:tcW w:w="4180" w:type="dxa"/>
            <w:vAlign w:val="bottom"/>
          </w:tcPr>
          <w:p>
            <w:pPr>
              <w:jc w:val="center"/>
              <w:spacing w:after="0"/>
              <w:rPr>
                <w:sz w:val="20"/>
                <w:szCs w:val="20"/>
                <w:color w:val="auto"/>
              </w:rPr>
            </w:pPr>
            <w:r>
              <w:rPr>
                <w:rFonts w:ascii="Arial" w:cs="Arial" w:eastAsia="Arial" w:hAnsi="Arial"/>
                <w:sz w:val="16"/>
                <w:szCs w:val="16"/>
                <w:color w:val="auto"/>
                <w:w w:val="93"/>
              </w:rPr>
              <w:t>The New York Stock Exchange</w:t>
            </w:r>
          </w:p>
        </w:tc>
      </w:tr>
      <w:tr>
        <w:trPr>
          <w:trHeight w:val="270"/>
        </w:trPr>
        <w:tc>
          <w:tcPr>
            <w:tcW w:w="20" w:type="dxa"/>
            <w:vAlign w:val="bottom"/>
            <w:tcBorders>
              <w:bottom w:val="single" w:sz="8" w:color="auto"/>
            </w:tcBorders>
          </w:tcPr>
          <w:p>
            <w:pPr>
              <w:spacing w:after="0"/>
              <w:rPr>
                <w:sz w:val="23"/>
                <w:szCs w:val="23"/>
                <w:color w:val="auto"/>
              </w:rPr>
            </w:pPr>
          </w:p>
        </w:tc>
        <w:tc>
          <w:tcPr>
            <w:tcW w:w="38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4180" w:type="dxa"/>
            <w:vAlign w:val="bottom"/>
            <w:tcBorders>
              <w:bottom w:val="single" w:sz="8" w:color="auto"/>
            </w:tcBorders>
          </w:tcPr>
          <w:p>
            <w:pPr>
              <w:spacing w:after="0"/>
              <w:rPr>
                <w:sz w:val="23"/>
                <w:szCs w:val="23"/>
                <w:color w:val="auto"/>
              </w:rPr>
            </w:pPr>
          </w:p>
        </w:tc>
      </w:tr>
      <w:tr>
        <w:trPr>
          <w:trHeight w:val="54"/>
        </w:trPr>
        <w:tc>
          <w:tcPr>
            <w:tcW w:w="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4180" w:type="dxa"/>
            <w:vAlign w:val="bottom"/>
            <w:tcBorders>
              <w:bottom w:val="single" w:sz="8" w:color="auto"/>
            </w:tcBorders>
          </w:tcPr>
          <w:p>
            <w:pPr>
              <w:spacing w:after="0"/>
              <w:rPr>
                <w:sz w:val="4"/>
                <w:szCs w:val="4"/>
                <w:color w:val="auto"/>
              </w:rPr>
            </w:pPr>
          </w:p>
        </w:tc>
      </w:tr>
      <w:tr>
        <w:trPr>
          <w:trHeight w:val="757"/>
        </w:trPr>
        <w:tc>
          <w:tcPr>
            <w:tcW w:w="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8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rPr>
              <w:t>HORIZON TECHNOLOGY FINANCE CORPORATION</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80" w:type="dxa"/>
            <w:vAlign w:val="bottom"/>
            <w:gridSpan w:val="3"/>
          </w:tcPr>
          <w:p>
            <w:pPr>
              <w:jc w:val="center"/>
              <w:ind w:right="1220"/>
              <w:spacing w:after="0"/>
              <w:rPr>
                <w:sz w:val="20"/>
                <w:szCs w:val="20"/>
                <w:color w:val="auto"/>
              </w:rPr>
            </w:pPr>
            <w:r>
              <w:rPr>
                <w:rFonts w:ascii="Arial" w:cs="Arial" w:eastAsia="Arial" w:hAnsi="Arial"/>
                <w:sz w:val="18"/>
                <w:szCs w:val="18"/>
                <w:b w:val="1"/>
                <w:bCs w:val="1"/>
                <w:color w:val="auto"/>
                <w:w w:val="99"/>
              </w:rPr>
              <w:t>FORM 10-Q</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80" w:type="dxa"/>
            <w:vAlign w:val="bottom"/>
            <w:gridSpan w:val="3"/>
          </w:tcPr>
          <w:p>
            <w:pPr>
              <w:jc w:val="center"/>
              <w:ind w:right="124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21"/>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80" w:type="dxa"/>
            <w:vAlign w:val="bottom"/>
            <w:gridSpan w:val="3"/>
          </w:tcPr>
          <w:p>
            <w:pPr>
              <w:jc w:val="center"/>
              <w:ind w:right="820"/>
              <w:spacing w:after="0"/>
              <w:rPr>
                <w:rFonts w:ascii="Arial" w:cs="Arial" w:eastAsia="Arial" w:hAnsi="Arial"/>
                <w:sz w:val="18"/>
                <w:szCs w:val="18"/>
                <w:b w:val="1"/>
                <w:bCs w:val="1"/>
                <w:u w:val="single" w:color="auto"/>
                <w:color w:val="0000EE"/>
                <w:w w:val="98"/>
              </w:rPr>
            </w:pPr>
            <w:hyperlink w:anchor="page3">
              <w:r>
                <w:rPr>
                  <w:rFonts w:ascii="Arial" w:cs="Arial" w:eastAsia="Arial" w:hAnsi="Arial"/>
                  <w:sz w:val="18"/>
                  <w:szCs w:val="18"/>
                  <w:b w:val="1"/>
                  <w:bCs w:val="1"/>
                  <w:u w:val="single" w:color="auto"/>
                  <w:color w:val="0000EE"/>
                  <w:w w:val="98"/>
                </w:rPr>
                <w:t>PART I</w:t>
              </w:r>
            </w:hyperlink>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Consolidated Financial Statements.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7720" w:type="dxa"/>
            <w:vAlign w:val="bottom"/>
            <w:gridSpan w:val="5"/>
          </w:tcPr>
          <w:p>
            <w:pPr>
              <w:spacing w:after="0" w:line="190" w:lineRule="exact"/>
              <w:rPr>
                <w:rFonts w:ascii="Arial" w:cs="Arial" w:eastAsia="Arial" w:hAnsi="Arial"/>
                <w:sz w:val="18"/>
                <w:szCs w:val="18"/>
                <w:color w:val="0000EE"/>
                <w:w w:val="94"/>
              </w:rPr>
            </w:pPr>
            <w:hyperlink w:anchor="page3">
              <w:r>
                <w:rPr>
                  <w:rFonts w:ascii="Arial" w:cs="Arial" w:eastAsia="Arial" w:hAnsi="Arial"/>
                  <w:sz w:val="18"/>
                  <w:szCs w:val="18"/>
                  <w:color w:val="0000EE"/>
                  <w:w w:val="94"/>
                </w:rPr>
                <w:t>Consolidated Statements of Assets and Liabilities as of March 31, 2020 (unaudited) and December 31,</w:t>
              </w:r>
            </w:hyperlink>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2019</w:t>
              </w:r>
            </w:hyperlink>
          </w:p>
        </w:tc>
        <w:tc>
          <w:tcPr>
            <w:tcW w:w="480" w:type="dxa"/>
            <w:vAlign w:val="bottom"/>
            <w:tcBorders>
              <w:top w:val="single" w:sz="8" w:color="0000EE"/>
            </w:tcBorders>
          </w:tcPr>
          <w:p>
            <w:pPr>
              <w:spacing w:after="0"/>
              <w:rPr>
                <w:sz w:val="17"/>
                <w:szCs w:val="17"/>
                <w:color w:val="auto"/>
              </w:rPr>
            </w:pPr>
          </w:p>
        </w:tc>
        <w:tc>
          <w:tcPr>
            <w:tcW w:w="656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7720" w:type="dxa"/>
            <w:vAlign w:val="bottom"/>
            <w:gridSpan w:val="5"/>
          </w:tcPr>
          <w:p>
            <w:pPr>
              <w:spacing w:after="0"/>
              <w:rPr>
                <w:rFonts w:ascii="Arial" w:cs="Arial" w:eastAsia="Arial" w:hAnsi="Arial"/>
                <w:sz w:val="18"/>
                <w:szCs w:val="18"/>
                <w:u w:val="single" w:color="auto"/>
                <w:color w:val="0000EE"/>
                <w:w w:val="91"/>
              </w:rPr>
            </w:pPr>
            <w:hyperlink w:anchor="page4">
              <w:r>
                <w:rPr>
                  <w:rFonts w:ascii="Arial" w:cs="Arial" w:eastAsia="Arial" w:hAnsi="Arial"/>
                  <w:sz w:val="18"/>
                  <w:szCs w:val="18"/>
                  <w:u w:val="single" w:color="auto"/>
                  <w:color w:val="0000EE"/>
                  <w:w w:val="91"/>
                </w:rPr>
                <w:t>Consolidated Statements of Operations for the three months ended March 31, 2020 and 2019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0"/>
        </w:trPr>
        <w:tc>
          <w:tcPr>
            <w:tcW w:w="780" w:type="dxa"/>
            <w:vAlign w:val="bottom"/>
          </w:tcPr>
          <w:p>
            <w:pPr>
              <w:spacing w:after="0"/>
              <w:rPr>
                <w:sz w:val="16"/>
                <w:szCs w:val="16"/>
                <w:color w:val="auto"/>
              </w:rPr>
            </w:pPr>
          </w:p>
        </w:tc>
        <w:tc>
          <w:tcPr>
            <w:tcW w:w="7720" w:type="dxa"/>
            <w:vAlign w:val="bottom"/>
            <w:gridSpan w:val="5"/>
          </w:tcPr>
          <w:p>
            <w:pPr>
              <w:spacing w:after="0" w:line="190" w:lineRule="exact"/>
              <w:rPr>
                <w:rFonts w:ascii="Arial" w:cs="Arial" w:eastAsia="Arial" w:hAnsi="Arial"/>
                <w:sz w:val="18"/>
                <w:szCs w:val="18"/>
                <w:color w:val="0000EE"/>
                <w:w w:val="91"/>
              </w:rPr>
            </w:pPr>
            <w:hyperlink w:anchor="page5">
              <w:r>
                <w:rPr>
                  <w:rFonts w:ascii="Arial" w:cs="Arial" w:eastAsia="Arial" w:hAnsi="Arial"/>
                  <w:sz w:val="18"/>
                  <w:szCs w:val="18"/>
                  <w:color w:val="0000EE"/>
                  <w:w w:val="91"/>
                </w:rPr>
                <w:t>Consolidated Statements of Changes in Net Assets for the three months ended March 31, 2020 and 2019</w:t>
              </w:r>
            </w:hyperlink>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80" w:type="dxa"/>
            <w:vAlign w:val="bottom"/>
          </w:tcPr>
          <w:p>
            <w:pPr>
              <w:spacing w:after="0"/>
              <w:rPr>
                <w:sz w:val="17"/>
                <w:szCs w:val="17"/>
                <w:color w:val="auto"/>
              </w:rPr>
            </w:pPr>
          </w:p>
        </w:tc>
        <w:tc>
          <w:tcPr>
            <w:tcW w:w="8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w:t>
              </w:r>
            </w:hyperlink>
          </w:p>
        </w:tc>
        <w:tc>
          <w:tcPr>
            <w:tcW w:w="6680" w:type="dxa"/>
            <w:vAlign w:val="bottom"/>
            <w:tcBorders>
              <w:top w:val="single" w:sz="8" w:color="0000EE"/>
            </w:tcBorders>
            <w:gridSpan w:val="2"/>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2"/>
        </w:trPr>
        <w:tc>
          <w:tcPr>
            <w:tcW w:w="780" w:type="dxa"/>
            <w:vAlign w:val="bottom"/>
          </w:tcPr>
          <w:p>
            <w:pPr>
              <w:spacing w:after="0"/>
              <w:rPr>
                <w:sz w:val="19"/>
                <w:szCs w:val="19"/>
                <w:color w:val="auto"/>
              </w:rPr>
            </w:pPr>
          </w:p>
        </w:tc>
        <w:tc>
          <w:tcPr>
            <w:tcW w:w="7720" w:type="dxa"/>
            <w:vAlign w:val="bottom"/>
            <w:gridSpan w:val="5"/>
          </w:tcPr>
          <w:p>
            <w:pPr>
              <w:spacing w:after="0"/>
              <w:rPr>
                <w:rFonts w:ascii="Arial" w:cs="Arial" w:eastAsia="Arial" w:hAnsi="Arial"/>
                <w:sz w:val="18"/>
                <w:szCs w:val="18"/>
                <w:u w:val="single" w:color="auto"/>
                <w:color w:val="0000EE"/>
                <w:w w:val="90"/>
              </w:rPr>
            </w:pPr>
            <w:hyperlink w:anchor="page6">
              <w:r>
                <w:rPr>
                  <w:rFonts w:ascii="Arial" w:cs="Arial" w:eastAsia="Arial" w:hAnsi="Arial"/>
                  <w:sz w:val="18"/>
                  <w:szCs w:val="18"/>
                  <w:u w:val="single" w:color="auto"/>
                  <w:color w:val="0000EE"/>
                  <w:w w:val="90"/>
                </w:rPr>
                <w:t>Consolidated Statements of Cash Flows for the three months ended March 31, 2020 and 2019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720" w:type="dxa"/>
            <w:vAlign w:val="bottom"/>
            <w:gridSpan w:val="5"/>
          </w:tcPr>
          <w:p>
            <w:pPr>
              <w:spacing w:after="0"/>
              <w:rPr>
                <w:rFonts w:ascii="Arial" w:cs="Arial" w:eastAsia="Arial" w:hAnsi="Arial"/>
                <w:sz w:val="18"/>
                <w:szCs w:val="18"/>
                <w:u w:val="single" w:color="auto"/>
                <w:color w:val="0000EE"/>
                <w:w w:val="98"/>
              </w:rPr>
            </w:pPr>
            <w:hyperlink w:anchor="page7">
              <w:r>
                <w:rPr>
                  <w:rFonts w:ascii="Arial" w:cs="Arial" w:eastAsia="Arial" w:hAnsi="Arial"/>
                  <w:sz w:val="18"/>
                  <w:szCs w:val="18"/>
                  <w:u w:val="single" w:color="auto"/>
                  <w:color w:val="0000EE"/>
                  <w:w w:val="98"/>
                </w:rPr>
                <w:t>Consolidated Schedules of Investments as of March 31, 2020 (unaudited) and December 31, 2019</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780" w:type="dxa"/>
            <w:vAlign w:val="bottom"/>
          </w:tcPr>
          <w:p>
            <w:pPr>
              <w:spacing w:after="0"/>
              <w:rPr>
                <w:sz w:val="18"/>
                <w:szCs w:val="18"/>
                <w:color w:val="auto"/>
              </w:rPr>
            </w:pPr>
          </w:p>
        </w:tc>
        <w:tc>
          <w:tcPr>
            <w:tcW w:w="7720" w:type="dxa"/>
            <w:vAlign w:val="bottom"/>
            <w:gridSpan w:val="5"/>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Notes to the Consolidated Financial Statements (unaudited)</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Item 2.</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Management’s Discussion and Analysis of Financial Condition and Results of Operations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Item 3.</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Quantitative and Qualitative Disclosures About Market Risk</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2"/>
        </w:trPr>
        <w:tc>
          <w:tcPr>
            <w:tcW w:w="78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Item 4.</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Controls and Procedures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0"/>
        </w:trPr>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80" w:type="dxa"/>
            <w:vAlign w:val="bottom"/>
            <w:gridSpan w:val="3"/>
          </w:tcPr>
          <w:p>
            <w:pPr>
              <w:jc w:val="center"/>
              <w:ind w:right="820"/>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PART II</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1.</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Legal Proceedings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Item 1A.</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Risk Factors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2.</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Unregistered Sales of Equity Securities and Use of Proceeds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3.</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Defaults Upon Senior Securities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4.</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Mine Safety Disclosures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5.</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Other Information</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78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6.</w:t>
              </w:r>
            </w:hyperlink>
          </w:p>
        </w:tc>
        <w:tc>
          <w:tcPr>
            <w:tcW w:w="7720" w:type="dxa"/>
            <w:vAlign w:val="bottom"/>
            <w:gridSpan w:val="5"/>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Exhibits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780" w:type="dxa"/>
            <w:vAlign w:val="bottom"/>
            <w:vMerge w:val="restart"/>
          </w:tcPr>
          <w:p>
            <w:pPr>
              <w:spacing w:after="0"/>
              <w:rPr>
                <w:sz w:val="20"/>
                <w:szCs w:val="20"/>
                <w:color w:val="auto"/>
              </w:rPr>
            </w:pPr>
            <w:r>
              <w:rPr>
                <w:rFonts w:ascii="Arial" w:cs="Arial" w:eastAsia="Arial" w:hAnsi="Arial"/>
                <w:sz w:val="18"/>
                <w:szCs w:val="18"/>
                <w:color w:val="auto"/>
              </w:rPr>
              <w:t>EX-31.1</w:t>
            </w:r>
          </w:p>
        </w:tc>
        <w:tc>
          <w:tcPr>
            <w:tcW w:w="7720" w:type="dxa"/>
            <w:vAlign w:val="bottom"/>
            <w:gridSpan w:val="5"/>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Signatures</w:t>
              </w:r>
            </w:hyperlink>
          </w:p>
        </w:tc>
        <w:tc>
          <w:tcPr>
            <w:tcW w:w="3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7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color w:val="auto"/>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68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8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Assets</w:t>
            </w: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jc w:val="center"/>
              <w:ind w:right="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Non-affiliate investments at fair value (cost of $318,327 and $295,256, respectively)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309,587</w:t>
            </w:r>
          </w:p>
        </w:tc>
        <w:tc>
          <w:tcPr>
            <w:tcW w:w="20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294,304</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5"/>
              </w:rPr>
              <w:t>Non-controlled affiliate investments at fair value (cost of $6,814 and $6,891, respectively)</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 5)</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8,597</w:t>
            </w:r>
          </w:p>
        </w:tc>
        <w:tc>
          <w:tcPr>
            <w:tcW w:w="0" w:type="dxa"/>
            <w:vAlign w:val="bottom"/>
          </w:tcPr>
          <w:p>
            <w:pPr>
              <w:spacing w:after="0"/>
              <w:rPr>
                <w:sz w:val="1"/>
                <w:szCs w:val="1"/>
                <w:color w:val="auto"/>
              </w:rPr>
            </w:pPr>
          </w:p>
        </w:tc>
      </w:tr>
      <w:tr>
        <w:trPr>
          <w:trHeight w:val="202"/>
        </w:trPr>
        <w:tc>
          <w:tcPr>
            <w:tcW w:w="6820" w:type="dxa"/>
            <w:vAlign w:val="bottom"/>
          </w:tcPr>
          <w:p>
            <w:pPr>
              <w:ind w:left="20"/>
              <w:spacing w:after="0" w:line="201" w:lineRule="exact"/>
              <w:rPr>
                <w:sz w:val="20"/>
                <w:szCs w:val="20"/>
                <w:color w:val="auto"/>
              </w:rPr>
            </w:pPr>
            <w:r>
              <w:rPr>
                <w:rFonts w:ascii="Arial" w:cs="Arial" w:eastAsia="Arial" w:hAnsi="Arial"/>
                <w:sz w:val="18"/>
                <w:szCs w:val="18"/>
                <w:color w:val="auto"/>
                <w:w w:val="97"/>
              </w:rPr>
              <w:t>Controlled affiliate investments at fair value (cost of $17,127 and $16,684, respectively)</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(Note 5)</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16,944</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16,650</w:t>
            </w:r>
          </w:p>
        </w:tc>
        <w:tc>
          <w:tcPr>
            <w:tcW w:w="0" w:type="dxa"/>
            <w:vAlign w:val="bottom"/>
          </w:tcPr>
          <w:p>
            <w:pPr>
              <w:spacing w:after="0"/>
              <w:rPr>
                <w:sz w:val="1"/>
                <w:szCs w:val="1"/>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4"/>
              </w:rPr>
              <w:t>Total investments at fair value (cost of $342,268 and $318,831, respectively) (Note 4)</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334,506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319,551</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Cash</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37,989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6,465</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money market funds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Restricted investments in money market funds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1,133</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receivable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09"/>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382,280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344,001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Borrowings (Note 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180,180</w:t>
            </w:r>
          </w:p>
        </w:tc>
        <w:tc>
          <w:tcPr>
            <w:tcW w:w="200" w:type="dxa"/>
            <w:vAlign w:val="bottom"/>
          </w:tcPr>
          <w:p>
            <w:pPr>
              <w:spacing w:after="0"/>
              <w:rPr>
                <w:sz w:val="18"/>
                <w:szCs w:val="18"/>
                <w:color w:val="auto"/>
              </w:rPr>
            </w:pPr>
          </w:p>
        </w:tc>
        <w:tc>
          <w:tcPr>
            <w:tcW w:w="200" w:type="dxa"/>
            <w:vAlign w:val="bottom"/>
          </w:tcPr>
          <w:p>
            <w:pPr>
              <w:jc w:val="right"/>
              <w:ind w:right="13"/>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152,050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payable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Base management fee payable (Note 3)</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Incentive fee payable (Note 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accrued expenses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1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188,823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159,946</w:t>
            </w:r>
          </w:p>
        </w:tc>
        <w:tc>
          <w:tcPr>
            <w:tcW w:w="0" w:type="dxa"/>
            <w:vAlign w:val="bottom"/>
          </w:tcPr>
          <w:p>
            <w:pPr>
              <w:spacing w:after="0"/>
              <w:rPr>
                <w:sz w:val="1"/>
                <w:szCs w:val="1"/>
                <w:color w:val="auto"/>
              </w:rPr>
            </w:pPr>
          </w:p>
        </w:tc>
      </w:tr>
      <w:tr>
        <w:trPr>
          <w:trHeight w:val="210"/>
        </w:trPr>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8)</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820" w:type="dxa"/>
            <w:vAlign w:val="bottom"/>
          </w:tcPr>
          <w:p>
            <w:pPr>
              <w:ind w:left="20"/>
              <w:spacing w:after="0" w:line="201" w:lineRule="exact"/>
              <w:rPr>
                <w:sz w:val="20"/>
                <w:szCs w:val="20"/>
                <w:color w:val="auto"/>
              </w:rPr>
            </w:pPr>
            <w:r>
              <w:rPr>
                <w:rFonts w:ascii="Arial" w:cs="Arial" w:eastAsia="Arial" w:hAnsi="Arial"/>
                <w:sz w:val="18"/>
                <w:szCs w:val="18"/>
                <w:color w:val="auto"/>
                <w:w w:val="90"/>
              </w:rPr>
              <w:t>Preferred stock, par value $0.001 per share, 1,000,000 shares authorized, zero shares issued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tcPr>
          <w:p>
            <w:pPr>
              <w:ind w:left="20"/>
              <w:spacing w:after="0"/>
              <w:rPr>
                <w:sz w:val="20"/>
                <w:szCs w:val="20"/>
                <w:color w:val="auto"/>
              </w:rPr>
            </w:pPr>
            <w:r>
              <w:rPr>
                <w:rFonts w:ascii="Arial" w:cs="Arial" w:eastAsia="Arial" w:hAnsi="Arial"/>
                <w:sz w:val="18"/>
                <w:szCs w:val="18"/>
                <w:color w:val="auto"/>
              </w:rPr>
              <w:t>and outstanding as of March 31, 2020 and December 31, 2019</w:t>
            </w: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82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1"/>
              </w:rPr>
              <w:t>Common stock, par value $0.001 per share, 100,000,000 shares authorized, 17,020,075 and</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15,730,755 shares issued and 16,852,610 and 15,563,290 shares outstanding as of March</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 2020 and December 31, 2019, respectively</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820" w:type="dxa"/>
            <w:vAlign w:val="bottom"/>
          </w:tcPr>
          <w:p>
            <w:pPr>
              <w:ind w:left="20"/>
              <w:spacing w:after="0"/>
              <w:rPr>
                <w:sz w:val="20"/>
                <w:szCs w:val="20"/>
                <w:color w:val="auto"/>
              </w:rPr>
            </w:pPr>
            <w:r>
              <w:rPr>
                <w:rFonts w:ascii="Arial" w:cs="Arial" w:eastAsia="Arial" w:hAnsi="Arial"/>
                <w:sz w:val="18"/>
                <w:szCs w:val="18"/>
                <w:color w:val="auto"/>
              </w:rPr>
              <w:t>Paid-in capital in excess of par</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242,886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226,660</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Distributable earnings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(49,446)</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(42,621)</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net assets</w:t>
            </w: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193,457</w:t>
            </w:r>
          </w:p>
        </w:tc>
        <w:tc>
          <w:tcPr>
            <w:tcW w:w="2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184,055</w:t>
            </w:r>
          </w:p>
        </w:tc>
        <w:tc>
          <w:tcPr>
            <w:tcW w:w="0" w:type="dxa"/>
            <w:vAlign w:val="bottom"/>
          </w:tcPr>
          <w:p>
            <w:pPr>
              <w:spacing w:after="0"/>
              <w:rPr>
                <w:sz w:val="1"/>
                <w:szCs w:val="1"/>
                <w:color w:val="auto"/>
              </w:rPr>
            </w:pPr>
          </w:p>
        </w:tc>
      </w:tr>
      <w:tr>
        <w:trPr>
          <w:trHeight w:val="21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net assets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382,280</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344,001</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Net asset value per common share</w:t>
            </w: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11.48</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3"/>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11.83</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data)</w:t>
      </w:r>
    </w:p>
    <w:p>
      <w:pPr>
        <w:spacing w:after="0" w:line="216"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For the Three Months Ended</w:t>
      </w:r>
    </w:p>
    <w:p>
      <w:pPr>
        <w:jc w:val="center"/>
        <w:ind w:left="600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62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Investment income</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Interest income on investments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Interest income on non-affiliate investments</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9,394</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7,434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Interest income on affiliate investments</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223</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interest income on investments</w:t>
            </w: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9,576</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7,657</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Fee income</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Fee income on non-affiliate investments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Fee income on affiliate investments</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fee income</w:t>
            </w: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Dividend income</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Dividend income on controlled affiliate investments</w:t>
            </w: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430</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Total dividend income</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430</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investment income</w:t>
            </w: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10,114</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8,306</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Pr>
          <w:p>
            <w:pPr>
              <w:ind w:left="20"/>
              <w:spacing w:after="0" w:line="142" w:lineRule="exact"/>
              <w:rPr>
                <w:sz w:val="20"/>
                <w:szCs w:val="20"/>
                <w:color w:val="auto"/>
              </w:rPr>
            </w:pPr>
            <w:r>
              <w:rPr>
                <w:rFonts w:ascii="Arial" w:cs="Arial" w:eastAsia="Arial" w:hAnsi="Arial"/>
                <w:sz w:val="14"/>
                <w:szCs w:val="14"/>
                <w:b w:val="1"/>
                <w:bCs w:val="1"/>
                <w:color w:val="auto"/>
              </w:rPr>
              <w:t>Expenses</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2,162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2,048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Pr>
          <w:p>
            <w:pPr>
              <w:ind w:left="20"/>
              <w:spacing w:after="0" w:line="149" w:lineRule="exact"/>
              <w:rPr>
                <w:sz w:val="20"/>
                <w:szCs w:val="20"/>
                <w:color w:val="auto"/>
              </w:rPr>
            </w:pPr>
            <w:r>
              <w:rPr>
                <w:rFonts w:ascii="Arial" w:cs="Arial" w:eastAsia="Arial" w:hAnsi="Arial"/>
                <w:sz w:val="14"/>
                <w:szCs w:val="14"/>
                <w:color w:val="auto"/>
              </w:rPr>
              <w:t>Base management fee (Note 3)</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1,582</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1,297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Performance based incentive fee (Note 3)</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1,071</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Pr>
          <w:p>
            <w:pPr>
              <w:ind w:left="20"/>
              <w:spacing w:after="0" w:line="149" w:lineRule="exact"/>
              <w:rPr>
                <w:sz w:val="20"/>
                <w:szCs w:val="20"/>
                <w:color w:val="auto"/>
              </w:rPr>
            </w:pPr>
            <w:r>
              <w:rPr>
                <w:rFonts w:ascii="Arial" w:cs="Arial" w:eastAsia="Arial" w:hAnsi="Arial"/>
                <w:sz w:val="14"/>
                <w:szCs w:val="14"/>
                <w:color w:val="auto"/>
              </w:rPr>
              <w:t>Administrative fee (Note 3)</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Professional fees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General and administrative</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262</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218</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Total expenses</w:t>
            </w: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5,832</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6,213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Performance based incentive fee waived (Note 3)</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(1,140)</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expenses</w:t>
            </w: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5,832</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5,073</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investment income</w:t>
            </w: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4,282</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3,233</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realized and unrealized loss on investments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20" w:type="dxa"/>
            <w:vAlign w:val="bottom"/>
          </w:tcPr>
          <w:p>
            <w:pPr>
              <w:ind w:left="20"/>
              <w:spacing w:after="0" w:line="149" w:lineRule="exact"/>
              <w:rPr>
                <w:sz w:val="20"/>
                <w:szCs w:val="20"/>
                <w:color w:val="auto"/>
              </w:rPr>
            </w:pPr>
            <w:r>
              <w:rPr>
                <w:rFonts w:ascii="Arial" w:cs="Arial" w:eastAsia="Arial" w:hAnsi="Arial"/>
                <w:sz w:val="14"/>
                <w:szCs w:val="14"/>
                <w:color w:val="auto"/>
              </w:rPr>
              <w:t>Net realized gain on non-affiliate investments</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3,479</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1,151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realized gain on controlled affiliate investments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62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realized gain on investments</w:t>
            </w: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3,492</w:t>
            </w:r>
          </w:p>
        </w:tc>
        <w:tc>
          <w:tcPr>
            <w:tcW w:w="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Net unrealized depreciation on non-affiliate investments</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(7,790)</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(1,515)</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tcPr>
          <w:p>
            <w:pPr>
              <w:ind w:left="20"/>
              <w:spacing w:after="0" w:line="149" w:lineRule="exact"/>
              <w:rPr>
                <w:sz w:val="20"/>
                <w:szCs w:val="20"/>
                <w:color w:val="auto"/>
              </w:rPr>
            </w:pPr>
            <w:r>
              <w:rPr>
                <w:rFonts w:ascii="Arial" w:cs="Arial" w:eastAsia="Arial" w:hAnsi="Arial"/>
                <w:sz w:val="14"/>
                <w:szCs w:val="14"/>
                <w:color w:val="auto"/>
              </w:rPr>
              <w:t>Net unrealized (depreciation) appreciation on non-controlled affiliate investments</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(543)</w:t>
            </w:r>
          </w:p>
        </w:tc>
        <w:tc>
          <w:tcPr>
            <w:tcW w:w="2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unrealized (depreciation) appreciation on controlled affiliate investments</w:t>
            </w: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(149)</w:t>
            </w:r>
          </w:p>
        </w:tc>
        <w:tc>
          <w:tcPr>
            <w:tcW w:w="2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unrealized depreciation on investments</w:t>
            </w: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(8,482)</w:t>
            </w:r>
          </w:p>
        </w:tc>
        <w:tc>
          <w:tcPr>
            <w:tcW w:w="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(1,359)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2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Net realized and unrealized loss on investments</w:t>
            </w: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(4,990)</w:t>
            </w:r>
          </w:p>
        </w:tc>
        <w:tc>
          <w:tcPr>
            <w:tcW w:w="2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(208)</w:t>
            </w: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(decrease) increase in net assets resulting from operations</w:t>
            </w:r>
          </w:p>
        </w:tc>
        <w:tc>
          <w:tcPr>
            <w:tcW w:w="2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(708)</w:t>
            </w: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3,025</w:t>
            </w:r>
          </w:p>
        </w:tc>
        <w:tc>
          <w:tcPr>
            <w:tcW w:w="1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2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Net investment income per common share</w:t>
            </w:r>
          </w:p>
        </w:tc>
        <w:tc>
          <w:tcPr>
            <w:tcW w:w="260" w:type="dxa"/>
            <w:vAlign w:val="bottom"/>
            <w:tcBorders>
              <w:bottom w:val="single" w:sz="8" w:color="auto"/>
            </w:tcBorders>
            <w:shd w:val="clear" w:color="auto" w:fill="CCEEFF"/>
          </w:tcPr>
          <w:p>
            <w:pPr>
              <w:jc w:val="right"/>
              <w:ind w:right="108"/>
              <w:spacing w:after="0" w:line="12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0.26</w:t>
            </w:r>
          </w:p>
        </w:tc>
        <w:tc>
          <w:tcPr>
            <w:tcW w:w="2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0.28</w:t>
            </w: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20"/>
              <w:spacing w:after="0"/>
              <w:rPr>
                <w:sz w:val="20"/>
                <w:szCs w:val="20"/>
                <w:color w:val="auto"/>
              </w:rPr>
            </w:pPr>
            <w:r>
              <w:rPr>
                <w:rFonts w:ascii="Arial" w:cs="Arial" w:eastAsia="Arial" w:hAnsi="Arial"/>
                <w:sz w:val="14"/>
                <w:szCs w:val="14"/>
                <w:color w:val="auto"/>
              </w:rPr>
              <w:t>Net (decrease) increase in net assets per common share</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2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jc w:val="right"/>
              <w:ind w:right="108"/>
              <w:spacing w:after="0" w:line="12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(0.04)</w:t>
            </w:r>
          </w:p>
        </w:tc>
        <w:tc>
          <w:tcPr>
            <w:tcW w:w="240" w:type="dxa"/>
            <w:vAlign w:val="bottom"/>
            <w:tcBorders>
              <w:bottom w:val="single" w:sz="8" w:color="CCEEFF"/>
            </w:tcBorders>
            <w:vMerge w:val="continue"/>
          </w:tcPr>
          <w:p>
            <w:pPr>
              <w:spacing w:after="0"/>
              <w:rPr>
                <w:sz w:val="14"/>
                <w:szCs w:val="14"/>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0.26</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2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4"/>
                <w:szCs w:val="14"/>
                <w:color w:val="auto"/>
              </w:rPr>
              <w:t>Distributions declared per share</w:t>
            </w:r>
          </w:p>
        </w:tc>
        <w:tc>
          <w:tcPr>
            <w:tcW w:w="260" w:type="dxa"/>
            <w:vAlign w:val="bottom"/>
            <w:tcBorders>
              <w:bottom w:val="single" w:sz="8" w:color="auto"/>
            </w:tcBorders>
            <w:shd w:val="clear" w:color="auto" w:fill="CCEEFF"/>
          </w:tcPr>
          <w:p>
            <w:pPr>
              <w:jc w:val="right"/>
              <w:ind w:right="108"/>
              <w:spacing w:after="0" w:line="129"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0.35</w:t>
            </w:r>
          </w:p>
        </w:tc>
        <w:tc>
          <w:tcPr>
            <w:tcW w:w="24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0.30</w:t>
            </w:r>
          </w:p>
        </w:tc>
        <w:tc>
          <w:tcPr>
            <w:tcW w:w="14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ind w:left="20"/>
              <w:spacing w:after="0"/>
              <w:rPr>
                <w:sz w:val="20"/>
                <w:szCs w:val="20"/>
                <w:color w:val="auto"/>
              </w:rPr>
            </w:pPr>
            <w:r>
              <w:rPr>
                <w:rFonts w:ascii="Arial" w:cs="Arial" w:eastAsia="Arial" w:hAnsi="Arial"/>
                <w:sz w:val="14"/>
                <w:szCs w:val="14"/>
                <w:color w:val="auto"/>
              </w:rPr>
              <w:t>Weighted average shares outstanding</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220" w:type="dxa"/>
            <w:vAlign w:val="bottom"/>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16,716,488</w:t>
            </w:r>
          </w:p>
        </w:tc>
        <w:tc>
          <w:tcPr>
            <w:tcW w:w="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11,670,196</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Changes in Net Assets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data)</w:t>
      </w:r>
    </w:p>
    <w:p>
      <w:pPr>
        <w:spacing w:after="0" w:line="200" w:lineRule="exact"/>
        <w:rPr>
          <w:sz w:val="20"/>
          <w:szCs w:val="20"/>
          <w:color w:val="auto"/>
        </w:rPr>
      </w:pP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1760" w:type="dxa"/>
            <w:vAlign w:val="bottom"/>
            <w:gridSpan w:val="5"/>
            <w:vMerge w:val="restart"/>
          </w:tcPr>
          <w:p>
            <w:pPr>
              <w:ind w:left="340"/>
              <w:spacing w:after="0"/>
              <w:rPr>
                <w:sz w:val="20"/>
                <w:szCs w:val="20"/>
                <w:color w:val="auto"/>
              </w:rPr>
            </w:pPr>
            <w:r>
              <w:rPr>
                <w:rFonts w:ascii="Arial" w:cs="Arial" w:eastAsia="Arial" w:hAnsi="Arial"/>
                <w:sz w:val="14"/>
                <w:szCs w:val="14"/>
                <w:b w:val="1"/>
                <w:bCs w:val="1"/>
                <w:color w:val="auto"/>
              </w:rPr>
              <w:t>Common Stock</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Paid-In Capital</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Distributable</w:t>
            </w:r>
          </w:p>
        </w:tc>
        <w:tc>
          <w:tcPr>
            <w:tcW w:w="80" w:type="dxa"/>
            <w:vAlign w:val="bottom"/>
          </w:tcPr>
          <w:p>
            <w:pPr>
              <w:spacing w:after="0"/>
              <w:rPr>
                <w:sz w:val="14"/>
                <w:szCs w:val="14"/>
                <w:color w:val="auto"/>
              </w:rPr>
            </w:pPr>
          </w:p>
        </w:tc>
        <w:tc>
          <w:tcPr>
            <w:tcW w:w="6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3"/>
              </w:rPr>
              <w:t>Total Net</w:t>
            </w:r>
          </w:p>
        </w:tc>
        <w:tc>
          <w:tcPr>
            <w:tcW w:w="0" w:type="dxa"/>
            <w:vAlign w:val="bottom"/>
          </w:tcPr>
          <w:p>
            <w:pPr>
              <w:spacing w:after="0"/>
              <w:rPr>
                <w:sz w:val="1"/>
                <w:szCs w:val="1"/>
                <w:color w:val="auto"/>
              </w:rPr>
            </w:pPr>
          </w:p>
        </w:tc>
      </w:tr>
      <w:tr>
        <w:trPr>
          <w:trHeight w:val="171"/>
        </w:trPr>
        <w:tc>
          <w:tcPr>
            <w:tcW w:w="4320" w:type="dxa"/>
            <w:vAlign w:val="bottom"/>
          </w:tcPr>
          <w:p>
            <w:pPr>
              <w:spacing w:after="0"/>
              <w:rPr>
                <w:sz w:val="14"/>
                <w:szCs w:val="14"/>
                <w:color w:val="auto"/>
              </w:rPr>
            </w:pPr>
          </w:p>
        </w:tc>
        <w:tc>
          <w:tcPr>
            <w:tcW w:w="176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in Excess of</w:t>
            </w:r>
          </w:p>
        </w:tc>
        <w:tc>
          <w:tcPr>
            <w:tcW w:w="9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88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rPr>
              <w:t>Shares</w:t>
            </w: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97"/>
              </w:rPr>
              <w:t>Par</w:t>
            </w:r>
          </w:p>
        </w:tc>
        <w:tc>
          <w:tcPr>
            <w:tcW w:w="100" w:type="dxa"/>
            <w:vAlign w:val="bottom"/>
          </w:tcPr>
          <w:p>
            <w:pPr>
              <w:spacing w:after="0"/>
              <w:rPr>
                <w:sz w:val="12"/>
                <w:szCs w:val="12"/>
                <w:color w:val="auto"/>
              </w:rPr>
            </w:pPr>
          </w:p>
        </w:tc>
        <w:tc>
          <w:tcPr>
            <w:tcW w:w="8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at December 31, 2018</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11,535,129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179,616</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(45,371)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134,257</w:t>
            </w:r>
          </w:p>
        </w:tc>
        <w:tc>
          <w:tcPr>
            <w:tcW w:w="0" w:type="dxa"/>
            <w:vAlign w:val="bottom"/>
          </w:tcPr>
          <w:p>
            <w:pPr>
              <w:spacing w:after="0"/>
              <w:rPr>
                <w:sz w:val="1"/>
                <w:szCs w:val="1"/>
                <w:color w:val="auto"/>
              </w:rPr>
            </w:pPr>
          </w:p>
        </w:tc>
      </w:tr>
      <w:tr>
        <w:trPr>
          <w:trHeight w:val="149"/>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net of offering costs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2,000,000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23,160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23,162</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9"/>
              </w:rPr>
              <w:t>Net increase in net assets resulting from operations, net of excise tax:</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560"/>
              <w:spacing w:after="0" w:line="149" w:lineRule="exact"/>
              <w:rPr>
                <w:sz w:val="20"/>
                <w:szCs w:val="20"/>
                <w:color w:val="auto"/>
              </w:rPr>
            </w:pPr>
            <w:r>
              <w:rPr>
                <w:rFonts w:ascii="Arial" w:cs="Arial" w:eastAsia="Arial" w:hAnsi="Arial"/>
                <w:sz w:val="14"/>
                <w:szCs w:val="14"/>
                <w:color w:val="auto"/>
              </w:rPr>
              <w:t>Net investment income, net of excise tax</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3,233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3,233</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Net realized gain on investments</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1,151</w:t>
            </w:r>
          </w:p>
        </w:tc>
        <w:tc>
          <w:tcPr>
            <w:tcW w:w="0" w:type="dxa"/>
            <w:vAlign w:val="bottom"/>
          </w:tcPr>
          <w:p>
            <w:pPr>
              <w:spacing w:after="0"/>
              <w:rPr>
                <w:sz w:val="1"/>
                <w:szCs w:val="1"/>
                <w:color w:val="auto"/>
              </w:rPr>
            </w:pPr>
          </w:p>
        </w:tc>
      </w:tr>
      <w:tr>
        <w:trPr>
          <w:trHeight w:val="148"/>
        </w:trPr>
        <w:tc>
          <w:tcPr>
            <w:tcW w:w="4320" w:type="dxa"/>
            <w:vAlign w:val="bottom"/>
          </w:tcPr>
          <w:p>
            <w:pPr>
              <w:ind w:left="560"/>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(1,359)</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(1,359)</w:t>
            </w: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under dividend reinvestment plan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Distributions declared</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(4,062)</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(4,062)</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at March 31, 2019</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13,538,481</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202,818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(46,408)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156,424</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Balance at December 31, 2019</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15,563,290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226,660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(42,621)</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184,055</w:t>
            </w: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net of offering costs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1,285,410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16,176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16,177</w:t>
            </w:r>
          </w:p>
        </w:tc>
        <w:tc>
          <w:tcPr>
            <w:tcW w:w="0" w:type="dxa"/>
            <w:vAlign w:val="bottom"/>
          </w:tcPr>
          <w:p>
            <w:pPr>
              <w:spacing w:after="0"/>
              <w:rPr>
                <w:sz w:val="1"/>
                <w:szCs w:val="1"/>
                <w:color w:val="auto"/>
              </w:rPr>
            </w:pPr>
          </w:p>
        </w:tc>
      </w:tr>
      <w:tr>
        <w:trPr>
          <w:trHeight w:val="149"/>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w w:val="98"/>
              </w:rPr>
              <w:t>Net decrease in net assets resulting from operations, net of excise tax:</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20" w:type="dxa"/>
            <w:vAlign w:val="bottom"/>
          </w:tcPr>
          <w:p>
            <w:pPr>
              <w:ind w:left="560"/>
              <w:spacing w:after="0" w:line="149" w:lineRule="exact"/>
              <w:rPr>
                <w:sz w:val="20"/>
                <w:szCs w:val="20"/>
                <w:color w:val="auto"/>
              </w:rPr>
            </w:pPr>
            <w:r>
              <w:rPr>
                <w:rFonts w:ascii="Arial" w:cs="Arial" w:eastAsia="Arial" w:hAnsi="Arial"/>
                <w:sz w:val="14"/>
                <w:szCs w:val="14"/>
                <w:color w:val="auto"/>
              </w:rPr>
              <w:t>Net investment income, net of excise tax</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4,282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4,282</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color w:val="auto"/>
              </w:rPr>
              <w:t>Net realized gain on investments</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3,492</w:t>
            </w:r>
          </w:p>
        </w:tc>
        <w:tc>
          <w:tcPr>
            <w:tcW w:w="0" w:type="dxa"/>
            <w:vAlign w:val="bottom"/>
          </w:tcPr>
          <w:p>
            <w:pPr>
              <w:spacing w:after="0"/>
              <w:rPr>
                <w:sz w:val="1"/>
                <w:szCs w:val="1"/>
                <w:color w:val="auto"/>
              </w:rPr>
            </w:pPr>
          </w:p>
        </w:tc>
      </w:tr>
      <w:tr>
        <w:trPr>
          <w:trHeight w:val="148"/>
        </w:trPr>
        <w:tc>
          <w:tcPr>
            <w:tcW w:w="4320" w:type="dxa"/>
            <w:vAlign w:val="bottom"/>
          </w:tcPr>
          <w:p>
            <w:pPr>
              <w:ind w:left="560"/>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(8,482)</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(8,482)</w:t>
            </w:r>
          </w:p>
        </w:tc>
        <w:tc>
          <w:tcPr>
            <w:tcW w:w="0" w:type="dxa"/>
            <w:vAlign w:val="bottom"/>
          </w:tcPr>
          <w:p>
            <w:pPr>
              <w:spacing w:after="0"/>
              <w:rPr>
                <w:sz w:val="1"/>
                <w:szCs w:val="1"/>
                <w:color w:val="auto"/>
              </w:rPr>
            </w:pPr>
          </w:p>
        </w:tc>
      </w:tr>
      <w:tr>
        <w:trPr>
          <w:trHeight w:val="148"/>
        </w:trPr>
        <w:tc>
          <w:tcPr>
            <w:tcW w:w="43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under dividend reinvestment plan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48"/>
        </w:trPr>
        <w:tc>
          <w:tcPr>
            <w:tcW w:w="4320" w:type="dxa"/>
            <w:vAlign w:val="bottom"/>
          </w:tcPr>
          <w:p>
            <w:pPr>
              <w:ind w:left="20"/>
              <w:spacing w:after="0" w:line="149" w:lineRule="exact"/>
              <w:rPr>
                <w:sz w:val="20"/>
                <w:szCs w:val="20"/>
                <w:color w:val="auto"/>
              </w:rPr>
            </w:pPr>
            <w:r>
              <w:rPr>
                <w:rFonts w:ascii="Arial" w:cs="Arial" w:eastAsia="Arial" w:hAnsi="Arial"/>
                <w:sz w:val="14"/>
                <w:szCs w:val="14"/>
                <w:color w:val="auto"/>
              </w:rPr>
              <w:t>Distributions declared</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(6,117)</w:t>
            </w: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(6,117)</w:t>
            </w:r>
          </w:p>
        </w:tc>
        <w:tc>
          <w:tcPr>
            <w:tcW w:w="0" w:type="dxa"/>
            <w:vAlign w:val="bottom"/>
          </w:tcPr>
          <w:p>
            <w:pPr>
              <w:spacing w:after="0"/>
              <w:rPr>
                <w:sz w:val="1"/>
                <w:szCs w:val="1"/>
                <w:color w:val="auto"/>
              </w:rPr>
            </w:pPr>
          </w:p>
        </w:tc>
      </w:tr>
      <w:tr>
        <w:trPr>
          <w:trHeight w:val="142"/>
        </w:trPr>
        <w:tc>
          <w:tcPr>
            <w:tcW w:w="43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at March 31, 2020</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16,852,610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242,886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(49,446)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193,457</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For the three months ended March 31,</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4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Arial" w:cs="Arial" w:eastAsia="Arial" w:hAnsi="Arial"/>
                <w:sz w:val="14"/>
                <w:szCs w:val="14"/>
                <w:color w:val="auto"/>
              </w:rPr>
              <w:t>Net (decrease) increase in net assets resulting from operations</w:t>
            </w:r>
          </w:p>
        </w:tc>
        <w:tc>
          <w:tcPr>
            <w:tcW w:w="160" w:type="dxa"/>
            <w:vAlign w:val="bottom"/>
          </w:tcPr>
          <w:p>
            <w:pPr>
              <w:jc w:val="right"/>
              <w:ind w:right="47"/>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(708)</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3,025</w:t>
            </w:r>
          </w:p>
        </w:tc>
        <w:tc>
          <w:tcPr>
            <w:tcW w:w="0" w:type="dxa"/>
            <w:vAlign w:val="bottom"/>
          </w:tcPr>
          <w:p>
            <w:pPr>
              <w:spacing w:after="0"/>
              <w:rPr>
                <w:sz w:val="1"/>
                <w:szCs w:val="1"/>
                <w:color w:val="auto"/>
              </w:rPr>
            </w:pPr>
          </w:p>
        </w:tc>
      </w:tr>
      <w:tr>
        <w:trPr>
          <w:trHeight w:val="130"/>
        </w:trPr>
        <w:tc>
          <w:tcPr>
            <w:tcW w:w="644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w w:val="96"/>
              </w:rPr>
              <w:t>Adjustments to reconcile net (decrease) increase in net assets resulting from operations to net cash used in</w:t>
            </w:r>
          </w:p>
        </w:tc>
        <w:tc>
          <w:tcPr>
            <w:tcW w:w="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activities:</w:t>
            </w: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Arial" w:cs="Arial" w:eastAsia="Arial" w:hAnsi="Arial"/>
                <w:sz w:val="14"/>
                <w:szCs w:val="14"/>
                <w:color w:val="auto"/>
              </w:rPr>
              <w:t>Amortization of debt issuance costs</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realized gain on investments</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(3,492)</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(1,151)</w:t>
            </w: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8,482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1,359</w:t>
            </w: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Purchase of investments</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(50,646)</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(38,082)</w:t>
            </w:r>
          </w:p>
        </w:tc>
        <w:tc>
          <w:tcPr>
            <w:tcW w:w="0" w:type="dxa"/>
            <w:vAlign w:val="bottom"/>
          </w:tcPr>
          <w:p>
            <w:pPr>
              <w:spacing w:after="0"/>
              <w:rPr>
                <w:sz w:val="1"/>
                <w:szCs w:val="1"/>
                <w:color w:val="auto"/>
              </w:rPr>
            </w:pPr>
          </w:p>
        </w:tc>
      </w:tr>
      <w:tr>
        <w:trPr>
          <w:trHeight w:val="149"/>
        </w:trPr>
        <w:tc>
          <w:tcPr>
            <w:tcW w:w="6440" w:type="dxa"/>
            <w:vAlign w:val="bottom"/>
          </w:tcPr>
          <w:p>
            <w:pPr>
              <w:ind w:left="20"/>
              <w:spacing w:after="0" w:line="149" w:lineRule="exact"/>
              <w:rPr>
                <w:sz w:val="20"/>
                <w:szCs w:val="20"/>
                <w:color w:val="auto"/>
              </w:rPr>
            </w:pPr>
            <w:r>
              <w:rPr>
                <w:rFonts w:ascii="Arial" w:cs="Arial" w:eastAsia="Arial" w:hAnsi="Arial"/>
                <w:sz w:val="14"/>
                <w:szCs w:val="14"/>
                <w:color w:val="auto"/>
              </w:rPr>
              <w:t>Principal payments received on investments</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25,934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18,613</w:t>
            </w: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sale of investments</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5,680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1,768</w:t>
            </w: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Arial" w:cs="Arial" w:eastAsia="Arial" w:hAnsi="Arial"/>
                <w:sz w:val="14"/>
                <w:szCs w:val="14"/>
                <w:color w:val="auto"/>
              </w:rPr>
              <w:t>Distributions from controlled affiliate investment</w:t>
            </w:r>
          </w:p>
        </w:tc>
        <w:tc>
          <w:tcPr>
            <w:tcW w:w="160" w:type="dxa"/>
            <w:vAlign w:val="bottom"/>
          </w:tcPr>
          <w:p>
            <w:pPr>
              <w:spacing w:after="0"/>
              <w:rPr>
                <w:sz w:val="12"/>
                <w:szCs w:val="12"/>
                <w:color w:val="auto"/>
              </w:rPr>
            </w:pP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233</w:t>
            </w: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Dividends from controlled affiliate investment</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(430)</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Arial" w:cs="Arial" w:eastAsia="Arial" w:hAnsi="Arial"/>
                <w:sz w:val="14"/>
                <w:szCs w:val="14"/>
                <w:color w:val="auto"/>
              </w:rPr>
              <w:t>Changes in assets and liabilities: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Increase in interest receivable</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(268)</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148"/>
        </w:trPr>
        <w:tc>
          <w:tcPr>
            <w:tcW w:w="6440" w:type="dxa"/>
            <w:vAlign w:val="bottom"/>
          </w:tcPr>
          <w:p>
            <w:pPr>
              <w:ind w:left="120"/>
              <w:spacing w:after="0" w:line="149" w:lineRule="exact"/>
              <w:rPr>
                <w:sz w:val="20"/>
                <w:szCs w:val="20"/>
                <w:color w:val="auto"/>
              </w:rPr>
            </w:pPr>
            <w:r>
              <w:rPr>
                <w:rFonts w:ascii="Arial" w:cs="Arial" w:eastAsia="Arial" w:hAnsi="Arial"/>
                <w:sz w:val="14"/>
                <w:szCs w:val="14"/>
                <w:color w:val="auto"/>
              </w:rPr>
              <w:t>Increase in end-of-term payments</w:t>
            </w:r>
          </w:p>
        </w:tc>
        <w:tc>
          <w:tcPr>
            <w:tcW w:w="16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(642)</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Decrease in unearned income</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(483)</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8"/>
        </w:trPr>
        <w:tc>
          <w:tcPr>
            <w:tcW w:w="6440" w:type="dxa"/>
            <w:vAlign w:val="bottom"/>
          </w:tcPr>
          <w:p>
            <w:pPr>
              <w:ind w:left="120"/>
              <w:spacing w:after="0" w:line="149" w:lineRule="exact"/>
              <w:rPr>
                <w:sz w:val="20"/>
                <w:szCs w:val="20"/>
                <w:color w:val="auto"/>
              </w:rPr>
            </w:pPr>
            <w:r>
              <w:rPr>
                <w:rFonts w:ascii="Arial" w:cs="Arial" w:eastAsia="Arial" w:hAnsi="Arial"/>
                <w:sz w:val="14"/>
                <w:szCs w:val="14"/>
                <w:color w:val="auto"/>
              </w:rPr>
              <w:t>Decrease in other assets</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Increase in other accrued expenses</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w:t>
            </w:r>
          </w:p>
        </w:tc>
        <w:tc>
          <w:tcPr>
            <w:tcW w:w="0" w:type="dxa"/>
            <w:vAlign w:val="bottom"/>
          </w:tcPr>
          <w:p>
            <w:pPr>
              <w:spacing w:after="0"/>
              <w:rPr>
                <w:sz w:val="1"/>
                <w:szCs w:val="1"/>
                <w:color w:val="auto"/>
              </w:rPr>
            </w:pPr>
          </w:p>
        </w:tc>
      </w:tr>
      <w:tr>
        <w:trPr>
          <w:trHeight w:val="149"/>
        </w:trPr>
        <w:tc>
          <w:tcPr>
            <w:tcW w:w="6440" w:type="dxa"/>
            <w:vAlign w:val="bottom"/>
          </w:tcPr>
          <w:p>
            <w:pPr>
              <w:ind w:left="120"/>
              <w:spacing w:after="0" w:line="149" w:lineRule="exact"/>
              <w:rPr>
                <w:sz w:val="20"/>
                <w:szCs w:val="20"/>
                <w:color w:val="auto"/>
              </w:rPr>
            </w:pPr>
            <w:r>
              <w:rPr>
                <w:rFonts w:ascii="Arial" w:cs="Arial" w:eastAsia="Arial" w:hAnsi="Arial"/>
                <w:sz w:val="14"/>
                <w:szCs w:val="14"/>
                <w:color w:val="auto"/>
              </w:rPr>
              <w:t>Increase in base management fee payable</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Decrease in incentive fee payable</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(542)</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Net cash used in operating activities</w:t>
            </w: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(16,713)</w:t>
            </w: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(15,171)</w:t>
            </w:r>
          </w:p>
        </w:tc>
        <w:tc>
          <w:tcPr>
            <w:tcW w:w="0" w:type="dxa"/>
            <w:vAlign w:val="bottom"/>
          </w:tcPr>
          <w:p>
            <w:pPr>
              <w:spacing w:after="0"/>
              <w:rPr>
                <w:sz w:val="1"/>
                <w:szCs w:val="1"/>
                <w:color w:val="auto"/>
              </w:rPr>
            </w:pPr>
          </w:p>
        </w:tc>
      </w:tr>
      <w:tr>
        <w:trPr>
          <w:trHeight w:val="142"/>
        </w:trPr>
        <w:tc>
          <w:tcPr>
            <w:tcW w:w="64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0"/>
              <w:spacing w:after="0" w:line="149" w:lineRule="exact"/>
              <w:rPr>
                <w:sz w:val="20"/>
                <w:szCs w:val="20"/>
                <w:color w:val="auto"/>
              </w:rPr>
            </w:pPr>
            <w:r>
              <w:rPr>
                <w:rFonts w:ascii="Arial" w:cs="Arial" w:eastAsia="Arial" w:hAnsi="Arial"/>
                <w:sz w:val="14"/>
                <w:szCs w:val="14"/>
                <w:color w:val="auto"/>
              </w:rPr>
              <w:t>Proceeds from issuance of common stock, net of offering costs</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16,177</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23,162</w:t>
            </w: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Advances on credit facility</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45,000</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Arial" w:cs="Arial" w:eastAsia="Arial" w:hAnsi="Arial"/>
                <w:sz w:val="14"/>
                <w:szCs w:val="14"/>
                <w:color w:val="auto"/>
              </w:rPr>
              <w:t>Repayment of credit facility</w:t>
            </w:r>
          </w:p>
        </w:tc>
        <w:tc>
          <w:tcPr>
            <w:tcW w:w="16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(17,000)</w:t>
            </w: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Distributions paid</w:t>
            </w:r>
          </w:p>
        </w:tc>
        <w:tc>
          <w:tcPr>
            <w:tcW w:w="1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(4,838)</w:t>
            </w: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(3,419)</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provided by financing activities</w:t>
            </w:r>
          </w:p>
        </w:tc>
        <w:tc>
          <w:tcPr>
            <w:tcW w:w="1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39,339</w:t>
            </w:r>
          </w:p>
        </w:tc>
        <w:tc>
          <w:tcPr>
            <w:tcW w:w="2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24,743</w:t>
            </w:r>
          </w:p>
        </w:tc>
        <w:tc>
          <w:tcPr>
            <w:tcW w:w="0" w:type="dxa"/>
            <w:vAlign w:val="bottom"/>
          </w:tcPr>
          <w:p>
            <w:pPr>
              <w:spacing w:after="0"/>
              <w:rPr>
                <w:sz w:val="1"/>
                <w:szCs w:val="1"/>
                <w:color w:val="auto"/>
              </w:rPr>
            </w:pPr>
          </w:p>
        </w:tc>
      </w:tr>
      <w:tr>
        <w:trPr>
          <w:trHeight w:val="142"/>
        </w:trPr>
        <w:tc>
          <w:tcPr>
            <w:tcW w:w="644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Net increase in cash, cash equivalents and restricted cash</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22,626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9,572</w:t>
            </w:r>
          </w:p>
        </w:tc>
        <w:tc>
          <w:tcPr>
            <w:tcW w:w="0" w:type="dxa"/>
            <w:vAlign w:val="bottom"/>
          </w:tcPr>
          <w:p>
            <w:pPr>
              <w:spacing w:after="0"/>
              <w:rPr>
                <w:sz w:val="1"/>
                <w:szCs w:val="1"/>
                <w:color w:val="auto"/>
              </w:rPr>
            </w:pPr>
          </w:p>
        </w:tc>
      </w:tr>
      <w:tr>
        <w:trPr>
          <w:trHeight w:val="148"/>
        </w:trPr>
        <w:tc>
          <w:tcPr>
            <w:tcW w:w="644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Cash, cash equivalents and restricted cash:</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Beginning of period</w:t>
            </w: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17,385</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12,591</w:t>
            </w:r>
          </w:p>
        </w:tc>
        <w:tc>
          <w:tcPr>
            <w:tcW w:w="0" w:type="dxa"/>
            <w:vAlign w:val="bottom"/>
          </w:tcPr>
          <w:p>
            <w:pPr>
              <w:spacing w:after="0"/>
              <w:rPr>
                <w:sz w:val="1"/>
                <w:szCs w:val="1"/>
                <w:color w:val="auto"/>
              </w:rPr>
            </w:pPr>
          </w:p>
        </w:tc>
      </w:tr>
      <w:tr>
        <w:trPr>
          <w:trHeight w:val="182"/>
        </w:trPr>
        <w:tc>
          <w:tcPr>
            <w:tcW w:w="644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End of period</w:t>
            </w:r>
          </w:p>
        </w:tc>
        <w:tc>
          <w:tcPr>
            <w:tcW w:w="160" w:type="dxa"/>
            <w:vAlign w:val="bottom"/>
            <w:tcBorders>
              <w:bottom w:val="single" w:sz="8" w:color="auto"/>
            </w:tcBorders>
          </w:tcPr>
          <w:p>
            <w:pPr>
              <w:jc w:val="right"/>
              <w:ind w:right="47"/>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40,011</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22,163</w:t>
            </w:r>
          </w:p>
        </w:tc>
        <w:tc>
          <w:tcPr>
            <w:tcW w:w="0" w:type="dxa"/>
            <w:vAlign w:val="bottom"/>
          </w:tcPr>
          <w:p>
            <w:pPr>
              <w:spacing w:after="0"/>
              <w:rPr>
                <w:sz w:val="1"/>
                <w:szCs w:val="1"/>
                <w:color w:val="auto"/>
              </w:rPr>
            </w:pPr>
          </w:p>
        </w:tc>
      </w:tr>
      <w:tr>
        <w:trPr>
          <w:trHeight w:val="210"/>
        </w:trPr>
        <w:tc>
          <w:tcPr>
            <w:tcW w:w="6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6440" w:type="dxa"/>
            <w:vAlign w:val="bottom"/>
          </w:tcPr>
          <w:p>
            <w:pPr>
              <w:ind w:left="20"/>
              <w:spacing w:after="0" w:line="149" w:lineRule="exact"/>
              <w:rPr>
                <w:sz w:val="20"/>
                <w:szCs w:val="20"/>
                <w:color w:val="auto"/>
              </w:rPr>
            </w:pPr>
            <w:r>
              <w:rPr>
                <w:rFonts w:ascii="Arial" w:cs="Arial" w:eastAsia="Arial" w:hAnsi="Arial"/>
                <w:sz w:val="14"/>
                <w:szCs w:val="14"/>
                <w:color w:val="auto"/>
              </w:rPr>
              <w:t>Supplemental disclosure of cash flow information:</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4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Cash paid for interest</w:t>
            </w: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1,911</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1,785</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
              <w:spacing w:after="0"/>
              <w:rPr>
                <w:sz w:val="20"/>
                <w:szCs w:val="20"/>
                <w:color w:val="auto"/>
              </w:rPr>
            </w:pPr>
            <w:r>
              <w:rPr>
                <w:rFonts w:ascii="Arial" w:cs="Arial" w:eastAsia="Arial" w:hAnsi="Arial"/>
                <w:sz w:val="14"/>
                <w:szCs w:val="14"/>
                <w:color w:val="auto"/>
              </w:rPr>
              <w:t>Supplemental non-cash investing and financing activities:</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44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Warrant investments received and recorded as unearned income</w:t>
            </w: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367</w:t>
            </w:r>
          </w:p>
        </w:tc>
        <w:tc>
          <w:tcPr>
            <w:tcW w:w="2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120"/>
              <w:spacing w:after="0"/>
              <w:rPr>
                <w:sz w:val="20"/>
                <w:szCs w:val="20"/>
                <w:color w:val="auto"/>
              </w:rPr>
            </w:pPr>
            <w:r>
              <w:rPr>
                <w:rFonts w:ascii="Arial" w:cs="Arial" w:eastAsia="Arial" w:hAnsi="Arial"/>
                <w:sz w:val="14"/>
                <w:szCs w:val="14"/>
                <w:color w:val="auto"/>
              </w:rPr>
              <w:t>Distributions payable</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40" w:type="dxa"/>
            <w:vAlign w:val="bottom"/>
            <w:tcBorders>
              <w:bottom w:val="single" w:sz="8" w:color="CCEEFF"/>
            </w:tcBorders>
            <w:vMerge w:val="continue"/>
          </w:tcPr>
          <w:p>
            <w:pPr>
              <w:spacing w:after="0"/>
              <w:rPr>
                <w:sz w:val="14"/>
                <w:szCs w:val="14"/>
                <w:color w:val="auto"/>
              </w:rPr>
            </w:pPr>
          </w:p>
        </w:tc>
        <w:tc>
          <w:tcPr>
            <w:tcW w:w="160" w:type="dxa"/>
            <w:vAlign w:val="bottom"/>
            <w:tcBorders>
              <w:bottom w:val="single" w:sz="8" w:color="auto"/>
            </w:tcBorders>
          </w:tcPr>
          <w:p>
            <w:pPr>
              <w:jc w:val="right"/>
              <w:ind w:right="47"/>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5,898</w:t>
            </w:r>
          </w:p>
        </w:tc>
        <w:tc>
          <w:tcPr>
            <w:tcW w:w="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4,062</w:t>
            </w:r>
          </w:p>
        </w:tc>
        <w:tc>
          <w:tcPr>
            <w:tcW w:w="0" w:type="dxa"/>
            <w:vAlign w:val="bottom"/>
          </w:tcPr>
          <w:p>
            <w:pPr>
              <w:spacing w:after="0"/>
              <w:rPr>
                <w:sz w:val="1"/>
                <w:szCs w:val="1"/>
                <w:color w:val="auto"/>
              </w:rPr>
            </w:pPr>
          </w:p>
        </w:tc>
      </w:tr>
      <w:tr>
        <w:trPr>
          <w:trHeight w:val="129"/>
        </w:trPr>
        <w:tc>
          <w:tcPr>
            <w:tcW w:w="6440" w:type="dxa"/>
            <w:vAlign w:val="bottom"/>
            <w:tcBorders>
              <w:bottom w:val="single" w:sz="8" w:color="CCEEFF"/>
            </w:tcBorders>
            <w:shd w:val="clear" w:color="auto" w:fill="CCEEFF"/>
          </w:tcPr>
          <w:p>
            <w:pPr>
              <w:ind w:left="120"/>
              <w:spacing w:after="0" w:line="129" w:lineRule="exact"/>
              <w:rPr>
                <w:sz w:val="20"/>
                <w:szCs w:val="20"/>
                <w:color w:val="auto"/>
              </w:rPr>
            </w:pPr>
            <w:r>
              <w:rPr>
                <w:rFonts w:ascii="Arial" w:cs="Arial" w:eastAsia="Arial" w:hAnsi="Arial"/>
                <w:sz w:val="14"/>
                <w:szCs w:val="14"/>
                <w:color w:val="auto"/>
              </w:rPr>
              <w:t>End-of-term payments receivable</w:t>
            </w:r>
          </w:p>
        </w:tc>
        <w:tc>
          <w:tcPr>
            <w:tcW w:w="16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4,542</w:t>
            </w:r>
          </w:p>
        </w:tc>
        <w:tc>
          <w:tcPr>
            <w:tcW w:w="22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3,570</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120"/>
              <w:spacing w:after="0"/>
              <w:rPr>
                <w:sz w:val="20"/>
                <w:szCs w:val="20"/>
                <w:color w:val="auto"/>
              </w:rPr>
            </w:pPr>
            <w:r>
              <w:rPr>
                <w:rFonts w:ascii="Arial" w:cs="Arial" w:eastAsia="Arial" w:hAnsi="Arial"/>
                <w:sz w:val="14"/>
                <w:szCs w:val="14"/>
                <w:color w:val="auto"/>
              </w:rPr>
              <w:t>Non-cash income</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40" w:type="dxa"/>
            <w:vAlign w:val="bottom"/>
            <w:vMerge w:val="continue"/>
          </w:tcPr>
          <w:p>
            <w:pPr>
              <w:spacing w:after="0"/>
              <w:rPr>
                <w:sz w:val="11"/>
                <w:szCs w:val="11"/>
                <w:color w:val="auto"/>
              </w:rPr>
            </w:pPr>
          </w:p>
        </w:tc>
        <w:tc>
          <w:tcPr>
            <w:tcW w:w="160" w:type="dxa"/>
            <w:vAlign w:val="bottom"/>
            <w:tcBorders>
              <w:bottom w:val="single" w:sz="8" w:color="auto"/>
            </w:tcBorders>
          </w:tcPr>
          <w:p>
            <w:pPr>
              <w:jc w:val="right"/>
              <w:ind w:right="47"/>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1,200</w:t>
            </w:r>
          </w:p>
        </w:tc>
        <w:tc>
          <w:tcPr>
            <w:tcW w:w="220" w:type="dxa"/>
            <w:vAlign w:val="bottom"/>
          </w:tcPr>
          <w:p>
            <w:pPr>
              <w:spacing w:after="0"/>
              <w:rPr>
                <w:sz w:val="11"/>
                <w:szCs w:val="11"/>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4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208"/>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42"/>
        </w:trPr>
        <w:tc>
          <w:tcPr>
            <w:tcW w:w="6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4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44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w:t>
            </w:r>
          </w:p>
        </w:tc>
        <w:tc>
          <w:tcPr>
            <w:tcW w:w="160" w:type="dxa"/>
            <w:vAlign w:val="bottom"/>
            <w:shd w:val="clear" w:color="auto" w:fill="CCEEFF"/>
          </w:tcPr>
          <w:p>
            <w:pPr>
              <w:jc w:val="right"/>
              <w:ind w:right="47"/>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37,989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22,163</w:t>
            </w:r>
          </w:p>
        </w:tc>
        <w:tc>
          <w:tcPr>
            <w:tcW w:w="0" w:type="dxa"/>
            <w:vAlign w:val="bottom"/>
          </w:tcPr>
          <w:p>
            <w:pPr>
              <w:spacing w:after="0"/>
              <w:rPr>
                <w:sz w:val="1"/>
                <w:szCs w:val="1"/>
                <w:color w:val="auto"/>
              </w:rPr>
            </w:pPr>
          </w:p>
        </w:tc>
      </w:tr>
      <w:tr>
        <w:trPr>
          <w:trHeight w:val="149"/>
        </w:trPr>
        <w:tc>
          <w:tcPr>
            <w:tcW w:w="6440" w:type="dxa"/>
            <w:vAlign w:val="bottom"/>
          </w:tcPr>
          <w:p>
            <w:pPr>
              <w:ind w:left="20"/>
              <w:spacing w:after="0" w:line="149" w:lineRule="exact"/>
              <w:rPr>
                <w:sz w:val="20"/>
                <w:szCs w:val="20"/>
                <w:color w:val="auto"/>
              </w:rPr>
            </w:pPr>
            <w:r>
              <w:rPr>
                <w:rFonts w:ascii="Arial" w:cs="Arial" w:eastAsia="Arial" w:hAnsi="Arial"/>
                <w:sz w:val="14"/>
                <w:szCs w:val="14"/>
                <w:color w:val="auto"/>
              </w:rPr>
              <w:t>Investments in money market funds</w:t>
            </w:r>
          </w:p>
        </w:tc>
        <w:tc>
          <w:tcPr>
            <w:tcW w:w="16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845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44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Restricted investments in money market funds</w:t>
            </w: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1,177</w:t>
            </w:r>
          </w:p>
        </w:tc>
        <w:tc>
          <w:tcPr>
            <w:tcW w:w="2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6440" w:type="dxa"/>
            <w:vAlign w:val="bottom"/>
          </w:tcPr>
          <w:p>
            <w:pPr>
              <w:ind w:left="2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160" w:type="dxa"/>
            <w:vAlign w:val="bottom"/>
            <w:tcBorders>
              <w:bottom w:val="single" w:sz="8" w:color="auto"/>
            </w:tcBorders>
          </w:tcPr>
          <w:p>
            <w:pPr>
              <w:jc w:val="right"/>
              <w:ind w:right="47"/>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40,011</w:t>
            </w:r>
          </w:p>
        </w:tc>
        <w:tc>
          <w:tcPr>
            <w:tcW w:w="220" w:type="dxa"/>
            <w:vAlign w:val="bottom"/>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22,163</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0"/>
              </w:rPr>
              <w:t>Principal</w:t>
            </w:r>
          </w:p>
        </w:tc>
        <w:tc>
          <w:tcPr>
            <w:tcW w:w="12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Cost of</w:t>
            </w:r>
          </w:p>
        </w:tc>
        <w:tc>
          <w:tcPr>
            <w:tcW w:w="120" w:type="dxa"/>
            <w:vAlign w:val="bottom"/>
          </w:tcPr>
          <w:p>
            <w:pPr>
              <w:spacing w:after="0"/>
              <w:rPr>
                <w:sz w:val="10"/>
                <w:szCs w:val="10"/>
                <w:color w:val="auto"/>
              </w:rPr>
            </w:pPr>
          </w:p>
        </w:tc>
        <w:tc>
          <w:tcPr>
            <w:tcW w:w="54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58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080" w:type="dxa"/>
            <w:vAlign w:val="bottom"/>
            <w:gridSpan w:val="2"/>
          </w:tcPr>
          <w:p>
            <w:pPr>
              <w:ind w:left="320"/>
              <w:spacing w:after="0"/>
              <w:rPr>
                <w:sz w:val="20"/>
                <w:szCs w:val="20"/>
                <w:color w:val="auto"/>
              </w:rPr>
            </w:pPr>
            <w:r>
              <w:rPr>
                <w:rFonts w:ascii="Arial" w:cs="Arial" w:eastAsia="Arial" w:hAnsi="Arial"/>
                <w:sz w:val="11"/>
                <w:szCs w:val="11"/>
                <w:b w:val="1"/>
                <w:bCs w:val="1"/>
                <w:color w:val="auto"/>
              </w:rPr>
              <w:t>Sector</w:t>
            </w:r>
          </w:p>
        </w:tc>
        <w:tc>
          <w:tcPr>
            <w:tcW w:w="2880" w:type="dxa"/>
            <w:vAlign w:val="bottom"/>
            <w:gridSpan w:val="2"/>
          </w:tcPr>
          <w:p>
            <w:pPr>
              <w:ind w:left="640"/>
              <w:spacing w:after="0"/>
              <w:rPr>
                <w:sz w:val="20"/>
                <w:szCs w:val="20"/>
                <w:color w:val="auto"/>
              </w:rPr>
            </w:pPr>
            <w:r>
              <w:rPr>
                <w:rFonts w:ascii="Arial" w:cs="Arial" w:eastAsia="Arial" w:hAnsi="Arial"/>
                <w:sz w:val="11"/>
                <w:szCs w:val="11"/>
                <w:b w:val="1"/>
                <w:bCs w:val="1"/>
                <w:color w:val="auto"/>
              </w:rPr>
              <w:t>Type of Investment (4)(7)(9)(10)</w:t>
            </w:r>
          </w:p>
        </w:tc>
        <w:tc>
          <w:tcPr>
            <w:tcW w:w="100" w:type="dxa"/>
            <w:vAlign w:val="bottom"/>
          </w:tcPr>
          <w:p>
            <w:pPr>
              <w:spacing w:after="0"/>
              <w:rPr>
                <w:sz w:val="11"/>
                <w:szCs w:val="11"/>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Amount</w:t>
            </w:r>
          </w:p>
        </w:tc>
        <w:tc>
          <w:tcPr>
            <w:tcW w:w="880" w:type="dxa"/>
            <w:vAlign w:val="bottom"/>
            <w:gridSpan w:val="3"/>
          </w:tcPr>
          <w:p>
            <w:pPr>
              <w:spacing w:after="0"/>
              <w:rPr>
                <w:sz w:val="20"/>
                <w:szCs w:val="20"/>
                <w:color w:val="auto"/>
              </w:rPr>
            </w:pPr>
            <w:r>
              <w:rPr>
                <w:rFonts w:ascii="Arial" w:cs="Arial" w:eastAsia="Arial" w:hAnsi="Arial"/>
                <w:sz w:val="11"/>
                <w:szCs w:val="11"/>
                <w:b w:val="1"/>
                <w:bCs w:val="1"/>
                <w:color w:val="auto"/>
              </w:rPr>
              <w:t>Investments (6)</w:t>
            </w:r>
          </w:p>
        </w:tc>
        <w:tc>
          <w:tcPr>
            <w:tcW w:w="120" w:type="dxa"/>
            <w:vAlign w:val="bottom"/>
          </w:tcPr>
          <w:p>
            <w:pPr>
              <w:spacing w:after="0"/>
              <w:rPr>
                <w:sz w:val="11"/>
                <w:szCs w:val="11"/>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15"/>
        </w:trPr>
        <w:tc>
          <w:tcPr>
            <w:tcW w:w="242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Investments — 160.0% (8)</w:t>
            </w:r>
          </w:p>
        </w:tc>
        <w:tc>
          <w:tcPr>
            <w:tcW w:w="16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Non-Affiliate Debt Investments — 156.2% (8)</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3660" w:type="dxa"/>
            <w:vAlign w:val="bottom"/>
            <w:gridSpan w:val="4"/>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Non-Affiliate Debt Investments — Life Science — 70.4% (8)</w:t>
            </w:r>
          </w:p>
        </w:tc>
        <w:tc>
          <w:tcPr>
            <w:tcW w:w="2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Castle Creek Pharmaceuticals Holdings, Inc.(2)(12)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(9.30% cash (Libor + 7.50%; Floor 9.30%), 5.00%</w:t>
            </w:r>
          </w:p>
        </w:tc>
        <w:tc>
          <w:tcPr>
            <w:tcW w:w="100" w:type="dxa"/>
            <w:vAlign w:val="bottom"/>
          </w:tcPr>
          <w:p>
            <w:pPr>
              <w:jc w:val="right"/>
              <w:spacing w:after="0" w:line="112" w:lineRule="exact"/>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120" w:type="dxa"/>
            <w:vAlign w:val="bottom"/>
          </w:tcPr>
          <w:p>
            <w:pPr>
              <w:spacing w:after="0" w:line="112" w:lineRule="exact"/>
              <w:rPr>
                <w:sz w:val="20"/>
                <w:szCs w:val="20"/>
                <w:color w:val="auto"/>
              </w:rPr>
            </w:pPr>
            <w:r>
              <w:rPr>
                <w:rFonts w:ascii="Arial" w:cs="Arial" w:eastAsia="Arial" w:hAnsi="Arial"/>
                <w:sz w:val="11"/>
                <w:szCs w:val="11"/>
                <w:color w:val="auto"/>
              </w:rPr>
              <w:t>$</w:t>
            </w: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4,869</w:t>
            </w:r>
          </w:p>
        </w:tc>
        <w:tc>
          <w:tcPr>
            <w:tcW w:w="160" w:type="dxa"/>
            <w:vAlign w:val="bottom"/>
          </w:tcPr>
          <w:p>
            <w:pPr>
              <w:spacing w:after="0"/>
              <w:rPr>
                <w:sz w:val="9"/>
                <w:szCs w:val="9"/>
                <w:color w:val="auto"/>
              </w:rPr>
            </w:pPr>
          </w:p>
        </w:tc>
        <w:tc>
          <w:tcPr>
            <w:tcW w:w="120" w:type="dxa"/>
            <w:vAlign w:val="bottom"/>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4,869</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3/1/24)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(9.30% cash (Libor + 7.50%; Floor 9.30%), 5.00%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4,923</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4,923</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3/1/24)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(9.30% cash (Libor + 7.50%; Floor 9.30%),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4,923</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4,923</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3/1/24)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(9.30% cash (Libor + 7.50%; Floor 9.30%), 5.00%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4,923</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4,923</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3/1/24)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Celsion Corporation (2)(5)(12)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(9.63% cash (Libor + 7.63%; Floor 9.63%), 4.00%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2,500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2,468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2,468</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7/1/22)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(9.63% cash (Libor + 7.63%; Floor 9.63%), 4.00%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2,500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2,468</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2,468</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7/1/22)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Encore Dermatology, Inc.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+ 7.50%;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4,934</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4,638</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3.00% ETP, Due 4/1/23)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+ 7.50%; Floor 10.00%),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4,934</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4,638</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3.00% ETP, Due 4/1/23)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Espero BioPharma, Inc.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(12.00% cash (Libor + 9.25%; Floor 12.00%),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5,053</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5,053</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3,548</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5.10% ETP, Due 3/31/20) (11)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(12.00% cash (Libor + 9.25%; Floor 12.00%),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4,802</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4,802</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3,372</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5.10% ETP, Due 3/31/20) (11)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(12.00% cash (Libor + 9.25%; Floor 12.00%), Due</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200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200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140</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40" w:type="dxa"/>
            <w:vAlign w:val="bottom"/>
          </w:tcPr>
          <w:p>
            <w:pPr>
              <w:spacing w:after="0"/>
              <w:rPr>
                <w:sz w:val="20"/>
                <w:szCs w:val="20"/>
                <w:color w:val="auto"/>
              </w:rPr>
            </w:pPr>
            <w:r>
              <w:rPr>
                <w:rFonts w:ascii="Arial" w:cs="Arial" w:eastAsia="Arial" w:hAnsi="Arial"/>
                <w:sz w:val="11"/>
                <w:szCs w:val="11"/>
                <w:color w:val="auto"/>
              </w:rPr>
              <w:t>3/31/20) (11)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(12.00% cash (Libor + 9.25%; Floor 12.00%), Due</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70</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1"/>
                <w:szCs w:val="11"/>
                <w:color w:val="auto"/>
              </w:rPr>
              <w:t>3/31/20) (11)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(12.00% cash (Libor + 9.25%; Floor 12.00%), Due</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70</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40" w:type="dxa"/>
            <w:vAlign w:val="bottom"/>
          </w:tcPr>
          <w:p>
            <w:pPr>
              <w:spacing w:after="0"/>
              <w:rPr>
                <w:sz w:val="20"/>
                <w:szCs w:val="20"/>
                <w:color w:val="auto"/>
              </w:rPr>
            </w:pPr>
            <w:r>
              <w:rPr>
                <w:rFonts w:ascii="Arial" w:cs="Arial" w:eastAsia="Arial" w:hAnsi="Arial"/>
                <w:sz w:val="11"/>
                <w:szCs w:val="11"/>
                <w:color w:val="auto"/>
              </w:rPr>
              <w:t>3/31/20) (11)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LogicBio, Inc.(2)(5)(12)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(8.75% cash (Libor + 6.25%; Floor 8.75%), 4.50%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4,972</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4,972</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6/1/24)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Mustang Bio, Inc. (2)(5)(12)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(9.00% cash (Libor + 6.50%; Floor 9.00%),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4,834</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4,834</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10/1/22)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(9.00% cash (Libor + 6.50%; Floor 9.00%), 5.00%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4,931</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4,931</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10/1/22)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vTv Therapeutics Inc. (2)(5)(12)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(11.58% cash (Libor + 10.00%; Floor 10.50%),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521</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519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519</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6.00% ETP, Due 5/1/20)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(11.58% cash (Libor + 10.00%; Floor 10.50%),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1,094</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1,085</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1,085</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6.00% ETP, Due 10/1/20)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Titan Pharmaceuticals, Inc. (2)(5)(12)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Drug Delivery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(9.98% cash (Libor + 8.40%; Floor 9.50%),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1,600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1,540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1,540</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6/1/22)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Conventus Orthopaedics, Inc. (2)(12)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(9.58% cash (Libor + 8.00%; Floor 9.25%), 8.33%</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5,311</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5,237</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5,237</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(9.58% cash (Libor + 8.00%; Floor 9.25%), 8.33%</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5,311</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5,237</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5,237</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CSA Medical, Inc. (2)(12)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+ 8.20%; Floor 10.00%),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3,750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3,693</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3,693</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5.00% ETP, Due 1/1/24)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+ 8.20%;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250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246</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246</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5.00% ETP, Due 1/1/24)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+ 8.20%; Floor 10.00%),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3,945</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3,945</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5.00% ETP, Due 3/1/24)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CVRx, Inc.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4,938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4,938</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3.50% ETP, Due 10/1/24)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4,938</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4,938</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3.50% ETP, Due 10/1/24)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4,938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4,938</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3.50% ETP, Due 10/1/24)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4,938</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4,938</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3.50% ETP, Due 10/1/24)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Lantos Technologies, Inc.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(10.01% cash (Libor + 8.43%;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3,033</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2,787</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2,737</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10.00% ETP, Due 9/1/21)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Bardy Diagnostics, Inc. (2)(12)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(8.90% cash (Libor + 7.00%; Floor 8.90%), 5.00%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4,931</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4,931</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9/1/24)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(8.90% cash (Libor + 7.00%; Floor 8.90%),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4,931</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4,931</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9/1/24)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(8.90% cash (Libor + 7.00%; Floor 8.90%), 5.00%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986</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9/1/24)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(8.90% cash (Libor + 7.00%; Floor 8.90%),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1,000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986</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986</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9/1/24)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(8.90% cash (Libor + 7.00%; Floor 8.90%), 5.00%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1,000</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986</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9/1/24)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(8.90% cash (Libor + 7.00%; Floor 8.90%),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1,000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986</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986</w:t>
            </w:r>
          </w:p>
        </w:tc>
      </w:tr>
      <w:tr>
        <w:trPr>
          <w:trHeight w:val="136"/>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9/1/24)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bl>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0"/>
              </w:rPr>
              <w:t>Principal</w:t>
            </w: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4"/>
              </w:rPr>
              <w:t>Cost of</w:t>
            </w: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58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080" w:type="dxa"/>
            <w:vAlign w:val="bottom"/>
            <w:gridSpan w:val="2"/>
          </w:tcPr>
          <w:p>
            <w:pPr>
              <w:ind w:left="320"/>
              <w:spacing w:after="0"/>
              <w:rPr>
                <w:sz w:val="20"/>
                <w:szCs w:val="20"/>
                <w:color w:val="auto"/>
              </w:rPr>
            </w:pPr>
            <w:r>
              <w:rPr>
                <w:rFonts w:ascii="Arial" w:cs="Arial" w:eastAsia="Arial" w:hAnsi="Arial"/>
                <w:sz w:val="11"/>
                <w:szCs w:val="11"/>
                <w:b w:val="1"/>
                <w:bCs w:val="1"/>
                <w:color w:val="auto"/>
              </w:rPr>
              <w:t>Sector</w:t>
            </w:r>
          </w:p>
        </w:tc>
        <w:tc>
          <w:tcPr>
            <w:tcW w:w="2880" w:type="dxa"/>
            <w:vAlign w:val="bottom"/>
            <w:gridSpan w:val="2"/>
          </w:tcPr>
          <w:p>
            <w:pPr>
              <w:ind w:left="640"/>
              <w:spacing w:after="0"/>
              <w:rPr>
                <w:sz w:val="20"/>
                <w:szCs w:val="20"/>
                <w:color w:val="auto"/>
              </w:rPr>
            </w:pPr>
            <w:r>
              <w:rPr>
                <w:rFonts w:ascii="Arial" w:cs="Arial" w:eastAsia="Arial" w:hAnsi="Arial"/>
                <w:sz w:val="11"/>
                <w:szCs w:val="11"/>
                <w:b w:val="1"/>
                <w:bCs w:val="1"/>
                <w:color w:val="auto"/>
              </w:rPr>
              <w:t>Type of Investment (4)(7)(9)(10)</w:t>
            </w:r>
          </w:p>
        </w:tc>
        <w:tc>
          <w:tcPr>
            <w:tcW w:w="8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1"/>
              </w:rPr>
              <w:t>Amount</w:t>
            </w: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Investments (6)</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05"/>
        </w:trPr>
        <w:tc>
          <w:tcPr>
            <w:tcW w:w="24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74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w w:val="91"/>
              </w:rPr>
              <w:t>Term Loan (8.90% cash (Libor + 7.00%; Floor 8.90%), 5.00%</w:t>
            </w:r>
          </w:p>
        </w:tc>
        <w:tc>
          <w:tcPr>
            <w:tcW w:w="14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1,000</w:t>
            </w:r>
          </w:p>
        </w:tc>
        <w:tc>
          <w:tcPr>
            <w:tcW w:w="1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986</w:t>
            </w:r>
          </w:p>
        </w:tc>
        <w:tc>
          <w:tcPr>
            <w:tcW w:w="1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986</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9/1/24)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MacuLogix, Inc.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(10.08% cash (Libor + 7.68%; Floor 10.08%),</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7,500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7,363</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7,363</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4.00% ETP, Due 10/1/23)</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(10.08% cash (Libor + 7.68%; Floor 10.08%),</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4,050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3,996</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3,996</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4.00% ETP, Due 10/1/23)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Meditrina, Inc.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(9.70% cash (Libor + 7.10%; Floor 9.70%), 4.00%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2,992</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2,992</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5/1/20)</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VERO Biotech LLC (2)(12)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(9.58% cash (Libor + 8.00%; Floor 9.25%), 5.00%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3,667</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3,638</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3,638</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1/1/22)</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(9.58% cash (Libor + 8.00%; Floor 9.25%), 5.00%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3,667</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3,638</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3,638</w:t>
            </w:r>
          </w:p>
        </w:tc>
      </w:tr>
      <w:tr>
        <w:trPr>
          <w:trHeight w:val="131"/>
        </w:trPr>
        <w:tc>
          <w:tcPr>
            <w:tcW w:w="242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8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ETP, Due 1/1/22)</w:t>
            </w:r>
          </w:p>
        </w:tc>
        <w:tc>
          <w:tcPr>
            <w:tcW w:w="6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r>
        <w:trPr>
          <w:trHeight w:val="115"/>
        </w:trPr>
        <w:tc>
          <w:tcPr>
            <w:tcW w:w="258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Non-Affiliate Debt Investments — Life Science</w:t>
            </w: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139,894</w:t>
            </w:r>
          </w:p>
        </w:tc>
        <w:tc>
          <w:tcPr>
            <w:tcW w:w="16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136,197</w:t>
            </w:r>
          </w:p>
        </w:tc>
      </w:tr>
      <w:tr>
        <w:trPr>
          <w:trHeight w:val="115"/>
        </w:trPr>
        <w:tc>
          <w:tcPr>
            <w:tcW w:w="3660" w:type="dxa"/>
            <w:vAlign w:val="bottom"/>
            <w:gridSpan w:val="4"/>
          </w:tcPr>
          <w:p>
            <w:pPr>
              <w:ind w:left="20"/>
              <w:spacing w:after="0" w:line="115" w:lineRule="exact"/>
              <w:rPr>
                <w:sz w:val="20"/>
                <w:szCs w:val="20"/>
                <w:color w:val="auto"/>
              </w:rPr>
            </w:pPr>
            <w:r>
              <w:rPr>
                <w:rFonts w:ascii="Arial" w:cs="Arial" w:eastAsia="Arial" w:hAnsi="Arial"/>
                <w:sz w:val="11"/>
                <w:szCs w:val="11"/>
                <w:b w:val="1"/>
                <w:bCs w:val="1"/>
                <w:color w:val="auto"/>
              </w:rPr>
              <w:t>Non-Affiliate Debt Investments — Technology — 73.9% (8)</w:t>
            </w: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Audacy Corporation (2)(12)(15)</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Communications</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(9.50% cash (Libor + 7.90%; Floor 9.50%), 5.00%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3,663</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3,603</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1,549</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7/1/22)</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9"/>
              </w:rPr>
              <w:t>Term Loan (9.50% cash (Libor + 7.90%; Floor 9.50%), Due</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584</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584</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251</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40" w:type="dxa"/>
            <w:vAlign w:val="bottom"/>
          </w:tcPr>
          <w:p>
            <w:pPr>
              <w:spacing w:after="0"/>
              <w:rPr>
                <w:sz w:val="20"/>
                <w:szCs w:val="20"/>
                <w:color w:val="auto"/>
              </w:rPr>
            </w:pPr>
            <w:r>
              <w:rPr>
                <w:rFonts w:ascii="Arial" w:cs="Arial" w:eastAsia="Arial" w:hAnsi="Arial"/>
                <w:sz w:val="11"/>
                <w:szCs w:val="11"/>
                <w:color w:val="auto"/>
              </w:rPr>
              <w:t>2/1/20)</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Betabrand Corporation (2)(12)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(10.05% cash (Libor + 7.50%; Floor 10.05%),</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4,250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4,155</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4,155</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5.75% ETP, Due 9/1/23)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(10.05% cash (Libor + 7.50%; Floor 10.05%),</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4,250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4,186</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4,186</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5.75% ETP, Due 9/1/23)</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(10.05% cash (Libor + 7.50%; Floor 10.05%),</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1,125</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1,089</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1,089</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5.75% ETP, Due 9/1/23)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Mohawk Group Holdings, Inc. (2)(5)(12)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(9.90% cash (Libor + 7.40%; Floor 9.90%), 4.00%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4,921</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4,921</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1/1/23)</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(9.90% cash (Libor + 7.40%; Floor 9.90%), 4.00%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4,921</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4,921</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1/1/23)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(9.90% cash (Libor + 7.40%; Floor 9.90%), 4.00%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4,921</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4,921</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1/1/23)</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Updater, Inc.(2)(12)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(11.50% cash (Prime + 5.75%; Floor 11.50%,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4,938</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4,654</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Ceiling 14.00%),0.56% ETP, Due 12/20/24)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(11.50% cash (Prime + 5.75%; Floor 11.50%,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4,938</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4,654</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Ceiling 14.00%), 0.56% ETP, Due 12/20/24)</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(11.50% cash (Prime + 5.75%; Floor 11.50%,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9,877</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9,308</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Ceiling 14.00%), 0.56% ETP, Due 12/20/24)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Canara, Inc.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Data Storage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(11.00% cash (Libor + 8.60%; Floor 11.00%),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4,879</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4,879</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1.00% ETP, Due 2/1/23)</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(11.00% cash (Libor + 8.60%; Floor 11.00%),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4,879</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4,879</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1.00% ETP, Due 2/1/23)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Kaminario, Inc.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Data Storage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(10.65% cash (Libor + 8.40%; Floor 10.65%),</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4,943</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4,943</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3.00% ETP, Due 1/1/23)</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(10.65% cash (Libor + 8.40%; Floor 10.65%),</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4,943</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4,943</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3.00% ETP, Due 1/1/23)</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(10.65% cash (Libor + 8.40%; Floor 10.65%),</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4,851</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4,851</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3.00% ETP, Due 7/1/23)</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IgnitionOne, Inc. (2)(12)(15)</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Internet and Media</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(11.81% cash (Libor + 10.23%; Floor 10.23%),</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1,873</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1,789</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1,789</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2.00% ETP, Due 4/1/22)</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(11.81% cash (Libor + 10.23%; Floor 10.23%),</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1,873</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1,789</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1,789</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2.00% ETP, Due 4/1/22)</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(11.81% cash (Libor + 10.23%; Floor 10.23%),</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1,984</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1,706</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1,706</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2.00% ETP, Due 4/1/22)</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(11.81% cash (Libor + 10.23%; Floor 10.23%),</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1,873</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1,789</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1,789</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2.00% ETP, Due 4/1/22)</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Skillshare, Inc.(2)(12)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Internet and Media</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(9.50% cash (Libor + 7.50%; Floor 9.50%), 5.00%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2,749</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2,749</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1/1/25)</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(9.50% cash (Libor + 7.50%; Floor 9.50%), 5.00%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2,948</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2,948</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1/1/25)</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(9.50% cash (Libor + 7.50%; Floor 9.50%), 5.00%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2,948</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2,948</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1/1/25)</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The NanoSteel Company, Inc.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Materials</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(11.00% cash (Libor + 8.50%; Floor 11.00%),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4,250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4,198</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4,069</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9.00% ETP, Due 6/1/22)</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(11.00% cash (Libor + 8.50%; Floor 11.00%),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4,250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4,198</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4,069</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9.00% ETP, Due 6/1/22)</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Kinestral Technologies, Inc.(2)(12)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Power Management</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(9.95% cash (Libor + 7.75%; Floor 9.95%), 7.00%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6,000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5,674</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5,546</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12/1/22)</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(9.95% cash (Libor + 7.75%; Floor 9.95%), 7.00%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5,785</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5,654</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12/1/22)</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Keypath Education, LLC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(10.50% cash (Libor + 8.50%; Floor 10.50%),</w:t>
            </w: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3,750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3,570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3,570</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2.50% ETP, Due 10/1/24)</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(10.50% cash (Libor + 8.50%; Floor 10.50%),</w:t>
            </w: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3,750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3,673</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3,673</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2.50% ETP, Due 10/1/24)</w:t>
            </w: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4"/>
              </w:rPr>
              <w:t>Principal</w:t>
            </w: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4"/>
              </w:rPr>
              <w:t>Cost of</w:t>
            </w:r>
          </w:p>
        </w:tc>
        <w:tc>
          <w:tcPr>
            <w:tcW w:w="68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56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100" w:type="dxa"/>
            <w:vAlign w:val="bottom"/>
            <w:gridSpan w:val="2"/>
          </w:tcPr>
          <w:p>
            <w:pPr>
              <w:ind w:left="320"/>
              <w:spacing w:after="0"/>
              <w:rPr>
                <w:sz w:val="20"/>
                <w:szCs w:val="20"/>
                <w:color w:val="auto"/>
              </w:rPr>
            </w:pPr>
            <w:r>
              <w:rPr>
                <w:rFonts w:ascii="Arial" w:cs="Arial" w:eastAsia="Arial" w:hAnsi="Arial"/>
                <w:sz w:val="11"/>
                <w:szCs w:val="11"/>
                <w:b w:val="1"/>
                <w:bCs w:val="1"/>
                <w:color w:val="auto"/>
              </w:rPr>
              <w:t>Sector</w:t>
            </w:r>
          </w:p>
        </w:tc>
        <w:tc>
          <w:tcPr>
            <w:tcW w:w="2860" w:type="dxa"/>
            <w:vAlign w:val="bottom"/>
            <w:gridSpan w:val="2"/>
          </w:tcPr>
          <w:p>
            <w:pPr>
              <w:ind w:left="620"/>
              <w:spacing w:after="0"/>
              <w:rPr>
                <w:sz w:val="20"/>
                <w:szCs w:val="20"/>
                <w:color w:val="auto"/>
              </w:rPr>
            </w:pPr>
            <w:r>
              <w:rPr>
                <w:rFonts w:ascii="Arial" w:cs="Arial" w:eastAsia="Arial" w:hAnsi="Arial"/>
                <w:sz w:val="11"/>
                <w:szCs w:val="11"/>
                <w:b w:val="1"/>
                <w:bCs w:val="1"/>
                <w:color w:val="auto"/>
              </w:rPr>
              <w:t>Type of Investment (4)(7)(9)(10)</w:t>
            </w:r>
          </w:p>
        </w:tc>
        <w:tc>
          <w:tcPr>
            <w:tcW w:w="8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Amount</w:t>
            </w: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Investments (6)</w:t>
            </w:r>
          </w:p>
        </w:tc>
        <w:tc>
          <w:tcPr>
            <w:tcW w:w="68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05"/>
        </w:trPr>
        <w:tc>
          <w:tcPr>
            <w:tcW w:w="242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72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w w:val="97"/>
              </w:rPr>
              <w:t>Term Loan (10.50% cash (Libor + 8.50%; Floor 10.50%),</w:t>
            </w: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2,500</w:t>
            </w:r>
          </w:p>
        </w:tc>
        <w:tc>
          <w:tcPr>
            <w:tcW w:w="14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2,449</w:t>
            </w:r>
          </w:p>
        </w:tc>
        <w:tc>
          <w:tcPr>
            <w:tcW w:w="1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2,449</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2.50% ETP, Due 10/1/24)</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56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New Signature US, Inc. (2)(12)(13)</w:t>
            </w:r>
          </w:p>
        </w:tc>
        <w:tc>
          <w:tcPr>
            <w:tcW w:w="11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rPr>
              <w:t>Term Loan (10.50% cash (Libor + 8.50%; Floor 10.50%),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2,750</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2,724</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2,724</w:t>
            </w: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gridSpan w:val="2"/>
          </w:tcPr>
          <w:p>
            <w:pPr>
              <w:spacing w:after="0"/>
              <w:rPr>
                <w:sz w:val="20"/>
                <w:szCs w:val="20"/>
                <w:color w:val="auto"/>
              </w:rPr>
            </w:pPr>
            <w:r>
              <w:rPr>
                <w:rFonts w:ascii="Arial" w:cs="Arial" w:eastAsia="Arial" w:hAnsi="Arial"/>
                <w:sz w:val="11"/>
                <w:szCs w:val="11"/>
                <w:color w:val="auto"/>
              </w:rPr>
              <w:t>3.50% ETP, Due 7/1/22)</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(10.50% cash (Libor + 8.50%; Floor 10.50%),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1,000</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988</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988</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3.50% ETP, Due 2/1/23)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56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OutboundEngine, Inc. (2)(12)</w:t>
            </w:r>
          </w:p>
        </w:tc>
        <w:tc>
          <w:tcPr>
            <w:tcW w:w="11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rPr>
              <w:t>Term Loan (11.15% cash (Libor + 8.40%; Floor 11.15%),</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4,000</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3,934</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3,934</w:t>
            </w: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gridSpan w:val="2"/>
          </w:tcPr>
          <w:p>
            <w:pPr>
              <w:spacing w:after="0"/>
              <w:rPr>
                <w:sz w:val="20"/>
                <w:szCs w:val="20"/>
                <w:color w:val="auto"/>
              </w:rPr>
            </w:pPr>
            <w:r>
              <w:rPr>
                <w:rFonts w:ascii="Arial" w:cs="Arial" w:eastAsia="Arial" w:hAnsi="Arial"/>
                <w:sz w:val="11"/>
                <w:szCs w:val="11"/>
                <w:color w:val="auto"/>
              </w:rPr>
              <w:t>3.00% ETP, Due 7/1/23)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(11.15% cash (Libor + 8.40%; Floor 11.15%),</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3,500</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3,443</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3,443</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3.00% ETP, Due 7/1/23)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56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Revinate, Inc. (2)(12)</w:t>
            </w:r>
          </w:p>
        </w:tc>
        <w:tc>
          <w:tcPr>
            <w:tcW w:w="11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(9.50% cash (Libor + 7.00%; Floor 9.50%), 4.00%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1,000</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929</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929</w:t>
            </w: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gridSpan w:val="2"/>
          </w:tcPr>
          <w:p>
            <w:pPr>
              <w:spacing w:after="0"/>
              <w:rPr>
                <w:sz w:val="20"/>
                <w:szCs w:val="20"/>
                <w:color w:val="auto"/>
              </w:rPr>
            </w:pPr>
            <w:r>
              <w:rPr>
                <w:rFonts w:ascii="Arial" w:cs="Arial" w:eastAsia="Arial" w:hAnsi="Arial"/>
                <w:sz w:val="11"/>
                <w:szCs w:val="11"/>
                <w:color w:val="auto"/>
              </w:rPr>
              <w:t>ETP, Due 6/1/23)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(9.50% cash (Libor + 7.00%; Floor 9.50%), 4.00%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4,936</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4,936</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11/1/23)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56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SIGNiX, Inc. (12)(15)</w:t>
            </w:r>
          </w:p>
        </w:tc>
        <w:tc>
          <w:tcPr>
            <w:tcW w:w="11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rPr>
              <w:t>Term Loan (12.58% cash (Libor + 11.00%; Floor 11.50%),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1,572</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1,567</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w:t>
            </w: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gridSpan w:val="2"/>
          </w:tcPr>
          <w:p>
            <w:pPr>
              <w:spacing w:after="0"/>
              <w:rPr>
                <w:sz w:val="20"/>
                <w:szCs w:val="20"/>
                <w:color w:val="auto"/>
              </w:rPr>
            </w:pPr>
            <w:r>
              <w:rPr>
                <w:rFonts w:ascii="Arial" w:cs="Arial" w:eastAsia="Arial" w:hAnsi="Arial"/>
                <w:sz w:val="11"/>
                <w:szCs w:val="11"/>
                <w:color w:val="auto"/>
              </w:rPr>
              <w:t>8.67% ETP, Due 2/1/20)</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2"/>
        </w:trPr>
        <w:tc>
          <w:tcPr>
            <w:tcW w:w="25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xAd, Inc. (2)(12)</w:t>
            </w:r>
          </w:p>
        </w:tc>
        <w:tc>
          <w:tcPr>
            <w:tcW w:w="11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Software</w:t>
            </w: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(10.28% cash (Libor + 8.70%; Floor 10.00%),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3,958</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3,915</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3,915</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4.75% ETP, Due 11/1/21)</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rPr>
              <w:t>Term Loan (10.28% cash (Libor + 8.70%; Floor 10.00%),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3,958</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3,915</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3,915</w:t>
            </w: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gridSpan w:val="2"/>
          </w:tcPr>
          <w:p>
            <w:pPr>
              <w:spacing w:after="0"/>
              <w:rPr>
                <w:sz w:val="20"/>
                <w:szCs w:val="20"/>
                <w:color w:val="auto"/>
              </w:rPr>
            </w:pPr>
            <w:r>
              <w:rPr>
                <w:rFonts w:ascii="Arial" w:cs="Arial" w:eastAsia="Arial" w:hAnsi="Arial"/>
                <w:sz w:val="11"/>
                <w:szCs w:val="11"/>
                <w:color w:val="auto"/>
              </w:rPr>
              <w:t>4.75% ETP, Due 11/1/21)</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(10.28% cash (Libor + 8.70%; Floor 10.00%),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2,375</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2,349</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2,349</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4.75% ETP, Due 11/1/21)</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rPr>
              <w:t>Term Loan (10.28% cash (Libor + 8.70%; Floor 10.00%),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1,583</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1,566</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1,566</w:t>
            </w:r>
          </w:p>
        </w:tc>
      </w:tr>
      <w:tr>
        <w:trPr>
          <w:trHeight w:val="131"/>
        </w:trPr>
        <w:tc>
          <w:tcPr>
            <w:tcW w:w="24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8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4.75% ETP, Due 11/1/21)</w:t>
            </w:r>
          </w:p>
        </w:tc>
        <w:tc>
          <w:tcPr>
            <w:tcW w:w="6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r>
      <w:tr>
        <w:trPr>
          <w:trHeight w:val="115"/>
        </w:trPr>
        <w:tc>
          <w:tcPr>
            <w:tcW w:w="256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Non-Affiliate Debt Investments — Technology</w:t>
            </w: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148,159</w:t>
            </w:r>
          </w:p>
        </w:tc>
        <w:tc>
          <w:tcPr>
            <w:tcW w:w="16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143,051</w:t>
            </w:r>
          </w:p>
        </w:tc>
      </w:tr>
      <w:tr>
        <w:trPr>
          <w:trHeight w:val="115"/>
        </w:trPr>
        <w:tc>
          <w:tcPr>
            <w:tcW w:w="6520" w:type="dxa"/>
            <w:vAlign w:val="bottom"/>
            <w:gridSpan w:val="6"/>
          </w:tcPr>
          <w:p>
            <w:pPr>
              <w:ind w:left="20"/>
              <w:spacing w:after="0" w:line="115" w:lineRule="exact"/>
              <w:rPr>
                <w:sz w:val="20"/>
                <w:szCs w:val="20"/>
                <w:color w:val="auto"/>
              </w:rPr>
            </w:pPr>
            <w:r>
              <w:rPr>
                <w:rFonts w:ascii="Arial" w:cs="Arial" w:eastAsia="Arial" w:hAnsi="Arial"/>
                <w:sz w:val="11"/>
                <w:szCs w:val="11"/>
                <w:b w:val="1"/>
                <w:bCs w:val="1"/>
                <w:color w:val="auto"/>
              </w:rPr>
              <w:t>Non-Affiliate Debt Investments — Healthcare information and services — 11.9% (8)</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12"/>
        </w:trPr>
        <w:tc>
          <w:tcPr>
            <w:tcW w:w="25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Kate Farms, Inc. (2)(12)</w:t>
            </w:r>
          </w:p>
        </w:tc>
        <w:tc>
          <w:tcPr>
            <w:tcW w:w="11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Other Healthcare</w:t>
            </w: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(9.75% cash (Libor + 7.45%; Floor 9.75%), 5.00%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4,857</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4,857</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10/1/23)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(9.75% cash (Libor + 7.45%; Floor 9.75%), 5.00%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4,925</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4,925</w:t>
            </w: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gridSpan w:val="2"/>
          </w:tcPr>
          <w:p>
            <w:pPr>
              <w:spacing w:after="0"/>
              <w:rPr>
                <w:sz w:val="20"/>
                <w:szCs w:val="20"/>
                <w:color w:val="auto"/>
              </w:rPr>
            </w:pPr>
            <w:r>
              <w:rPr>
                <w:rFonts w:ascii="Arial" w:cs="Arial" w:eastAsia="Arial" w:hAnsi="Arial"/>
                <w:sz w:val="11"/>
                <w:szCs w:val="11"/>
                <w:color w:val="auto"/>
              </w:rPr>
              <w:t>ETP, Due 10/1/23)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2"/>
        </w:trPr>
        <w:tc>
          <w:tcPr>
            <w:tcW w:w="256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HealthEdge Software, Inc. (2)(12)</w:t>
            </w:r>
          </w:p>
        </w:tc>
        <w:tc>
          <w:tcPr>
            <w:tcW w:w="11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Software</w:t>
            </w: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(9.83% cash (Libor + 8.25%; Floor 9.25%), 3.00%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3,333</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3,299</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3,299</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7/1/22)</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(9.83% cash (Libor + 8.25%; Floor 9.25%), 3.00%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3,036</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3,004</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3,004</w:t>
            </w:r>
          </w:p>
        </w:tc>
      </w:tr>
      <w:tr>
        <w:trPr>
          <w:trHeight w:val="131"/>
        </w:trPr>
        <w:tc>
          <w:tcPr>
            <w:tcW w:w="2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60" w:type="dxa"/>
            <w:vAlign w:val="bottom"/>
            <w:gridSpan w:val="2"/>
          </w:tcPr>
          <w:p>
            <w:pPr>
              <w:spacing w:after="0"/>
              <w:rPr>
                <w:sz w:val="20"/>
                <w:szCs w:val="20"/>
                <w:color w:val="auto"/>
              </w:rPr>
            </w:pPr>
            <w:r>
              <w:rPr>
                <w:rFonts w:ascii="Arial" w:cs="Arial" w:eastAsia="Arial" w:hAnsi="Arial"/>
                <w:sz w:val="11"/>
                <w:szCs w:val="11"/>
                <w:color w:val="auto"/>
              </w:rPr>
              <w:t>ETP, Due 1/1/23)</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12"/>
        </w:trPr>
        <w:tc>
          <w:tcPr>
            <w:tcW w:w="24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2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(9.83% cash (Libor + 8.25%; Floor 9.25%), 3.00%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3,304</w:t>
            </w: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3,269</w:t>
            </w:r>
          </w:p>
        </w:tc>
        <w:tc>
          <w:tcPr>
            <w:tcW w:w="16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3,269</w:t>
            </w:r>
          </w:p>
        </w:tc>
      </w:tr>
      <w:tr>
        <w:trPr>
          <w:trHeight w:val="131"/>
        </w:trPr>
        <w:tc>
          <w:tcPr>
            <w:tcW w:w="2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4/1/23)</w:t>
            </w: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112"/>
        </w:trPr>
        <w:tc>
          <w:tcPr>
            <w:tcW w:w="2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6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(9.83% cash (Libor + 8.25%; Floor 9.25%), 3.00%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3,750</w:t>
            </w:r>
          </w:p>
        </w:tc>
        <w:tc>
          <w:tcPr>
            <w:tcW w:w="14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3,710</w:t>
            </w:r>
          </w:p>
        </w:tc>
        <w:tc>
          <w:tcPr>
            <w:tcW w:w="160" w:type="dxa"/>
            <w:vAlign w:val="bottom"/>
          </w:tcPr>
          <w:p>
            <w:pPr>
              <w:spacing w:after="0"/>
              <w:rPr>
                <w:sz w:val="9"/>
                <w:szCs w:val="9"/>
                <w:color w:val="auto"/>
              </w:rPr>
            </w:pP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3,710</w:t>
            </w:r>
          </w:p>
        </w:tc>
      </w:tr>
      <w:tr>
        <w:trPr>
          <w:trHeight w:val="131"/>
        </w:trPr>
        <w:tc>
          <w:tcPr>
            <w:tcW w:w="242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94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28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ETP, Due 1/1/24)</w:t>
            </w:r>
          </w:p>
        </w:tc>
        <w:tc>
          <w:tcPr>
            <w:tcW w:w="68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r>
      <w:tr>
        <w:trPr>
          <w:trHeight w:val="115"/>
        </w:trPr>
        <w:tc>
          <w:tcPr>
            <w:tcW w:w="3660" w:type="dxa"/>
            <w:vAlign w:val="bottom"/>
            <w:gridSpan w:val="4"/>
            <w:shd w:val="clear" w:color="auto" w:fill="CCEEFF"/>
          </w:tcPr>
          <w:p>
            <w:pPr>
              <w:ind w:left="20"/>
              <w:spacing w:after="0" w:line="115" w:lineRule="exact"/>
              <w:rPr>
                <w:sz w:val="20"/>
                <w:szCs w:val="20"/>
                <w:color w:val="auto"/>
              </w:rPr>
            </w:pPr>
            <w:r>
              <w:rPr>
                <w:rFonts w:ascii="Arial" w:cs="Arial" w:eastAsia="Arial" w:hAnsi="Arial"/>
                <w:sz w:val="11"/>
                <w:szCs w:val="11"/>
                <w:color w:val="auto"/>
                <w:w w:val="98"/>
              </w:rPr>
              <w:t>Total Non-Affiliate Debt Investments — Healthcare information and services</w:t>
            </w:r>
          </w:p>
        </w:tc>
        <w:tc>
          <w:tcPr>
            <w:tcW w:w="2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23,064</w:t>
            </w:r>
          </w:p>
        </w:tc>
        <w:tc>
          <w:tcPr>
            <w:tcW w:w="16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23,064</w:t>
            </w:r>
          </w:p>
        </w:tc>
      </w:tr>
      <w:tr>
        <w:trPr>
          <w:trHeight w:val="115"/>
        </w:trPr>
        <w:tc>
          <w:tcPr>
            <w:tcW w:w="256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b w:val="1"/>
                <w:bCs w:val="1"/>
                <w:color w:val="auto"/>
              </w:rPr>
              <w:t>Total Non- Affiliate Debt Investments</w:t>
            </w:r>
          </w:p>
        </w:tc>
        <w:tc>
          <w:tcPr>
            <w:tcW w:w="94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27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311,117</w:t>
            </w:r>
          </w:p>
        </w:tc>
        <w:tc>
          <w:tcPr>
            <w:tcW w:w="16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302,312</w:t>
            </w:r>
          </w:p>
        </w:tc>
      </w:tr>
      <w:tr>
        <w:trPr>
          <w:trHeight w:val="115"/>
        </w:trPr>
        <w:tc>
          <w:tcPr>
            <w:tcW w:w="256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Warrant Investments — 3.3% (8)</w:t>
            </w: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22"/>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w w:val="98"/>
              </w:rPr>
              <w:t>Non-Affiliate Warrants — Life Science — 0.5% (8)</w:t>
            </w: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21"/>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Alpine Immune Sciences, Inc. (5)(12)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4,632 Common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122</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Castle Creek Pharmaceuticals, Inc. (2)(12)</w:t>
            </w:r>
          </w:p>
        </w:tc>
        <w:tc>
          <w:tcPr>
            <w:tcW w:w="11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2,428 Preferred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144</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144</w:t>
            </w:r>
          </w:p>
        </w:tc>
      </w:tr>
      <w:tr>
        <w:trPr>
          <w:trHeight w:val="121"/>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Celsion Corporation (2)(5)(12)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95,057 Common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65</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Corvium, Inc. (2)(12)</w:t>
            </w:r>
          </w:p>
        </w:tc>
        <w:tc>
          <w:tcPr>
            <w:tcW w:w="11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661,956 Preferred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53</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19</w:t>
            </w:r>
          </w:p>
        </w:tc>
      </w:tr>
      <w:tr>
        <w:trPr>
          <w:trHeight w:val="122"/>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Encore Dermatology, Inc. (2)(12)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506,626 Preferred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113</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Espero BioPharma, Inc. (2)(5)(12)</w:t>
            </w:r>
          </w:p>
        </w:tc>
        <w:tc>
          <w:tcPr>
            <w:tcW w:w="11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1,507,917 Common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184</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LogicBio, Inc. (2)(5)(12)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7,843 Common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Mustang Bio, Inc. (2)(5)(12)</w:t>
            </w:r>
          </w:p>
        </w:tc>
        <w:tc>
          <w:tcPr>
            <w:tcW w:w="11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72,046 Common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140</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38</w:t>
            </w:r>
          </w:p>
        </w:tc>
      </w:tr>
      <w:tr>
        <w:trPr>
          <w:trHeight w:val="122"/>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Rocket Pharmaceuticals Corporation (5)(12)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7,051 Common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w:t>
            </w:r>
          </w:p>
        </w:tc>
      </w:tr>
      <w:tr>
        <w:trPr>
          <w:trHeight w:val="122"/>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Palatin Technologies, Inc. (2)(5)(12)</w:t>
            </w:r>
          </w:p>
        </w:tc>
        <w:tc>
          <w:tcPr>
            <w:tcW w:w="11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274,725 Common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20</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Strongbridge U.S. Inc. (2)(5)(12)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160,714 Common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w:t>
            </w:r>
          </w:p>
        </w:tc>
      </w:tr>
      <w:tr>
        <w:trPr>
          <w:trHeight w:val="122"/>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Sunesis Pharmaceuticals, Inc. (5)(12)</w:t>
            </w:r>
          </w:p>
        </w:tc>
        <w:tc>
          <w:tcPr>
            <w:tcW w:w="11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2,050 Common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vTv Therapeutics Inc. (2)(5)(12)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95,293 Common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Titan Pharmaceuticals, Inc. (2)(5)(12)</w:t>
            </w:r>
          </w:p>
        </w:tc>
        <w:tc>
          <w:tcPr>
            <w:tcW w:w="1100" w:type="dxa"/>
            <w:vAlign w:val="bottom"/>
            <w:gridSpan w:val="2"/>
          </w:tcPr>
          <w:p>
            <w:pPr>
              <w:spacing w:after="0" w:line="122" w:lineRule="exact"/>
              <w:rPr>
                <w:sz w:val="20"/>
                <w:szCs w:val="20"/>
                <w:color w:val="auto"/>
              </w:rPr>
            </w:pPr>
            <w:r>
              <w:rPr>
                <w:rFonts w:ascii="Arial" w:cs="Arial" w:eastAsia="Arial" w:hAnsi="Arial"/>
                <w:sz w:val="11"/>
                <w:szCs w:val="11"/>
                <w:color w:val="auto"/>
              </w:rPr>
              <w:t>Drug Delivery</w:t>
            </w: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373,333 Common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95</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AccuVein Inc. (2)(12)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1,174,881 Preferred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w:t>
            </w:r>
          </w:p>
        </w:tc>
      </w:tr>
      <w:tr>
        <w:trPr>
          <w:trHeight w:val="122"/>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Aerin Medical, Inc. (2)(12)</w:t>
            </w:r>
          </w:p>
        </w:tc>
        <w:tc>
          <w:tcPr>
            <w:tcW w:w="110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1,818,183 Preferred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66</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62</w:t>
            </w:r>
          </w:p>
        </w:tc>
      </w:tr>
      <w:tr>
        <w:trPr>
          <w:trHeight w:val="122"/>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Bardy Diagnostics, Inc. (2)(12)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346,154 Preferred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56</w:t>
            </w:r>
          </w:p>
        </w:tc>
      </w:tr>
      <w:tr>
        <w:trPr>
          <w:trHeight w:val="121"/>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Conventus Orthopaedics, Inc. (2)(12)</w:t>
            </w:r>
          </w:p>
        </w:tc>
        <w:tc>
          <w:tcPr>
            <w:tcW w:w="110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1,145,000 Preferred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149</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66</w:t>
            </w:r>
          </w:p>
        </w:tc>
      </w:tr>
      <w:tr>
        <w:trPr>
          <w:trHeight w:val="122"/>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CSA Medical, Inc. (12)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1,366,851 Preferred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152</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115</w:t>
            </w:r>
          </w:p>
        </w:tc>
      </w:tr>
      <w:tr>
        <w:trPr>
          <w:trHeight w:val="121"/>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CVRx, Inc.(2)(12)</w:t>
            </w:r>
          </w:p>
        </w:tc>
        <w:tc>
          <w:tcPr>
            <w:tcW w:w="110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750,000 Preferred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76</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74</w:t>
            </w:r>
          </w:p>
        </w:tc>
      </w:tr>
      <w:tr>
        <w:trPr>
          <w:trHeight w:val="122"/>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Lantos Technologies, Inc. (2)(12)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560,832 Preferred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253</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w:t>
            </w:r>
          </w:p>
        </w:tc>
      </w:tr>
      <w:tr>
        <w:trPr>
          <w:trHeight w:val="121"/>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MacuLogix, Inc. (2)(12)</w:t>
            </w:r>
          </w:p>
        </w:tc>
        <w:tc>
          <w:tcPr>
            <w:tcW w:w="110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454,460 Preferred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238</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92</w:t>
            </w:r>
          </w:p>
        </w:tc>
      </w:tr>
      <w:tr>
        <w:trPr>
          <w:trHeight w:val="122"/>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Meditrina, Inc. (2)(12)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221,510 Preferred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78</w:t>
            </w:r>
          </w:p>
        </w:tc>
      </w:tr>
      <w:tr>
        <w:trPr>
          <w:trHeight w:val="122"/>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NinePoint Medical, Inc. (2)(12)</w:t>
            </w:r>
          </w:p>
        </w:tc>
        <w:tc>
          <w:tcPr>
            <w:tcW w:w="110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29,102 Preferred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33</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VERO Biotech LLC (2)(12)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408 Common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52</w:t>
            </w:r>
          </w:p>
        </w:tc>
        <w:tc>
          <w:tcPr>
            <w:tcW w:w="160" w:type="dxa"/>
            <w:vAlign w:val="bottom"/>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52</w:t>
            </w:r>
          </w:p>
        </w:tc>
      </w:tr>
      <w:tr>
        <w:trPr>
          <w:trHeight w:val="115"/>
        </w:trPr>
        <w:tc>
          <w:tcPr>
            <w:tcW w:w="256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color w:val="auto"/>
              </w:rPr>
              <w:t>Total Non-Affiliate Warrants — Life Science</w:t>
            </w:r>
          </w:p>
        </w:tc>
        <w:tc>
          <w:tcPr>
            <w:tcW w:w="94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272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2,262</w:t>
            </w:r>
          </w:p>
        </w:tc>
        <w:tc>
          <w:tcPr>
            <w:tcW w:w="160" w:type="dxa"/>
            <w:vAlign w:val="bottom"/>
            <w:tcBorders>
              <w:bottom w:val="single" w:sz="8" w:color="CCEEFF"/>
            </w:tcBorders>
          </w:tcPr>
          <w:p>
            <w:pPr>
              <w:spacing w:after="0"/>
              <w:rPr>
                <w:sz w:val="10"/>
                <w:szCs w:val="10"/>
                <w:color w:val="auto"/>
              </w:rPr>
            </w:pPr>
          </w:p>
        </w:tc>
        <w:tc>
          <w:tcPr>
            <w:tcW w:w="68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875</w:t>
            </w:r>
          </w:p>
        </w:tc>
      </w:tr>
      <w:tr>
        <w:trPr>
          <w:trHeight w:val="115"/>
        </w:trPr>
        <w:tc>
          <w:tcPr>
            <w:tcW w:w="256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w w:val="99"/>
              </w:rPr>
              <w:t>Non-Affiliate Warrants — Technology — 2.3% (8)</w:t>
            </w:r>
          </w:p>
        </w:tc>
        <w:tc>
          <w:tcPr>
            <w:tcW w:w="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7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r>
      <w:tr>
        <w:trPr>
          <w:trHeight w:val="121"/>
        </w:trPr>
        <w:tc>
          <w:tcPr>
            <w:tcW w:w="256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Audacy Corporation (2)(12)</w:t>
            </w:r>
          </w:p>
        </w:tc>
        <w:tc>
          <w:tcPr>
            <w:tcW w:w="1100" w:type="dxa"/>
            <w:vAlign w:val="bottom"/>
            <w:gridSpan w:val="2"/>
          </w:tcPr>
          <w:p>
            <w:pPr>
              <w:spacing w:after="0" w:line="122" w:lineRule="exact"/>
              <w:rPr>
                <w:sz w:val="20"/>
                <w:szCs w:val="20"/>
                <w:color w:val="auto"/>
              </w:rPr>
            </w:pPr>
            <w:r>
              <w:rPr>
                <w:rFonts w:ascii="Arial" w:cs="Arial" w:eastAsia="Arial" w:hAnsi="Arial"/>
                <w:sz w:val="11"/>
                <w:szCs w:val="11"/>
                <w:color w:val="auto"/>
              </w:rPr>
              <w:t>Communications</w:t>
            </w:r>
          </w:p>
        </w:tc>
        <w:tc>
          <w:tcPr>
            <w:tcW w:w="2860" w:type="dxa"/>
            <w:vAlign w:val="bottom"/>
            <w:gridSpan w:val="2"/>
          </w:tcPr>
          <w:p>
            <w:pPr>
              <w:spacing w:after="0" w:line="122" w:lineRule="exact"/>
              <w:rPr>
                <w:sz w:val="20"/>
                <w:szCs w:val="20"/>
                <w:color w:val="auto"/>
              </w:rPr>
            </w:pPr>
            <w:r>
              <w:rPr>
                <w:rFonts w:ascii="Arial" w:cs="Arial" w:eastAsia="Arial" w:hAnsi="Arial"/>
                <w:sz w:val="11"/>
                <w:szCs w:val="11"/>
                <w:color w:val="auto"/>
              </w:rPr>
              <w:t>1,545,575 Preferred Stock Warrants</w:t>
            </w: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194</w:t>
            </w:r>
          </w:p>
        </w:tc>
        <w:tc>
          <w:tcPr>
            <w:tcW w:w="16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5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Intelepeer Holdings, Inc. (2)(12)</w:t>
            </w:r>
          </w:p>
        </w:tc>
        <w:tc>
          <w:tcPr>
            <w:tcW w:w="11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Communications</w:t>
            </w:r>
          </w:p>
        </w:tc>
        <w:tc>
          <w:tcPr>
            <w:tcW w:w="2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2,134,617 Preferred Stock Warrants</w:t>
            </w: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144</w:t>
            </w: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w:t>
            </w:r>
          </w:p>
        </w:tc>
      </w:tr>
      <w:tr>
        <w:trPr>
          <w:trHeight w:val="136"/>
        </w:trPr>
        <w:tc>
          <w:tcPr>
            <w:tcW w:w="2560" w:type="dxa"/>
            <w:vAlign w:val="bottom"/>
            <w:gridSpan w:val="2"/>
          </w:tcPr>
          <w:p>
            <w:pPr>
              <w:ind w:left="20"/>
              <w:spacing w:after="0"/>
              <w:rPr>
                <w:sz w:val="20"/>
                <w:szCs w:val="20"/>
                <w:color w:val="auto"/>
              </w:rPr>
            </w:pPr>
            <w:r>
              <w:rPr>
                <w:rFonts w:ascii="Arial" w:cs="Arial" w:eastAsia="Arial" w:hAnsi="Arial"/>
                <w:sz w:val="11"/>
                <w:szCs w:val="11"/>
                <w:color w:val="auto"/>
              </w:rPr>
              <w:t>PebblePost, Inc. (2)(12)</w:t>
            </w:r>
          </w:p>
        </w:tc>
        <w:tc>
          <w:tcPr>
            <w:tcW w:w="1100" w:type="dxa"/>
            <w:vAlign w:val="bottom"/>
            <w:gridSpan w:val="2"/>
          </w:tcPr>
          <w:p>
            <w:pPr>
              <w:spacing w:after="0"/>
              <w:rPr>
                <w:sz w:val="20"/>
                <w:szCs w:val="20"/>
                <w:color w:val="auto"/>
              </w:rPr>
            </w:pPr>
            <w:r>
              <w:rPr>
                <w:rFonts w:ascii="Arial" w:cs="Arial" w:eastAsia="Arial" w:hAnsi="Arial"/>
                <w:sz w:val="11"/>
                <w:szCs w:val="11"/>
                <w:color w:val="auto"/>
              </w:rPr>
              <w:t>Communications</w:t>
            </w:r>
          </w:p>
        </w:tc>
        <w:tc>
          <w:tcPr>
            <w:tcW w:w="2860" w:type="dxa"/>
            <w:vAlign w:val="bottom"/>
            <w:gridSpan w:val="2"/>
          </w:tcPr>
          <w:p>
            <w:pPr>
              <w:spacing w:after="0"/>
              <w:rPr>
                <w:sz w:val="20"/>
                <w:szCs w:val="20"/>
                <w:color w:val="auto"/>
              </w:rPr>
            </w:pPr>
            <w:r>
              <w:rPr>
                <w:rFonts w:ascii="Arial" w:cs="Arial" w:eastAsia="Arial" w:hAnsi="Arial"/>
                <w:sz w:val="11"/>
                <w:szCs w:val="11"/>
                <w:color w:val="auto"/>
              </w:rPr>
              <w:t>598,850 Preferred Stock Warrants</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92</w:t>
            </w:r>
          </w:p>
        </w:tc>
        <w:tc>
          <w:tcPr>
            <w:tcW w:w="16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144</w:t>
            </w: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Cost of</w:t>
            </w:r>
          </w:p>
        </w:tc>
        <w:tc>
          <w:tcPr>
            <w:tcW w:w="120" w:type="dxa"/>
            <w:vAlign w:val="bottom"/>
          </w:tcPr>
          <w:p>
            <w:pPr>
              <w:spacing w:after="0"/>
              <w:rPr>
                <w:sz w:val="10"/>
                <w:szCs w:val="10"/>
                <w:color w:val="auto"/>
              </w:rPr>
            </w:pPr>
          </w:p>
        </w:tc>
        <w:tc>
          <w:tcPr>
            <w:tcW w:w="54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58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080" w:type="dxa"/>
            <w:vAlign w:val="bottom"/>
            <w:gridSpan w:val="2"/>
          </w:tcPr>
          <w:p>
            <w:pPr>
              <w:ind w:left="320"/>
              <w:spacing w:after="0"/>
              <w:rPr>
                <w:sz w:val="20"/>
                <w:szCs w:val="20"/>
                <w:color w:val="auto"/>
              </w:rPr>
            </w:pPr>
            <w:r>
              <w:rPr>
                <w:rFonts w:ascii="Arial" w:cs="Arial" w:eastAsia="Arial" w:hAnsi="Arial"/>
                <w:sz w:val="11"/>
                <w:szCs w:val="11"/>
                <w:b w:val="1"/>
                <w:bCs w:val="1"/>
                <w:color w:val="auto"/>
              </w:rPr>
              <w:t>Sector</w:t>
            </w:r>
          </w:p>
        </w:tc>
        <w:tc>
          <w:tcPr>
            <w:tcW w:w="3700" w:type="dxa"/>
            <w:vAlign w:val="bottom"/>
            <w:gridSpan w:val="2"/>
          </w:tcPr>
          <w:p>
            <w:pPr>
              <w:ind w:left="640"/>
              <w:spacing w:after="0"/>
              <w:rPr>
                <w:sz w:val="20"/>
                <w:szCs w:val="20"/>
                <w:color w:val="auto"/>
              </w:rPr>
            </w:pPr>
            <w:r>
              <w:rPr>
                <w:rFonts w:ascii="Arial" w:cs="Arial" w:eastAsia="Arial" w:hAnsi="Arial"/>
                <w:sz w:val="11"/>
                <w:szCs w:val="11"/>
                <w:b w:val="1"/>
                <w:bCs w:val="1"/>
                <w:color w:val="auto"/>
              </w:rPr>
              <w:t>Type of Investment (4)(7)(9)(10)</w:t>
            </w:r>
          </w:p>
        </w:tc>
        <w:tc>
          <w:tcPr>
            <w:tcW w:w="880" w:type="dxa"/>
            <w:vAlign w:val="bottom"/>
            <w:gridSpan w:val="3"/>
          </w:tcPr>
          <w:p>
            <w:pPr>
              <w:spacing w:after="0"/>
              <w:rPr>
                <w:sz w:val="20"/>
                <w:szCs w:val="20"/>
                <w:color w:val="auto"/>
              </w:rPr>
            </w:pPr>
            <w:r>
              <w:rPr>
                <w:rFonts w:ascii="Arial" w:cs="Arial" w:eastAsia="Arial" w:hAnsi="Arial"/>
                <w:sz w:val="11"/>
                <w:szCs w:val="11"/>
                <w:b w:val="1"/>
                <w:bCs w:val="1"/>
                <w:color w:val="auto"/>
              </w:rPr>
              <w:t>Investments (6)</w:t>
            </w:r>
          </w:p>
        </w:tc>
        <w:tc>
          <w:tcPr>
            <w:tcW w:w="120" w:type="dxa"/>
            <w:vAlign w:val="bottom"/>
          </w:tcPr>
          <w:p>
            <w:pPr>
              <w:spacing w:after="0"/>
              <w:rPr>
                <w:sz w:val="11"/>
                <w:szCs w:val="11"/>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05"/>
        </w:trPr>
        <w:tc>
          <w:tcPr>
            <w:tcW w:w="2420" w:type="dxa"/>
            <w:vAlign w:val="bottom"/>
            <w:tcBorders>
              <w:top w:val="single" w:sz="8" w:color="auto"/>
            </w:tcBorders>
            <w:shd w:val="clear" w:color="auto" w:fill="CCEEFF"/>
          </w:tcPr>
          <w:p>
            <w:pPr>
              <w:ind w:left="20"/>
              <w:spacing w:after="0" w:line="105" w:lineRule="exact"/>
              <w:rPr>
                <w:sz w:val="20"/>
                <w:szCs w:val="20"/>
                <w:color w:val="auto"/>
              </w:rPr>
            </w:pPr>
            <w:r>
              <w:rPr>
                <w:rFonts w:ascii="Arial" w:cs="Arial" w:eastAsia="Arial" w:hAnsi="Arial"/>
                <w:sz w:val="11"/>
                <w:szCs w:val="11"/>
                <w:color w:val="auto"/>
              </w:rPr>
              <w:t>Betabrand Corporation (2)(12)</w:t>
            </w:r>
          </w:p>
        </w:tc>
        <w:tc>
          <w:tcPr>
            <w:tcW w:w="160" w:type="dxa"/>
            <w:vAlign w:val="bottom"/>
            <w:tcBorders>
              <w:top w:val="single" w:sz="8" w:color="CCEEFF"/>
            </w:tcBorders>
            <w:shd w:val="clear" w:color="auto" w:fill="CCEEFF"/>
          </w:tcPr>
          <w:p>
            <w:pPr>
              <w:spacing w:after="0"/>
              <w:rPr>
                <w:sz w:val="9"/>
                <w:szCs w:val="9"/>
                <w:color w:val="auto"/>
              </w:rPr>
            </w:pPr>
          </w:p>
        </w:tc>
        <w:tc>
          <w:tcPr>
            <w:tcW w:w="94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rPr>
              <w:t>Consumer-related</w:t>
            </w:r>
          </w:p>
        </w:tc>
        <w:tc>
          <w:tcPr>
            <w:tcW w:w="140" w:type="dxa"/>
            <w:vAlign w:val="bottom"/>
            <w:tcBorders>
              <w:top w:val="single" w:sz="8" w:color="CCEEFF"/>
            </w:tcBorders>
            <w:shd w:val="clear" w:color="auto" w:fill="CCEEFF"/>
          </w:tcPr>
          <w:p>
            <w:pPr>
              <w:spacing w:after="0"/>
              <w:rPr>
                <w:sz w:val="9"/>
                <w:szCs w:val="9"/>
                <w:color w:val="auto"/>
              </w:rPr>
            </w:pPr>
          </w:p>
        </w:tc>
        <w:tc>
          <w:tcPr>
            <w:tcW w:w="274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rPr>
              <w:t>248,210 Preferred Stock Warrants</w:t>
            </w:r>
          </w:p>
        </w:tc>
        <w:tc>
          <w:tcPr>
            <w:tcW w:w="9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106</w:t>
            </w:r>
          </w:p>
        </w:tc>
        <w:tc>
          <w:tcPr>
            <w:tcW w:w="1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98</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7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Caastle, Inc.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3700" w:type="dxa"/>
            <w:vAlign w:val="bottom"/>
            <w:gridSpan w:val="2"/>
          </w:tcPr>
          <w:p>
            <w:pPr>
              <w:spacing w:after="0" w:line="112" w:lineRule="exact"/>
              <w:rPr>
                <w:sz w:val="20"/>
                <w:szCs w:val="20"/>
                <w:color w:val="auto"/>
              </w:rPr>
            </w:pPr>
            <w:r>
              <w:rPr>
                <w:rFonts w:ascii="Arial" w:cs="Arial" w:eastAsia="Arial" w:hAnsi="Arial"/>
                <w:sz w:val="11"/>
                <w:szCs w:val="11"/>
                <w:color w:val="auto"/>
              </w:rPr>
              <w:t>261,198 Preferred Stock Warrants</w:t>
            </w: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68</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821</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Le Tote, Inc. (2)(12)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37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202,974 Preferred Stock Warrants</w:t>
            </w: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63</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347</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7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Mohawk Group Holdings, Inc. (2)(12)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3700" w:type="dxa"/>
            <w:vAlign w:val="bottom"/>
            <w:gridSpan w:val="2"/>
          </w:tcPr>
          <w:p>
            <w:pPr>
              <w:spacing w:after="0" w:line="112" w:lineRule="exact"/>
              <w:rPr>
                <w:sz w:val="20"/>
                <w:szCs w:val="20"/>
                <w:color w:val="auto"/>
              </w:rPr>
            </w:pPr>
            <w:r>
              <w:rPr>
                <w:rFonts w:ascii="Arial" w:cs="Arial" w:eastAsia="Arial" w:hAnsi="Arial"/>
                <w:sz w:val="11"/>
                <w:szCs w:val="11"/>
                <w:color w:val="auto"/>
              </w:rPr>
              <w:t>76,923 Common Stock Warrants</w:t>
            </w: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195</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Rhapsody International Inc. (2)(12)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37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852,273 Common Stock Warrants</w:t>
            </w: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164</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7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Updater, Inc.(2)(12)</w:t>
            </w:r>
          </w:p>
        </w:tc>
        <w:tc>
          <w:tcPr>
            <w:tcW w:w="108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3700" w:type="dxa"/>
            <w:vAlign w:val="bottom"/>
            <w:gridSpan w:val="2"/>
          </w:tcPr>
          <w:p>
            <w:pPr>
              <w:spacing w:after="0" w:line="112" w:lineRule="exact"/>
              <w:rPr>
                <w:sz w:val="20"/>
                <w:szCs w:val="20"/>
                <w:color w:val="auto"/>
              </w:rPr>
            </w:pPr>
            <w:r>
              <w:rPr>
                <w:rFonts w:ascii="Arial" w:cs="Arial" w:eastAsia="Arial" w:hAnsi="Arial"/>
                <w:sz w:val="11"/>
                <w:szCs w:val="11"/>
                <w:color w:val="auto"/>
              </w:rPr>
              <w:t>108,333 Common Stock Warrants</w:t>
            </w: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34</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27</w:t>
            </w:r>
          </w:p>
        </w:tc>
      </w:tr>
      <w:tr>
        <w:trPr>
          <w:trHeight w:val="131"/>
        </w:trPr>
        <w:tc>
          <w:tcPr>
            <w:tcW w:w="2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Canara,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Data Storage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500,000 Preferred Stock Warrants</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242</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457</w:t>
            </w:r>
          </w:p>
        </w:tc>
      </w:tr>
      <w:tr>
        <w:trPr>
          <w:trHeight w:val="121"/>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Kaminario,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Data Storage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26,816,363 Preferred Stock Warrants</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235</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218</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Global Worldwide LLC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Internet and Media</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245,810 Preferred Stock Warrants</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w:t>
            </w: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Rocket Lawyer Incorporated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Internet and Media</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261,721 Preferred Stock Warrants</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92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70</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Skillshare,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Internet and Media</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173,717 Preferred Stock Warrants</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162</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144</w:t>
            </w:r>
          </w:p>
        </w:tc>
      </w:tr>
      <w:tr>
        <w:trPr>
          <w:trHeight w:val="121"/>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The NanoSteel Company,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Materials</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818,807 Preferred Stock Warrants</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234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87</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Kinestral,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Power Management</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3,454,774 Preferred Stock Warrants</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607</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545</w:t>
            </w: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Avalanche Technology,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Semiconductors</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202,602 Preferred Stock Warrants</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101</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167</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Soraa,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Semiconductors</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203,616 Preferred Stock Warrants</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80</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BSI Platform Holdings, LLC (2)(12)(13)</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187,500 Preferred Stock Warrants</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19</w:t>
            </w:r>
          </w:p>
        </w:tc>
      </w:tr>
      <w:tr>
        <w:trPr>
          <w:trHeight w:val="121"/>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Clarabridge, Inc. (12)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53,486 Preferred Stock Warrants</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103</w:t>
            </w: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Education Elements,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238,121 Preferred Stock Warrants</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28</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21</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Keypath Education, Inc.(2)(12)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900,000 Preferred Stock Warrants</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158</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158</w:t>
            </w: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Lotame Solutions,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288,115 Preferred Stock Warrants</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269</w:t>
            </w:r>
          </w:p>
        </w:tc>
      </w:tr>
      <w:tr>
        <w:trPr>
          <w:trHeight w:val="121"/>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OutboundEngine,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600,000 Preferred Stock Warrants</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77</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74</w:t>
            </w: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Revinate,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459,770 Preferred Stock Warrants</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36</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34</w:t>
            </w:r>
          </w:p>
        </w:tc>
      </w:tr>
      <w:tr>
        <w:trPr>
          <w:trHeight w:val="121"/>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Riv Data Corp.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321,428 Preferred Stock Warrants</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291</w:t>
            </w: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ShopKeep.com,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193,962 Preferred Stock Warrants</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118</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106</w:t>
            </w:r>
          </w:p>
        </w:tc>
      </w:tr>
      <w:tr>
        <w:trPr>
          <w:trHeight w:val="121"/>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SIGNiX, Inc. (12)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133,560 Preferred Stock Warrants</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225</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Skyword, Inc. (12)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301,056 Preferred Stock Warrants</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48</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Weblinc Corporation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195,122 Preferred Stock Warrants</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58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xAd, Inc. (2)(12)</w:t>
            </w:r>
          </w:p>
        </w:tc>
        <w:tc>
          <w:tcPr>
            <w:tcW w:w="108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4,343,348 Preferred Stock Warrants</w:t>
            </w: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177</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230</w:t>
            </w:r>
          </w:p>
        </w:tc>
      </w:tr>
      <w:tr>
        <w:trPr>
          <w:trHeight w:val="115"/>
        </w:trPr>
        <w:tc>
          <w:tcPr>
            <w:tcW w:w="258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Non-Affiliate Warrants — Technology</w:t>
            </w: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3,871</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4,512</w:t>
            </w:r>
          </w:p>
        </w:tc>
      </w:tr>
      <w:tr>
        <w:trPr>
          <w:trHeight w:val="115"/>
        </w:trPr>
        <w:tc>
          <w:tcPr>
            <w:tcW w:w="258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w w:val="96"/>
              </w:rPr>
              <w:t>Non-Affiliate Warrants — Sustainability — 0.0% (8)</w:t>
            </w: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Tigo Energy,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Energy Efficiency</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804,604 Preferred Stock Warrants</w:t>
            </w: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100</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15"/>
        </w:trPr>
        <w:tc>
          <w:tcPr>
            <w:tcW w:w="258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color w:val="auto"/>
              </w:rPr>
              <w:t>Total Non-Affiliate Warrants — Sustainability</w:t>
            </w:r>
          </w:p>
        </w:tc>
        <w:tc>
          <w:tcPr>
            <w:tcW w:w="9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4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100</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r>
      <w:tr>
        <w:trPr>
          <w:trHeight w:val="115"/>
        </w:trPr>
        <w:tc>
          <w:tcPr>
            <w:tcW w:w="3660" w:type="dxa"/>
            <w:vAlign w:val="bottom"/>
            <w:gridSpan w:val="4"/>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w w:val="94"/>
              </w:rPr>
              <w:t>Non-Affiliate Warrants — Healthcare information and services — 0.5% (8)</w:t>
            </w:r>
          </w:p>
        </w:tc>
        <w:tc>
          <w:tcPr>
            <w:tcW w:w="27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1"/>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ProterixBio,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Diagnostics</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2,676 Common Stock Warrants</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42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Kate Farms,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Other Healthcare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69,137 Preferred Stock Warrants</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86</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77</w:t>
            </w:r>
          </w:p>
        </w:tc>
      </w:tr>
      <w:tr>
        <w:trPr>
          <w:trHeight w:val="121"/>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Watermark Medical,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Other Healthcare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27,373 Preferred Stock Warrants</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Catasys, Inc. (2)(5)(12)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51,185 Common Stock Warrants</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193</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243</w:t>
            </w: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HealthEdge Software, Inc.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205,481 Preferred Stock Warrants</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83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477</w:t>
            </w:r>
          </w:p>
        </w:tc>
      </w:tr>
      <w:tr>
        <w:trPr>
          <w:trHeight w:val="121"/>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Medsphere Systems Corporation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7,097,792 Preferred Stock Warrants</w:t>
            </w: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60</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188</w:t>
            </w:r>
          </w:p>
        </w:tc>
      </w:tr>
      <w:tr>
        <w:trPr>
          <w:trHeight w:val="115"/>
        </w:trPr>
        <w:tc>
          <w:tcPr>
            <w:tcW w:w="3660" w:type="dxa"/>
            <w:vAlign w:val="bottom"/>
            <w:tcBorders>
              <w:bottom w:val="single" w:sz="8" w:color="CCEEFF"/>
            </w:tcBorders>
            <w:gridSpan w:val="4"/>
          </w:tcPr>
          <w:p>
            <w:pPr>
              <w:ind w:left="20"/>
              <w:spacing w:after="0" w:line="115" w:lineRule="exact"/>
              <w:rPr>
                <w:sz w:val="20"/>
                <w:szCs w:val="20"/>
                <w:color w:val="auto"/>
              </w:rPr>
            </w:pPr>
            <w:r>
              <w:rPr>
                <w:rFonts w:ascii="Arial" w:cs="Arial" w:eastAsia="Arial" w:hAnsi="Arial"/>
                <w:sz w:val="11"/>
                <w:szCs w:val="11"/>
                <w:color w:val="auto"/>
              </w:rPr>
              <w:t>Total Non-Affiliate Warrants — Healthcare information and services</w:t>
            </w:r>
          </w:p>
        </w:tc>
        <w:tc>
          <w:tcPr>
            <w:tcW w:w="274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538</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985</w:t>
            </w:r>
          </w:p>
        </w:tc>
      </w:tr>
      <w:tr>
        <w:trPr>
          <w:trHeight w:val="115"/>
        </w:trPr>
        <w:tc>
          <w:tcPr>
            <w:tcW w:w="258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Non-Affiliate Warrants</w:t>
            </w: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6,771</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6,372</w:t>
            </w:r>
          </w:p>
        </w:tc>
      </w:tr>
      <w:tr>
        <w:trPr>
          <w:trHeight w:val="115"/>
        </w:trPr>
        <w:tc>
          <w:tcPr>
            <w:tcW w:w="2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Non-Affiliate Other Investments — 0.3% (8)</w:t>
            </w: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1"/>
        </w:trPr>
        <w:tc>
          <w:tcPr>
            <w:tcW w:w="258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ZetrOZ, Inc. (12)</w:t>
            </w:r>
          </w:p>
        </w:tc>
        <w:tc>
          <w:tcPr>
            <w:tcW w:w="108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37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Royalty Agreement</w:t>
            </w: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33</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500</w:t>
            </w:r>
          </w:p>
        </w:tc>
      </w:tr>
      <w:tr>
        <w:trPr>
          <w:trHeight w:val="115"/>
        </w:trPr>
        <w:tc>
          <w:tcPr>
            <w:tcW w:w="258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Non-Affiliate Other Investments</w:t>
            </w: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33</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500</w:t>
            </w:r>
          </w:p>
        </w:tc>
      </w:tr>
      <w:tr>
        <w:trPr>
          <w:trHeight w:val="115"/>
        </w:trPr>
        <w:tc>
          <w:tcPr>
            <w:tcW w:w="24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Non-Affiliate Equity — 0.2% (8)</w:t>
            </w:r>
          </w:p>
        </w:tc>
        <w:tc>
          <w:tcPr>
            <w:tcW w:w="9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1"/>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Sunesis Pharmaceuticals, Inc. (5)</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13,082 Common Stock</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83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SnagAJob.com, Inc. (12)</w:t>
            </w:r>
          </w:p>
        </w:tc>
        <w:tc>
          <w:tcPr>
            <w:tcW w:w="10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37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82,974 Common Stock</w:t>
            </w: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83</w:t>
            </w:r>
          </w:p>
        </w:tc>
      </w:tr>
      <w:tr>
        <w:trPr>
          <w:trHeight w:val="131"/>
        </w:trPr>
        <w:tc>
          <w:tcPr>
            <w:tcW w:w="2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7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21"/>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Zeta Global Holdings Corp. (2)(12)</w:t>
            </w:r>
          </w:p>
        </w:tc>
        <w:tc>
          <w:tcPr>
            <w:tcW w:w="1080" w:type="dxa"/>
            <w:vAlign w:val="bottom"/>
            <w:gridSpan w:val="2"/>
          </w:tcPr>
          <w:p>
            <w:pPr>
              <w:spacing w:after="0" w:line="122" w:lineRule="exact"/>
              <w:rPr>
                <w:sz w:val="20"/>
                <w:szCs w:val="20"/>
                <w:color w:val="auto"/>
              </w:rPr>
            </w:pPr>
            <w:r>
              <w:rPr>
                <w:rFonts w:ascii="Arial" w:cs="Arial" w:eastAsia="Arial" w:hAnsi="Arial"/>
                <w:sz w:val="11"/>
                <w:szCs w:val="11"/>
                <w:color w:val="auto"/>
              </w:rPr>
              <w:t>Internet and Media</w:t>
            </w:r>
          </w:p>
        </w:tc>
        <w:tc>
          <w:tcPr>
            <w:tcW w:w="3700" w:type="dxa"/>
            <w:vAlign w:val="bottom"/>
            <w:gridSpan w:val="2"/>
          </w:tcPr>
          <w:p>
            <w:pPr>
              <w:spacing w:after="0" w:line="122" w:lineRule="exact"/>
              <w:rPr>
                <w:sz w:val="20"/>
                <w:szCs w:val="20"/>
                <w:color w:val="auto"/>
              </w:rPr>
            </w:pPr>
            <w:r>
              <w:rPr>
                <w:rFonts w:ascii="Arial" w:cs="Arial" w:eastAsia="Arial" w:hAnsi="Arial"/>
                <w:sz w:val="11"/>
                <w:szCs w:val="11"/>
                <w:color w:val="auto"/>
              </w:rPr>
              <w:t>18,405 Common Stock</w:t>
            </w: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240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240</w:t>
            </w:r>
          </w:p>
        </w:tc>
      </w:tr>
      <w:tr>
        <w:trPr>
          <w:trHeight w:val="122"/>
        </w:trPr>
        <w:tc>
          <w:tcPr>
            <w:tcW w:w="25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Formetrix, Inc. (2)(12)</w:t>
            </w:r>
          </w:p>
        </w:tc>
        <w:tc>
          <w:tcPr>
            <w:tcW w:w="10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Materials</w:t>
            </w:r>
          </w:p>
        </w:tc>
        <w:tc>
          <w:tcPr>
            <w:tcW w:w="37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74,286 Common Stock</w:t>
            </w: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74</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74</w:t>
            </w:r>
          </w:p>
        </w:tc>
      </w:tr>
      <w:tr>
        <w:trPr>
          <w:trHeight w:val="115"/>
        </w:trPr>
        <w:tc>
          <w:tcPr>
            <w:tcW w:w="258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b w:val="1"/>
                <w:bCs w:val="1"/>
                <w:color w:val="auto"/>
              </w:rPr>
              <w:t>Total Non-Affiliate Equity</w:t>
            </w:r>
          </w:p>
        </w:tc>
        <w:tc>
          <w:tcPr>
            <w:tcW w:w="9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40" w:type="dxa"/>
            <w:vAlign w:val="bottom"/>
            <w:tcBorders>
              <w:bottom w:val="single" w:sz="8" w:color="CCEEFF"/>
            </w:tcBorders>
          </w:tcPr>
          <w:p>
            <w:pPr>
              <w:spacing w:after="0"/>
              <w:rPr>
                <w:sz w:val="10"/>
                <w:szCs w:val="10"/>
                <w:color w:val="auto"/>
              </w:rPr>
            </w:pPr>
          </w:p>
        </w:tc>
        <w:tc>
          <w:tcPr>
            <w:tcW w:w="9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406</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403</w:t>
            </w:r>
          </w:p>
        </w:tc>
      </w:tr>
      <w:tr>
        <w:trPr>
          <w:trHeight w:val="115"/>
        </w:trPr>
        <w:tc>
          <w:tcPr>
            <w:tcW w:w="2580" w:type="dxa"/>
            <w:vAlign w:val="bottom"/>
            <w:tcBorders>
              <w:bottom w:val="single" w:sz="8" w:color="CCEEFF"/>
            </w:tcBorders>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Non-Affiliate Portfolio Investment Assets</w:t>
            </w:r>
          </w:p>
        </w:tc>
        <w:tc>
          <w:tcPr>
            <w:tcW w:w="9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740" w:type="dxa"/>
            <w:vAlign w:val="bottom"/>
            <w:tcBorders>
              <w:bottom w:val="single" w:sz="8" w:color="CCEEFF"/>
            </w:tcBorders>
            <w:shd w:val="clear" w:color="auto" w:fill="CCEEFF"/>
          </w:tcPr>
          <w:p>
            <w:pPr>
              <w:spacing w:after="0"/>
              <w:rPr>
                <w:sz w:val="10"/>
                <w:szCs w:val="10"/>
                <w:color w:val="auto"/>
              </w:rPr>
            </w:pPr>
          </w:p>
        </w:tc>
        <w:tc>
          <w:tcPr>
            <w:tcW w:w="9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318,327</w:t>
            </w:r>
          </w:p>
        </w:tc>
        <w:tc>
          <w:tcPr>
            <w:tcW w:w="1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309,587</w:t>
            </w:r>
          </w:p>
        </w:tc>
      </w:tr>
      <w:tr>
        <w:trPr>
          <w:trHeight w:val="20"/>
        </w:trPr>
        <w:tc>
          <w:tcPr>
            <w:tcW w:w="2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3"/>
          </w:tcPr>
          <w:p>
            <w:pPr>
              <w:jc w:val="center"/>
              <w:ind w:right="120"/>
              <w:spacing w:after="0"/>
              <w:rPr>
                <w:sz w:val="20"/>
                <w:szCs w:val="20"/>
                <w:color w:val="auto"/>
              </w:rPr>
            </w:pPr>
            <w:r>
              <w:rPr>
                <w:rFonts w:ascii="Arial" w:cs="Arial" w:eastAsia="Arial" w:hAnsi="Arial"/>
                <w:sz w:val="11"/>
                <w:szCs w:val="11"/>
                <w:b w:val="1"/>
                <w:bCs w:val="1"/>
                <w:color w:val="auto"/>
                <w:w w:val="90"/>
              </w:rPr>
              <w:t>Principal</w:t>
            </w:r>
          </w:p>
        </w:tc>
        <w:tc>
          <w:tcPr>
            <w:tcW w:w="120" w:type="dxa"/>
            <w:vAlign w:val="bottom"/>
          </w:tcPr>
          <w:p>
            <w:pPr>
              <w:spacing w:after="0"/>
              <w:rPr>
                <w:sz w:val="10"/>
                <w:szCs w:val="10"/>
                <w:color w:val="auto"/>
              </w:rPr>
            </w:pPr>
          </w:p>
        </w:tc>
        <w:tc>
          <w:tcPr>
            <w:tcW w:w="700" w:type="dxa"/>
            <w:vAlign w:val="bottom"/>
            <w:gridSpan w:val="2"/>
          </w:tcPr>
          <w:p>
            <w:pPr>
              <w:ind w:left="80"/>
              <w:spacing w:after="0"/>
              <w:rPr>
                <w:sz w:val="20"/>
                <w:szCs w:val="20"/>
                <w:color w:val="auto"/>
              </w:rPr>
            </w:pPr>
            <w:r>
              <w:rPr>
                <w:rFonts w:ascii="Arial" w:cs="Arial" w:eastAsia="Arial" w:hAnsi="Arial"/>
                <w:sz w:val="11"/>
                <w:szCs w:val="11"/>
                <w:b w:val="1"/>
                <w:bCs w:val="1"/>
                <w:color w:val="auto"/>
              </w:rPr>
              <w:t>Cost of</w:t>
            </w:r>
          </w:p>
        </w:tc>
        <w:tc>
          <w:tcPr>
            <w:tcW w:w="100" w:type="dxa"/>
            <w:vAlign w:val="bottom"/>
          </w:tcPr>
          <w:p>
            <w:pPr>
              <w:spacing w:after="0"/>
              <w:rPr>
                <w:sz w:val="10"/>
                <w:szCs w:val="10"/>
                <w:color w:val="auto"/>
              </w:rPr>
            </w:pPr>
          </w:p>
        </w:tc>
        <w:tc>
          <w:tcPr>
            <w:tcW w:w="420" w:type="dxa"/>
            <w:vAlign w:val="bottom"/>
          </w:tcPr>
          <w:p>
            <w:pPr>
              <w:jc w:val="right"/>
              <w:ind w:right="106"/>
              <w:spacing w:after="0"/>
              <w:rPr>
                <w:sz w:val="20"/>
                <w:szCs w:val="20"/>
                <w:color w:val="auto"/>
              </w:rPr>
            </w:pPr>
            <w:r>
              <w:rPr>
                <w:rFonts w:ascii="Arial" w:cs="Arial" w:eastAsia="Arial" w:hAnsi="Arial"/>
                <w:sz w:val="11"/>
                <w:szCs w:val="11"/>
                <w:b w:val="1"/>
                <w:bCs w:val="1"/>
                <w:color w:val="auto"/>
              </w:rPr>
              <w:t>Fair</w:t>
            </w:r>
          </w:p>
        </w:tc>
      </w:tr>
      <w:tr>
        <w:trPr>
          <w:trHeight w:val="135"/>
        </w:trPr>
        <w:tc>
          <w:tcPr>
            <w:tcW w:w="3200" w:type="dxa"/>
            <w:vAlign w:val="bottom"/>
            <w:gridSpan w:val="3"/>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980" w:type="dxa"/>
            <w:vAlign w:val="bottom"/>
            <w:gridSpan w:val="2"/>
          </w:tcPr>
          <w:p>
            <w:pPr>
              <w:ind w:left="300"/>
              <w:spacing w:after="0"/>
              <w:rPr>
                <w:sz w:val="20"/>
                <w:szCs w:val="20"/>
                <w:color w:val="auto"/>
              </w:rPr>
            </w:pPr>
            <w:r>
              <w:rPr>
                <w:rFonts w:ascii="Arial" w:cs="Arial" w:eastAsia="Arial" w:hAnsi="Arial"/>
                <w:sz w:val="11"/>
                <w:szCs w:val="11"/>
                <w:b w:val="1"/>
                <w:bCs w:val="1"/>
                <w:color w:val="auto"/>
              </w:rPr>
              <w:t>Sector</w:t>
            </w:r>
          </w:p>
        </w:tc>
        <w:tc>
          <w:tcPr>
            <w:tcW w:w="2760" w:type="dxa"/>
            <w:vAlign w:val="bottom"/>
            <w:gridSpan w:val="2"/>
          </w:tcPr>
          <w:p>
            <w:pPr>
              <w:ind w:left="580"/>
              <w:spacing w:after="0"/>
              <w:rPr>
                <w:sz w:val="20"/>
                <w:szCs w:val="20"/>
                <w:color w:val="auto"/>
              </w:rPr>
            </w:pPr>
            <w:r>
              <w:rPr>
                <w:rFonts w:ascii="Arial" w:cs="Arial" w:eastAsia="Arial" w:hAnsi="Arial"/>
                <w:sz w:val="11"/>
                <w:szCs w:val="11"/>
                <w:b w:val="1"/>
                <w:bCs w:val="1"/>
                <w:color w:val="auto"/>
              </w:rPr>
              <w:t>Type of Investment (4)(7)(9)(10)</w:t>
            </w:r>
          </w:p>
        </w:tc>
        <w:tc>
          <w:tcPr>
            <w:tcW w:w="60" w:type="dxa"/>
            <w:vAlign w:val="bottom"/>
          </w:tcPr>
          <w:p>
            <w:pPr>
              <w:spacing w:after="0"/>
              <w:rPr>
                <w:sz w:val="11"/>
                <w:szCs w:val="11"/>
                <w:color w:val="auto"/>
              </w:rPr>
            </w:pPr>
          </w:p>
        </w:tc>
        <w:tc>
          <w:tcPr>
            <w:tcW w:w="5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Amount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w w:val="99"/>
              </w:rPr>
              <w:t>Investments (6)</w:t>
            </w:r>
          </w:p>
        </w:tc>
        <w:tc>
          <w:tcPr>
            <w:tcW w:w="100" w:type="dxa"/>
            <w:vAlign w:val="bottom"/>
          </w:tcPr>
          <w:p>
            <w:pPr>
              <w:spacing w:after="0"/>
              <w:rPr>
                <w:sz w:val="11"/>
                <w:szCs w:val="11"/>
                <w:color w:val="auto"/>
              </w:rPr>
            </w:pPr>
          </w:p>
        </w:tc>
        <w:tc>
          <w:tcPr>
            <w:tcW w:w="420" w:type="dxa"/>
            <w:vAlign w:val="bottom"/>
          </w:tcPr>
          <w:p>
            <w:pPr>
              <w:jc w:val="right"/>
              <w:ind w:right="66"/>
              <w:spacing w:after="0"/>
              <w:rPr>
                <w:sz w:val="20"/>
                <w:szCs w:val="20"/>
                <w:color w:val="auto"/>
              </w:rPr>
            </w:pPr>
            <w:r>
              <w:rPr>
                <w:rFonts w:ascii="Arial" w:cs="Arial" w:eastAsia="Arial" w:hAnsi="Arial"/>
                <w:sz w:val="11"/>
                <w:szCs w:val="11"/>
                <w:b w:val="1"/>
                <w:bCs w:val="1"/>
                <w:color w:val="auto"/>
                <w:w w:val="95"/>
              </w:rPr>
              <w:t>Value</w:t>
            </w:r>
          </w:p>
        </w:tc>
      </w:tr>
      <w:tr>
        <w:trPr>
          <w:trHeight w:val="115"/>
        </w:trPr>
        <w:tc>
          <w:tcPr>
            <w:tcW w:w="3100" w:type="dxa"/>
            <w:vAlign w:val="bottom"/>
            <w:tcBorders>
              <w:top w:val="single" w:sz="8" w:color="auto"/>
            </w:tcBorders>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Non-controlled Affiliate Investments — 4.1% (8)</w:t>
            </w:r>
          </w:p>
        </w:tc>
        <w:tc>
          <w:tcPr>
            <w:tcW w:w="10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r>
      <w:tr>
        <w:trPr>
          <w:trHeight w:val="122"/>
        </w:trPr>
        <w:tc>
          <w:tcPr>
            <w:tcW w:w="32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w w:val="89"/>
              </w:rPr>
              <w:t>Non-controlled Affiliate Debt Investments — Technology — 2.7% (8)</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12"/>
        </w:trPr>
        <w:tc>
          <w:tcPr>
            <w:tcW w:w="3200" w:type="dxa"/>
            <w:vAlign w:val="bottom"/>
            <w:gridSpan w:val="3"/>
            <w:shd w:val="clear" w:color="auto" w:fill="CCEEFF"/>
          </w:tcPr>
          <w:p>
            <w:pPr>
              <w:ind w:left="20"/>
              <w:spacing w:after="0" w:line="112" w:lineRule="exact"/>
              <w:rPr>
                <w:sz w:val="20"/>
                <w:szCs w:val="20"/>
                <w:color w:val="auto"/>
              </w:rPr>
            </w:pPr>
            <w:r>
              <w:rPr>
                <w:rFonts w:ascii="Arial" w:cs="Arial" w:eastAsia="Arial" w:hAnsi="Arial"/>
                <w:sz w:val="11"/>
                <w:szCs w:val="11"/>
                <w:color w:val="auto"/>
              </w:rPr>
              <w:t>Decisyon, Inc. (12)</w:t>
            </w:r>
          </w:p>
        </w:tc>
        <w:tc>
          <w:tcPr>
            <w:tcW w:w="9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Software</w:t>
            </w:r>
          </w:p>
        </w:tc>
        <w:tc>
          <w:tcPr>
            <w:tcW w:w="27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4"/>
              </w:rPr>
              <w:t>Term Loan (13.998% cash (Libor + 12.31%; Floor 12.50%),</w:t>
            </w:r>
          </w:p>
        </w:tc>
        <w:tc>
          <w:tcPr>
            <w:tcW w:w="6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1,182</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1,182</w:t>
            </w: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990</w:t>
            </w:r>
          </w:p>
        </w:tc>
      </w:tr>
      <w:tr>
        <w:trPr>
          <w:trHeight w:val="131"/>
        </w:trPr>
        <w:tc>
          <w:tcPr>
            <w:tcW w:w="22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7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12.00% ETP, Due 6/1/21)</w:t>
            </w:r>
          </w:p>
        </w:tc>
        <w:tc>
          <w:tcPr>
            <w:tcW w:w="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r>
      <w:tr>
        <w:trPr>
          <w:trHeight w:val="112"/>
        </w:trPr>
        <w:tc>
          <w:tcPr>
            <w:tcW w:w="2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760" w:type="dxa"/>
            <w:vAlign w:val="bottom"/>
            <w:gridSpan w:val="2"/>
          </w:tcPr>
          <w:p>
            <w:pPr>
              <w:spacing w:after="0" w:line="112" w:lineRule="exact"/>
              <w:rPr>
                <w:sz w:val="20"/>
                <w:szCs w:val="20"/>
                <w:color w:val="auto"/>
              </w:rPr>
            </w:pPr>
            <w:r>
              <w:rPr>
                <w:rFonts w:ascii="Arial" w:cs="Arial" w:eastAsia="Arial" w:hAnsi="Arial"/>
                <w:sz w:val="11"/>
                <w:szCs w:val="11"/>
                <w:color w:val="auto"/>
                <w:w w:val="96"/>
              </w:rPr>
              <w:t>Term Loan (14.41% cash (Libor + 12.31%; Floor 12.50%),</w:t>
            </w:r>
          </w:p>
        </w:tc>
        <w:tc>
          <w:tcPr>
            <w:tcW w:w="60" w:type="dxa"/>
            <w:vAlign w:val="bottom"/>
          </w:tcPr>
          <w:p>
            <w:pPr>
              <w:spacing w:after="0"/>
              <w:rPr>
                <w:sz w:val="9"/>
                <w:szCs w:val="9"/>
                <w:color w:val="auto"/>
              </w:rPr>
            </w:pPr>
          </w:p>
        </w:tc>
        <w:tc>
          <w:tcPr>
            <w:tcW w:w="440" w:type="dxa"/>
            <w:vAlign w:val="bottom"/>
          </w:tcPr>
          <w:p>
            <w:pPr>
              <w:jc w:val="right"/>
              <w:spacing w:after="0" w:line="112" w:lineRule="exact"/>
              <w:rPr>
                <w:sz w:val="20"/>
                <w:szCs w:val="20"/>
                <w:color w:val="auto"/>
              </w:rPr>
            </w:pPr>
            <w:r>
              <w:rPr>
                <w:rFonts w:ascii="Arial" w:cs="Arial" w:eastAsia="Arial" w:hAnsi="Arial"/>
                <w:sz w:val="11"/>
                <w:szCs w:val="11"/>
                <w:color w:val="auto"/>
              </w:rPr>
              <w:t>646</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629</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2" w:lineRule="exact"/>
              <w:rPr>
                <w:sz w:val="20"/>
                <w:szCs w:val="20"/>
                <w:color w:val="auto"/>
              </w:rPr>
            </w:pPr>
            <w:r>
              <w:rPr>
                <w:rFonts w:ascii="Arial" w:cs="Arial" w:eastAsia="Arial" w:hAnsi="Arial"/>
                <w:sz w:val="11"/>
                <w:szCs w:val="11"/>
                <w:color w:val="auto"/>
              </w:rPr>
              <w:t>529</w:t>
            </w:r>
          </w:p>
        </w:tc>
      </w:tr>
      <w:tr>
        <w:trPr>
          <w:trHeight w:val="131"/>
        </w:trPr>
        <w:tc>
          <w:tcPr>
            <w:tcW w:w="2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60" w:type="dxa"/>
            <w:vAlign w:val="bottom"/>
            <w:gridSpan w:val="2"/>
          </w:tcPr>
          <w:p>
            <w:pPr>
              <w:spacing w:after="0"/>
              <w:rPr>
                <w:sz w:val="20"/>
                <w:szCs w:val="20"/>
                <w:color w:val="auto"/>
              </w:rPr>
            </w:pPr>
            <w:r>
              <w:rPr>
                <w:rFonts w:ascii="Arial" w:cs="Arial" w:eastAsia="Arial" w:hAnsi="Arial"/>
                <w:sz w:val="11"/>
                <w:szCs w:val="11"/>
                <w:color w:val="auto"/>
              </w:rPr>
              <w:t>12.00% ETP, Due 6/1/21)</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r>
      <w:tr>
        <w:trPr>
          <w:trHeight w:val="122"/>
        </w:trPr>
        <w:tc>
          <w:tcPr>
            <w:tcW w:w="2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(12.02% cash, Due 6/1/21)</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191</w:t>
            </w:r>
          </w:p>
        </w:tc>
      </w:tr>
      <w:tr>
        <w:trPr>
          <w:trHeight w:val="121"/>
        </w:trPr>
        <w:tc>
          <w:tcPr>
            <w:tcW w:w="2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60" w:type="dxa"/>
            <w:vAlign w:val="bottom"/>
            <w:gridSpan w:val="2"/>
          </w:tcPr>
          <w:p>
            <w:pPr>
              <w:spacing w:after="0" w:line="122" w:lineRule="exact"/>
              <w:rPr>
                <w:sz w:val="20"/>
                <w:szCs w:val="20"/>
                <w:color w:val="auto"/>
              </w:rPr>
            </w:pPr>
            <w:r>
              <w:rPr>
                <w:rFonts w:ascii="Arial" w:cs="Arial" w:eastAsia="Arial" w:hAnsi="Arial"/>
                <w:sz w:val="11"/>
                <w:szCs w:val="11"/>
                <w:color w:val="auto"/>
              </w:rPr>
              <w:t>Term Loan (12.03% cash, Due 6/1/21)</w:t>
            </w: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227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227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191</w:t>
            </w:r>
          </w:p>
        </w:tc>
      </w:tr>
      <w:tr>
        <w:trPr>
          <w:trHeight w:val="122"/>
        </w:trPr>
        <w:tc>
          <w:tcPr>
            <w:tcW w:w="2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(12.24% cash, Due 6/1/21)</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685</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685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575</w:t>
            </w:r>
          </w:p>
        </w:tc>
      </w:tr>
      <w:tr>
        <w:trPr>
          <w:trHeight w:val="122"/>
        </w:trPr>
        <w:tc>
          <w:tcPr>
            <w:tcW w:w="2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760" w:type="dxa"/>
            <w:vAlign w:val="bottom"/>
            <w:gridSpan w:val="2"/>
          </w:tcPr>
          <w:p>
            <w:pPr>
              <w:spacing w:after="0" w:line="122" w:lineRule="exact"/>
              <w:rPr>
                <w:sz w:val="20"/>
                <w:szCs w:val="20"/>
                <w:color w:val="auto"/>
              </w:rPr>
            </w:pPr>
            <w:r>
              <w:rPr>
                <w:rFonts w:ascii="Arial" w:cs="Arial" w:eastAsia="Arial" w:hAnsi="Arial"/>
                <w:sz w:val="11"/>
                <w:szCs w:val="11"/>
                <w:color w:val="auto"/>
              </w:rPr>
              <w:t>Term Loan (13.08% cash, Due 6/1/21)</w:t>
            </w:r>
          </w:p>
        </w:tc>
        <w:tc>
          <w:tcPr>
            <w:tcW w:w="6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1"/>
                <w:szCs w:val="11"/>
                <w:color w:val="auto"/>
              </w:rPr>
              <w:t>277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277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rPr>
              <w:t>232</w:t>
            </w:r>
          </w:p>
        </w:tc>
      </w:tr>
      <w:tr>
        <w:trPr>
          <w:trHeight w:val="122"/>
        </w:trPr>
        <w:tc>
          <w:tcPr>
            <w:tcW w:w="22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(13.10% cash, Due 6/1/21)</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184</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155</w:t>
            </w:r>
          </w:p>
        </w:tc>
      </w:tr>
      <w:tr>
        <w:trPr>
          <w:trHeight w:val="112"/>
        </w:trPr>
        <w:tc>
          <w:tcPr>
            <w:tcW w:w="3200" w:type="dxa"/>
            <w:vAlign w:val="bottom"/>
            <w:gridSpan w:val="3"/>
          </w:tcPr>
          <w:p>
            <w:pPr>
              <w:ind w:left="20"/>
              <w:spacing w:after="0" w:line="112" w:lineRule="exact"/>
              <w:rPr>
                <w:sz w:val="20"/>
                <w:szCs w:val="20"/>
                <w:color w:val="auto"/>
              </w:rPr>
            </w:pPr>
            <w:r>
              <w:rPr>
                <w:rFonts w:ascii="Arial" w:cs="Arial" w:eastAsia="Arial" w:hAnsi="Arial"/>
                <w:sz w:val="11"/>
                <w:szCs w:val="11"/>
                <w:color w:val="auto"/>
              </w:rPr>
              <w:t>StereoVision Imaging, Inc. (12)</w:t>
            </w:r>
          </w:p>
        </w:tc>
        <w:tc>
          <w:tcPr>
            <w:tcW w:w="9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Software</w:t>
            </w:r>
          </w:p>
        </w:tc>
        <w:tc>
          <w:tcPr>
            <w:tcW w:w="2760" w:type="dxa"/>
            <w:vAlign w:val="bottom"/>
            <w:gridSpan w:val="2"/>
          </w:tcPr>
          <w:p>
            <w:pPr>
              <w:spacing w:after="0" w:line="112" w:lineRule="exact"/>
              <w:rPr>
                <w:sz w:val="20"/>
                <w:szCs w:val="20"/>
                <w:color w:val="auto"/>
              </w:rPr>
            </w:pPr>
            <w:r>
              <w:rPr>
                <w:rFonts w:ascii="Arial" w:cs="Arial" w:eastAsia="Arial" w:hAnsi="Arial"/>
                <w:sz w:val="11"/>
                <w:szCs w:val="11"/>
                <w:color w:val="auto"/>
              </w:rPr>
              <w:t>Term Loan (8.72% Cash (Libor + 7.03%; Floor 8.50%),</w:t>
            </w:r>
          </w:p>
        </w:tc>
        <w:tc>
          <w:tcPr>
            <w:tcW w:w="60" w:type="dxa"/>
            <w:vAlign w:val="bottom"/>
          </w:tcPr>
          <w:p>
            <w:pPr>
              <w:spacing w:after="0"/>
              <w:rPr>
                <w:sz w:val="9"/>
                <w:szCs w:val="9"/>
                <w:color w:val="auto"/>
              </w:rPr>
            </w:pPr>
          </w:p>
        </w:tc>
        <w:tc>
          <w:tcPr>
            <w:tcW w:w="440" w:type="dxa"/>
            <w:vAlign w:val="bottom"/>
          </w:tcPr>
          <w:p>
            <w:pPr>
              <w:jc w:val="right"/>
              <w:spacing w:after="0" w:line="112" w:lineRule="exact"/>
              <w:rPr>
                <w:sz w:val="20"/>
                <w:szCs w:val="20"/>
                <w:color w:val="auto"/>
              </w:rPr>
            </w:pPr>
            <w:r>
              <w:rPr>
                <w:rFonts w:ascii="Arial" w:cs="Arial" w:eastAsia="Arial" w:hAnsi="Arial"/>
                <w:sz w:val="11"/>
                <w:szCs w:val="11"/>
                <w:color w:val="auto"/>
              </w:rPr>
              <w:t>2,783</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2,382</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jc w:val="right"/>
              <w:spacing w:after="0" w:line="112" w:lineRule="exact"/>
              <w:rPr>
                <w:sz w:val="20"/>
                <w:szCs w:val="20"/>
                <w:color w:val="auto"/>
              </w:rPr>
            </w:pPr>
            <w:r>
              <w:rPr>
                <w:rFonts w:ascii="Arial" w:cs="Arial" w:eastAsia="Arial" w:hAnsi="Arial"/>
                <w:sz w:val="11"/>
                <w:szCs w:val="11"/>
                <w:color w:val="auto"/>
              </w:rPr>
              <w:t>2,382</w:t>
            </w:r>
          </w:p>
        </w:tc>
      </w:tr>
      <w:tr>
        <w:trPr>
          <w:trHeight w:val="131"/>
        </w:trPr>
        <w:tc>
          <w:tcPr>
            <w:tcW w:w="224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8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7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8.50% ETP, Due 9/1/21)</w:t>
            </w:r>
          </w:p>
        </w:tc>
        <w:tc>
          <w:tcPr>
            <w:tcW w:w="6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r>
      <w:tr>
        <w:trPr>
          <w:trHeight w:val="115"/>
        </w:trPr>
        <w:tc>
          <w:tcPr>
            <w:tcW w:w="3200" w:type="dxa"/>
            <w:vAlign w:val="bottom"/>
            <w:gridSpan w:val="3"/>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Non-controlled Affiliate Debt Investments — Technology</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5,793</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5,245</w:t>
            </w:r>
          </w:p>
        </w:tc>
      </w:tr>
      <w:tr>
        <w:trPr>
          <w:trHeight w:val="115"/>
        </w:trPr>
        <w:tc>
          <w:tcPr>
            <w:tcW w:w="2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22"/>
        </w:trPr>
        <w:tc>
          <w:tcPr>
            <w:tcW w:w="3200" w:type="dxa"/>
            <w:vAlign w:val="bottom"/>
            <w:gridSpan w:val="3"/>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Non-controlled Affiliate Warrants — Technology — 0.0% (8)</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r>
      <w:tr>
        <w:trPr>
          <w:trHeight w:val="122"/>
        </w:trPr>
        <w:tc>
          <w:tcPr>
            <w:tcW w:w="3200" w:type="dxa"/>
            <w:vAlign w:val="bottom"/>
            <w:tcBorders>
              <w:bottom w:val="single" w:sz="8" w:color="CCEEFF"/>
            </w:tcBorders>
            <w:gridSpan w:val="3"/>
          </w:tcPr>
          <w:p>
            <w:pPr>
              <w:ind w:left="20"/>
              <w:spacing w:after="0" w:line="122" w:lineRule="exact"/>
              <w:rPr>
                <w:sz w:val="20"/>
                <w:szCs w:val="20"/>
                <w:color w:val="auto"/>
              </w:rPr>
            </w:pPr>
            <w:r>
              <w:rPr>
                <w:rFonts w:ascii="Arial" w:cs="Arial" w:eastAsia="Arial" w:hAnsi="Arial"/>
                <w:sz w:val="11"/>
                <w:szCs w:val="11"/>
                <w:color w:val="auto"/>
              </w:rPr>
              <w:t>Decisyon, Inc. (12)</w:t>
            </w:r>
          </w:p>
        </w:tc>
        <w:tc>
          <w:tcPr>
            <w:tcW w:w="98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Software</w:t>
            </w:r>
          </w:p>
        </w:tc>
        <w:tc>
          <w:tcPr>
            <w:tcW w:w="276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82,967 Common Stock Warrants</w:t>
            </w:r>
          </w:p>
        </w:tc>
        <w:tc>
          <w:tcPr>
            <w:tcW w:w="6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45</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w:t>
            </w:r>
          </w:p>
        </w:tc>
      </w:tr>
      <w:tr>
        <w:trPr>
          <w:trHeight w:val="115"/>
        </w:trPr>
        <w:tc>
          <w:tcPr>
            <w:tcW w:w="3200" w:type="dxa"/>
            <w:vAlign w:val="bottom"/>
            <w:gridSpan w:val="3"/>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Non-controlled Affiliate Warrants — Technology</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45</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w:t>
            </w:r>
          </w:p>
        </w:tc>
      </w:tr>
      <w:tr>
        <w:trPr>
          <w:trHeight w:val="115"/>
        </w:trPr>
        <w:tc>
          <w:tcPr>
            <w:tcW w:w="3200" w:type="dxa"/>
            <w:vAlign w:val="bottom"/>
            <w:gridSpan w:val="3"/>
          </w:tcPr>
          <w:p>
            <w:pPr>
              <w:ind w:left="20"/>
              <w:spacing w:after="0" w:line="115" w:lineRule="exact"/>
              <w:rPr>
                <w:sz w:val="20"/>
                <w:szCs w:val="20"/>
                <w:color w:val="auto"/>
              </w:rPr>
            </w:pPr>
            <w:r>
              <w:rPr>
                <w:rFonts w:ascii="Arial" w:cs="Arial" w:eastAsia="Arial" w:hAnsi="Arial"/>
                <w:sz w:val="11"/>
                <w:szCs w:val="11"/>
                <w:b w:val="1"/>
                <w:bCs w:val="1"/>
                <w:color w:val="auto"/>
              </w:rPr>
              <w:t>Non-controlled Affiliate Equity — Technology — 1.4% (8)</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22"/>
        </w:trPr>
        <w:tc>
          <w:tcPr>
            <w:tcW w:w="3200" w:type="dxa"/>
            <w:vAlign w:val="bottom"/>
            <w:gridSpan w:val="3"/>
            <w:shd w:val="clear" w:color="auto" w:fill="CCEEFF"/>
          </w:tcPr>
          <w:p>
            <w:pPr>
              <w:ind w:left="20"/>
              <w:spacing w:after="0" w:line="122" w:lineRule="exact"/>
              <w:rPr>
                <w:sz w:val="20"/>
                <w:szCs w:val="20"/>
                <w:color w:val="auto"/>
              </w:rPr>
            </w:pPr>
            <w:r>
              <w:rPr>
                <w:rFonts w:ascii="Arial" w:cs="Arial" w:eastAsia="Arial" w:hAnsi="Arial"/>
                <w:sz w:val="11"/>
                <w:szCs w:val="11"/>
                <w:color w:val="auto"/>
              </w:rPr>
              <w:t>Decisyon, Inc. (12)</w:t>
            </w:r>
          </w:p>
        </w:tc>
        <w:tc>
          <w:tcPr>
            <w:tcW w:w="9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Software</w:t>
            </w:r>
          </w:p>
        </w:tc>
        <w:tc>
          <w:tcPr>
            <w:tcW w:w="27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45,365,936 Common Stock</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w:t>
            </w:r>
          </w:p>
        </w:tc>
      </w:tr>
      <w:tr>
        <w:trPr>
          <w:trHeight w:val="121"/>
        </w:trPr>
        <w:tc>
          <w:tcPr>
            <w:tcW w:w="3200" w:type="dxa"/>
            <w:vAlign w:val="bottom"/>
            <w:tcBorders>
              <w:bottom w:val="single" w:sz="8" w:color="CCEEFF"/>
            </w:tcBorders>
            <w:gridSpan w:val="3"/>
          </w:tcPr>
          <w:p>
            <w:pPr>
              <w:ind w:left="20"/>
              <w:spacing w:after="0" w:line="122" w:lineRule="exact"/>
              <w:rPr>
                <w:sz w:val="20"/>
                <w:szCs w:val="20"/>
                <w:color w:val="auto"/>
              </w:rPr>
            </w:pPr>
            <w:r>
              <w:rPr>
                <w:rFonts w:ascii="Arial" w:cs="Arial" w:eastAsia="Arial" w:hAnsi="Arial"/>
                <w:sz w:val="11"/>
                <w:szCs w:val="11"/>
                <w:color w:val="auto"/>
              </w:rPr>
              <w:t>StereoVision Imaging, Inc. (12)</w:t>
            </w:r>
          </w:p>
        </w:tc>
        <w:tc>
          <w:tcPr>
            <w:tcW w:w="98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Software</w:t>
            </w:r>
          </w:p>
        </w:tc>
        <w:tc>
          <w:tcPr>
            <w:tcW w:w="276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1,943,572 Common Stock</w:t>
            </w:r>
          </w:p>
        </w:tc>
        <w:tc>
          <w:tcPr>
            <w:tcW w:w="6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791</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2,653</w:t>
            </w:r>
          </w:p>
        </w:tc>
      </w:tr>
      <w:tr>
        <w:trPr>
          <w:trHeight w:val="115"/>
        </w:trPr>
        <w:tc>
          <w:tcPr>
            <w:tcW w:w="3200" w:type="dxa"/>
            <w:vAlign w:val="bottom"/>
            <w:gridSpan w:val="3"/>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Non-controlled Affiliate Equity</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976</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4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2,728</w:t>
            </w:r>
          </w:p>
        </w:tc>
      </w:tr>
      <w:tr>
        <w:trPr>
          <w:trHeight w:val="115"/>
        </w:trPr>
        <w:tc>
          <w:tcPr>
            <w:tcW w:w="3200" w:type="dxa"/>
            <w:vAlign w:val="bottom"/>
            <w:tcBorders>
              <w:bottom w:val="single" w:sz="8" w:color="CCEEFF"/>
            </w:tcBorders>
            <w:gridSpan w:val="3"/>
          </w:tcPr>
          <w:p>
            <w:pPr>
              <w:ind w:left="20"/>
              <w:spacing w:after="0" w:line="115" w:lineRule="exact"/>
              <w:rPr>
                <w:sz w:val="20"/>
                <w:szCs w:val="20"/>
                <w:color w:val="auto"/>
              </w:rPr>
            </w:pPr>
            <w:r>
              <w:rPr>
                <w:rFonts w:ascii="Arial" w:cs="Arial" w:eastAsia="Arial" w:hAnsi="Arial"/>
                <w:sz w:val="11"/>
                <w:szCs w:val="11"/>
                <w:b w:val="1"/>
                <w:bCs w:val="1"/>
                <w:color w:val="auto"/>
              </w:rPr>
              <w:t>Total Non-controlled Affiliate Portfolio Investment Assets</w:t>
            </w:r>
          </w:p>
        </w:tc>
        <w:tc>
          <w:tcPr>
            <w:tcW w:w="8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6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6,814</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7,975</w:t>
            </w:r>
          </w:p>
        </w:tc>
      </w:tr>
      <w:tr>
        <w:trPr>
          <w:trHeight w:val="115"/>
        </w:trPr>
        <w:tc>
          <w:tcPr>
            <w:tcW w:w="3200" w:type="dxa"/>
            <w:vAlign w:val="bottom"/>
            <w:gridSpan w:val="3"/>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Controlled Affiliate Investments — 8.8% (8)</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r>
      <w:tr>
        <w:trPr>
          <w:trHeight w:val="122"/>
        </w:trPr>
        <w:tc>
          <w:tcPr>
            <w:tcW w:w="320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Controlled Affiliate Equity — Financial — 8.8% (8)</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r>
      <w:tr>
        <w:trPr>
          <w:trHeight w:val="122"/>
        </w:trPr>
        <w:tc>
          <w:tcPr>
            <w:tcW w:w="3200" w:type="dxa"/>
            <w:vAlign w:val="bottom"/>
            <w:gridSpan w:val="3"/>
            <w:shd w:val="clear" w:color="auto" w:fill="CCEEFF"/>
          </w:tcPr>
          <w:p>
            <w:pPr>
              <w:ind w:left="20"/>
              <w:spacing w:after="0" w:line="122" w:lineRule="exact"/>
              <w:rPr>
                <w:sz w:val="20"/>
                <w:szCs w:val="20"/>
                <w:color w:val="auto"/>
              </w:rPr>
            </w:pPr>
            <w:r>
              <w:rPr>
                <w:rFonts w:ascii="Arial" w:cs="Arial" w:eastAsia="Arial" w:hAnsi="Arial"/>
                <w:sz w:val="11"/>
                <w:szCs w:val="11"/>
                <w:color w:val="auto"/>
              </w:rPr>
              <w:t>Horizon Secured Loan Fund I LLC (12)(14)</w:t>
            </w:r>
          </w:p>
        </w:tc>
        <w:tc>
          <w:tcPr>
            <w:tcW w:w="9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Investment funds</w:t>
            </w:r>
          </w:p>
        </w:tc>
        <w:tc>
          <w:tcPr>
            <w:tcW w:w="2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17,127</w:t>
            </w:r>
          </w:p>
        </w:tc>
        <w:tc>
          <w:tcPr>
            <w:tcW w:w="10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16,944</w:t>
            </w:r>
          </w:p>
        </w:tc>
      </w:tr>
      <w:tr>
        <w:trPr>
          <w:trHeight w:val="115"/>
        </w:trPr>
        <w:tc>
          <w:tcPr>
            <w:tcW w:w="3200" w:type="dxa"/>
            <w:vAlign w:val="bottom"/>
            <w:tcBorders>
              <w:bottom w:val="single" w:sz="8" w:color="CCEEFF"/>
            </w:tcBorders>
            <w:gridSpan w:val="3"/>
          </w:tcPr>
          <w:p>
            <w:pPr>
              <w:ind w:left="20"/>
              <w:spacing w:after="0" w:line="115" w:lineRule="exact"/>
              <w:rPr>
                <w:sz w:val="20"/>
                <w:szCs w:val="20"/>
                <w:color w:val="auto"/>
              </w:rPr>
            </w:pPr>
            <w:r>
              <w:rPr>
                <w:rFonts w:ascii="Arial" w:cs="Arial" w:eastAsia="Arial" w:hAnsi="Arial"/>
                <w:sz w:val="11"/>
                <w:szCs w:val="11"/>
                <w:b w:val="1"/>
                <w:bCs w:val="1"/>
                <w:color w:val="auto"/>
              </w:rPr>
              <w:t>Total Controlled Affiliate Equity</w:t>
            </w:r>
          </w:p>
        </w:tc>
        <w:tc>
          <w:tcPr>
            <w:tcW w:w="8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6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17,127</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16,944</w:t>
            </w:r>
          </w:p>
        </w:tc>
      </w:tr>
      <w:tr>
        <w:trPr>
          <w:trHeight w:val="115"/>
        </w:trPr>
        <w:tc>
          <w:tcPr>
            <w:tcW w:w="3200" w:type="dxa"/>
            <w:vAlign w:val="bottom"/>
            <w:tcBorders>
              <w:bottom w:val="single" w:sz="8" w:color="CCEEFF"/>
            </w:tcBorders>
            <w:gridSpan w:val="3"/>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Controlled Affiliate Portfolio Investment Assets</w:t>
            </w: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17,127</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16,944</w:t>
            </w:r>
          </w:p>
        </w:tc>
      </w:tr>
      <w:tr>
        <w:trPr>
          <w:trHeight w:val="20"/>
        </w:trPr>
        <w:tc>
          <w:tcPr>
            <w:tcW w:w="2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02"/>
        </w:trPr>
        <w:tc>
          <w:tcPr>
            <w:tcW w:w="2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121"/>
        </w:trPr>
        <w:tc>
          <w:tcPr>
            <w:tcW w:w="3200" w:type="dxa"/>
            <w:vAlign w:val="bottom"/>
            <w:tcBorders>
              <w:bottom w:val="single" w:sz="8" w:color="CCEEFF"/>
            </w:tcBorders>
            <w:gridSpan w:val="3"/>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Total Portfolio Investment Assets — 172.9% (8)</w:t>
            </w: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342,268</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w w:val="90"/>
              </w:rPr>
              <w:t>334,506</w:t>
            </w:r>
          </w:p>
        </w:tc>
      </w:tr>
      <w:tr>
        <w:trPr>
          <w:trHeight w:val="20"/>
        </w:trPr>
        <w:tc>
          <w:tcPr>
            <w:tcW w:w="2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02"/>
        </w:trPr>
        <w:tc>
          <w:tcPr>
            <w:tcW w:w="2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122"/>
        </w:trPr>
        <w:tc>
          <w:tcPr>
            <w:tcW w:w="3200" w:type="dxa"/>
            <w:vAlign w:val="bottom"/>
            <w:gridSpan w:val="3"/>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w w:val="94"/>
              </w:rPr>
              <w:t>Short Term Investments — Unrestricted Investments — 0.4% (8)</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r>
      <w:tr>
        <w:trPr>
          <w:trHeight w:val="121"/>
        </w:trPr>
        <w:tc>
          <w:tcPr>
            <w:tcW w:w="3200" w:type="dxa"/>
            <w:vAlign w:val="bottom"/>
            <w:tcBorders>
              <w:bottom w:val="single" w:sz="8" w:color="CCEEFF"/>
            </w:tcBorders>
            <w:gridSpan w:val="3"/>
          </w:tcPr>
          <w:p>
            <w:pPr>
              <w:ind w:left="20"/>
              <w:spacing w:after="0" w:line="122" w:lineRule="exact"/>
              <w:rPr>
                <w:sz w:val="20"/>
                <w:szCs w:val="20"/>
                <w:color w:val="auto"/>
              </w:rPr>
            </w:pPr>
            <w:r>
              <w:rPr>
                <w:rFonts w:ascii="Arial" w:cs="Arial" w:eastAsia="Arial" w:hAnsi="Arial"/>
                <w:sz w:val="11"/>
                <w:szCs w:val="11"/>
                <w:color w:val="auto"/>
              </w:rPr>
              <w:t>US Bank Money Market Deposit Account</w:t>
            </w:r>
          </w:p>
        </w:tc>
        <w:tc>
          <w:tcPr>
            <w:tcW w:w="8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6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845</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845</w:t>
            </w:r>
          </w:p>
        </w:tc>
      </w:tr>
      <w:tr>
        <w:trPr>
          <w:trHeight w:val="115"/>
        </w:trPr>
        <w:tc>
          <w:tcPr>
            <w:tcW w:w="3200" w:type="dxa"/>
            <w:vAlign w:val="bottom"/>
            <w:tcBorders>
              <w:bottom w:val="single" w:sz="8" w:color="CCEEFF"/>
            </w:tcBorders>
            <w:gridSpan w:val="3"/>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Short Term Investments —Unrestricted Investments</w:t>
            </w: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845</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845</w:t>
            </w:r>
          </w:p>
        </w:tc>
      </w:tr>
      <w:tr>
        <w:trPr>
          <w:trHeight w:val="20"/>
        </w:trPr>
        <w:tc>
          <w:tcPr>
            <w:tcW w:w="2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02"/>
        </w:trPr>
        <w:tc>
          <w:tcPr>
            <w:tcW w:w="2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121"/>
        </w:trPr>
        <w:tc>
          <w:tcPr>
            <w:tcW w:w="3200" w:type="dxa"/>
            <w:vAlign w:val="bottom"/>
            <w:gridSpan w:val="3"/>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w w:val="99"/>
              </w:rPr>
              <w:t>Short Term Investments — Restricted Investments—0.6% (8)</w:t>
            </w:r>
          </w:p>
        </w:tc>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r>
      <w:tr>
        <w:trPr>
          <w:trHeight w:val="122"/>
        </w:trPr>
        <w:tc>
          <w:tcPr>
            <w:tcW w:w="3200" w:type="dxa"/>
            <w:vAlign w:val="bottom"/>
            <w:tcBorders>
              <w:bottom w:val="single" w:sz="8" w:color="CCEEFF"/>
            </w:tcBorders>
            <w:gridSpan w:val="3"/>
          </w:tcPr>
          <w:p>
            <w:pPr>
              <w:ind w:left="20"/>
              <w:spacing w:after="0" w:line="122" w:lineRule="exact"/>
              <w:rPr>
                <w:sz w:val="20"/>
                <w:szCs w:val="20"/>
                <w:color w:val="auto"/>
              </w:rPr>
            </w:pPr>
            <w:r>
              <w:rPr>
                <w:rFonts w:ascii="Arial" w:cs="Arial" w:eastAsia="Arial" w:hAnsi="Arial"/>
                <w:sz w:val="11"/>
                <w:szCs w:val="11"/>
                <w:color w:val="auto"/>
              </w:rPr>
              <w:t>US Bank Money Market Deposit Account</w:t>
            </w:r>
          </w:p>
        </w:tc>
        <w:tc>
          <w:tcPr>
            <w:tcW w:w="8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6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440" w:type="dxa"/>
            <w:vAlign w:val="bottom"/>
            <w:tcBorders>
              <w:bottom w:val="single" w:sz="8" w:color="CCEEFF"/>
            </w:tcBorders>
          </w:tcPr>
          <w:p>
            <w:pPr>
              <w:spacing w:after="0"/>
              <w:rPr>
                <w:sz w:val="10"/>
                <w:szCs w:val="10"/>
                <w:color w:val="auto"/>
              </w:rPr>
            </w:pP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1,177</w:t>
            </w:r>
          </w:p>
        </w:tc>
        <w:tc>
          <w:tcPr>
            <w:tcW w:w="1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1,177</w:t>
            </w:r>
          </w:p>
        </w:tc>
      </w:tr>
      <w:tr>
        <w:trPr>
          <w:trHeight w:val="115"/>
        </w:trPr>
        <w:tc>
          <w:tcPr>
            <w:tcW w:w="3200" w:type="dxa"/>
            <w:vAlign w:val="bottom"/>
            <w:tcBorders>
              <w:bottom w:val="single" w:sz="8" w:color="CCEEFF"/>
            </w:tcBorders>
            <w:gridSpan w:val="3"/>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Short Term Investments —Restricted Investments</w:t>
            </w:r>
          </w:p>
        </w:tc>
        <w:tc>
          <w:tcPr>
            <w:tcW w:w="88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44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1,177</w:t>
            </w:r>
          </w:p>
        </w:tc>
        <w:tc>
          <w:tcPr>
            <w:tcW w:w="10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1,177</w:t>
            </w:r>
          </w:p>
        </w:tc>
      </w:tr>
      <w:tr>
        <w:trPr>
          <w:trHeight w:val="20"/>
        </w:trPr>
        <w:tc>
          <w:tcPr>
            <w:tcW w:w="2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r>
        <w:trPr>
          <w:trHeight w:val="109"/>
        </w:trPr>
        <w:tc>
          <w:tcPr>
            <w:tcW w:w="2240" w:type="dxa"/>
            <w:vAlign w:val="bottom"/>
            <w:tcBorders>
              <w:bottom w:val="single" w:sz="8" w:color="auto"/>
            </w:tcBorders>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r>
    </w:tbl>
    <w:p>
      <w:pPr>
        <w:spacing w:after="0" w:line="76" w:lineRule="exact"/>
        <w:rPr>
          <w:sz w:val="20"/>
          <w:szCs w:val="20"/>
          <w:color w:val="auto"/>
        </w:rPr>
      </w:pPr>
    </w:p>
    <w:p>
      <w:pPr>
        <w:ind w:left="300" w:right="79" w:hanging="250"/>
        <w:spacing w:after="0" w:line="251" w:lineRule="auto"/>
        <w:tabs>
          <w:tab w:leader="none" w:pos="295" w:val="left"/>
        </w:tabs>
        <w:numPr>
          <w:ilvl w:val="0"/>
          <w:numId w:val="3"/>
        </w:numPr>
        <w:rPr>
          <w:rFonts w:ascii="Arial" w:cs="Arial" w:eastAsia="Arial" w:hAnsi="Arial"/>
          <w:sz w:val="14"/>
          <w:szCs w:val="14"/>
          <w:color w:val="auto"/>
        </w:rPr>
      </w:pPr>
      <w:r>
        <w:rPr>
          <w:rFonts w:ascii="Arial" w:cs="Arial" w:eastAsia="Arial" w:hAnsi="Arial"/>
          <w:sz w:val="14"/>
          <w:szCs w:val="14"/>
          <w:color w:val="auto"/>
        </w:rPr>
        <w:t>All investments of the Company are in entities which are organized under the laws of the United States and have a principal place of business in the United States.</w:t>
      </w:r>
    </w:p>
    <w:p>
      <w:pPr>
        <w:jc w:val="both"/>
        <w:ind w:left="300" w:right="59" w:hanging="250"/>
        <w:spacing w:after="0" w:line="233" w:lineRule="auto"/>
        <w:tabs>
          <w:tab w:leader="none" w:pos="295" w:val="left"/>
        </w:tabs>
        <w:numPr>
          <w:ilvl w:val="0"/>
          <w:numId w:val="3"/>
        </w:numPr>
        <w:rPr>
          <w:rFonts w:ascii="Arial" w:cs="Arial" w:eastAsia="Arial" w:hAnsi="Arial"/>
          <w:sz w:val="14"/>
          <w:szCs w:val="14"/>
          <w:color w:val="auto"/>
        </w:rPr>
      </w:pPr>
      <w:r>
        <w:rPr>
          <w:rFonts w:ascii="Arial" w:cs="Arial" w:eastAsia="Arial" w:hAnsi="Arial"/>
          <w:sz w:val="14"/>
          <w:szCs w:val="14"/>
          <w:color w:val="auto"/>
        </w:rPr>
        <w:t>Has been pledged as collateral under the revolving credit facility with KeyBank National Association (the “Key Facility”) and/or the term debt securitization in connection with which an affiliate of the Company made an offering of $100.0 million in aggregate principal amount of fixed rate asset-backed notes that were issued in conjunction with the $160.0 million securitization of secured loans the Company completed on August 13, 2019 (“the Asset-Backed Notes”).</w:t>
      </w:r>
    </w:p>
    <w:p>
      <w:pPr>
        <w:spacing w:after="0" w:line="2" w:lineRule="exact"/>
        <w:rPr>
          <w:rFonts w:ascii="Arial" w:cs="Arial" w:eastAsia="Arial" w:hAnsi="Arial"/>
          <w:sz w:val="14"/>
          <w:szCs w:val="14"/>
          <w:color w:val="auto"/>
        </w:rPr>
      </w:pPr>
    </w:p>
    <w:p>
      <w:pPr>
        <w:jc w:val="both"/>
        <w:ind w:left="300" w:right="59" w:hanging="250"/>
        <w:spacing w:after="0" w:line="229" w:lineRule="auto"/>
        <w:tabs>
          <w:tab w:leader="none" w:pos="295" w:val="left"/>
        </w:tabs>
        <w:numPr>
          <w:ilvl w:val="0"/>
          <w:numId w:val="3"/>
        </w:numPr>
        <w:rPr>
          <w:rFonts w:ascii="Arial" w:cs="Arial" w:eastAsia="Arial" w:hAnsi="Arial"/>
          <w:sz w:val="14"/>
          <w:szCs w:val="14"/>
          <w:color w:val="auto"/>
        </w:rPr>
      </w:pPr>
      <w:r>
        <w:rPr>
          <w:rFonts w:ascii="Arial" w:cs="Arial" w:eastAsia="Arial" w:hAnsi="Arial"/>
          <w:sz w:val="14"/>
          <w:szCs w:val="14"/>
          <w:color w:val="auto"/>
        </w:rPr>
        <w:t>All non-affiliate investments are investments in which the Company owns less than 5% of the voting securities of the portfolio company. All non-controlled affiliate investments are investments in which the Company owns 5% or more of the voting securities of the portfolio company but not more than 25% of the voting securities of the portfolio company. All controlled affiliate investments are investments in which the Company owns more than 25% of the portfolio company’s outstanding voting securities or has the power to exercise control over management or policies of such portfolio company (including through a management agreement).</w:t>
      </w:r>
    </w:p>
    <w:p>
      <w:pPr>
        <w:spacing w:after="0" w:line="8" w:lineRule="exact"/>
        <w:rPr>
          <w:rFonts w:ascii="Arial" w:cs="Arial" w:eastAsia="Arial" w:hAnsi="Arial"/>
          <w:sz w:val="14"/>
          <w:szCs w:val="14"/>
          <w:color w:val="auto"/>
        </w:rPr>
      </w:pPr>
    </w:p>
    <w:p>
      <w:pPr>
        <w:jc w:val="both"/>
        <w:ind w:left="300" w:right="59" w:hanging="250"/>
        <w:spacing w:after="0" w:line="231" w:lineRule="auto"/>
        <w:tabs>
          <w:tab w:leader="none" w:pos="295" w:val="left"/>
        </w:tabs>
        <w:numPr>
          <w:ilvl w:val="0"/>
          <w:numId w:val="3"/>
        </w:numPr>
        <w:rPr>
          <w:rFonts w:ascii="Arial" w:cs="Arial" w:eastAsia="Arial" w:hAnsi="Arial"/>
          <w:sz w:val="14"/>
          <w:szCs w:val="14"/>
          <w:color w:val="auto"/>
        </w:rPr>
      </w:pPr>
      <w:r>
        <w:rPr>
          <w:rFonts w:ascii="Arial" w:cs="Arial" w:eastAsia="Arial" w:hAnsi="Arial"/>
          <w:sz w:val="14"/>
          <w:szCs w:val="14"/>
          <w:color w:val="auto"/>
        </w:rPr>
        <w:t>All interest is payable in cash due monthly in arrears, unless otherwise indicated, and applies only to the Company’s debt investments. Interest rate is the annual interest rate on the debt investment and does not include end-of-term payments (“ETPs”), and any additional fees related to the investments, such as deferred interest, commitment fees or prepayment fees. Debt investments are at variable rates for the term of the debt investment, unless otherwise indicated. All debt investments based on the London InterBank Offered Rate (“LIBOR”) are based on one-month LIBOR. For each debt investment, the current interest rate in effect as of March 31, 2020 is provided.</w:t>
      </w:r>
    </w:p>
    <w:p>
      <w:pPr>
        <w:spacing w:after="0" w:line="8" w:lineRule="exact"/>
        <w:rPr>
          <w:rFonts w:ascii="Arial" w:cs="Arial" w:eastAsia="Arial" w:hAnsi="Arial"/>
          <w:sz w:val="14"/>
          <w:szCs w:val="14"/>
          <w:color w:val="auto"/>
        </w:rPr>
      </w:pPr>
    </w:p>
    <w:p>
      <w:pPr>
        <w:ind w:left="300" w:hanging="250"/>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Portfolio company is a public company.</w:t>
      </w:r>
    </w:p>
    <w:p>
      <w:pPr>
        <w:spacing w:after="0" w:line="21" w:lineRule="exact"/>
        <w:rPr>
          <w:rFonts w:ascii="Arial" w:cs="Arial" w:eastAsia="Arial" w:hAnsi="Arial"/>
          <w:sz w:val="14"/>
          <w:szCs w:val="14"/>
          <w:color w:val="auto"/>
        </w:rPr>
      </w:pPr>
    </w:p>
    <w:p>
      <w:pPr>
        <w:ind w:left="300" w:hanging="250"/>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debt investments, represents principal balance less unearned income.</w:t>
      </w:r>
    </w:p>
    <w:p>
      <w:pPr>
        <w:spacing w:after="0" w:line="21" w:lineRule="exact"/>
        <w:rPr>
          <w:rFonts w:ascii="Arial" w:cs="Arial" w:eastAsia="Arial" w:hAnsi="Arial"/>
          <w:sz w:val="14"/>
          <w:szCs w:val="14"/>
          <w:color w:val="auto"/>
        </w:rPr>
      </w:pPr>
    </w:p>
    <w:p>
      <w:pPr>
        <w:ind w:left="300" w:hanging="250"/>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Warrants, Equity and Other Investments are non-income producing.</w:t>
      </w:r>
    </w:p>
    <w:p>
      <w:pPr>
        <w:spacing w:after="0" w:line="28" w:lineRule="exact"/>
        <w:rPr>
          <w:rFonts w:ascii="Arial" w:cs="Arial" w:eastAsia="Arial" w:hAnsi="Arial"/>
          <w:sz w:val="14"/>
          <w:szCs w:val="14"/>
          <w:color w:val="auto"/>
        </w:rPr>
      </w:pPr>
    </w:p>
    <w:p>
      <w:pPr>
        <w:ind w:left="300" w:hanging="250"/>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Value as a percent of net assets.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6" w:lineRule="exact"/>
        <w:rPr>
          <w:sz w:val="20"/>
          <w:szCs w:val="20"/>
          <w:color w:val="auto"/>
        </w:rPr>
      </w:pPr>
    </w:p>
    <w:p>
      <w:pPr>
        <w:jc w:val="both"/>
        <w:ind w:left="300" w:right="59" w:hanging="250"/>
        <w:spacing w:after="0" w:line="238" w:lineRule="auto"/>
        <w:tabs>
          <w:tab w:leader="none" w:pos="295"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March 31, 2020, 4.4% of the Company’s total assets on a cost and fair value basis are in non-qualifying assets. Under the Investment Company Act of 1940, as amended (the “1940 Act”), the Company may not acquire any non-qualifying assets unless, at the time the acquisition is made, qualifying assets represent at least 70% of the Company’s total assets.</w:t>
      </w:r>
    </w:p>
    <w:p>
      <w:pPr>
        <w:spacing w:after="0" w:line="7" w:lineRule="exact"/>
        <w:rPr>
          <w:sz w:val="20"/>
          <w:szCs w:val="20"/>
          <w:color w:val="auto"/>
        </w:rPr>
      </w:pPr>
    </w:p>
    <w:p>
      <w:pPr>
        <w:jc w:val="both"/>
        <w:ind w:left="300" w:right="59" w:hanging="246"/>
        <w:spacing w:after="0" w:line="233" w:lineRule="auto"/>
        <w:rPr>
          <w:sz w:val="20"/>
          <w:szCs w:val="20"/>
          <w:color w:val="auto"/>
        </w:rPr>
      </w:pPr>
      <w:r>
        <w:rPr>
          <w:rFonts w:ascii="Arial" w:cs="Arial" w:eastAsia="Arial" w:hAnsi="Arial"/>
          <w:sz w:val="14"/>
          <w:szCs w:val="14"/>
          <w:color w:val="auto"/>
        </w:rPr>
        <w:t>(10)ETPs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4"/>
          <w:szCs w:val="14"/>
          <w:color w:val="auto"/>
        </w:rPr>
        <w:t>(11)Debt investment has a payment-in-kind (“PIK”) feature.</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4"/>
          <w:szCs w:val="14"/>
          <w:color w:val="auto"/>
        </w:rPr>
        <w:t>(12)The fair value of the investment was valued using significant unobservable inputs.</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4"/>
          <w:szCs w:val="14"/>
          <w:color w:val="auto"/>
        </w:rPr>
        <w:t>(13)New Signature US, Inc. is a subsidiary of BSI Platform Holdings, LLC.</w:t>
      </w:r>
    </w:p>
    <w:p>
      <w:pPr>
        <w:spacing w:after="0" w:line="28" w:lineRule="exact"/>
        <w:rPr>
          <w:sz w:val="20"/>
          <w:szCs w:val="20"/>
          <w:color w:val="auto"/>
        </w:rPr>
      </w:pPr>
    </w:p>
    <w:p>
      <w:pPr>
        <w:jc w:val="both"/>
        <w:ind w:left="300" w:right="59" w:hanging="246"/>
        <w:spacing w:after="0" w:line="229" w:lineRule="auto"/>
        <w:rPr>
          <w:sz w:val="20"/>
          <w:szCs w:val="20"/>
          <w:color w:val="auto"/>
        </w:rPr>
      </w:pPr>
      <w:r>
        <w:rPr>
          <w:rFonts w:ascii="Arial" w:cs="Arial" w:eastAsia="Arial" w:hAnsi="Arial"/>
          <w:sz w:val="14"/>
          <w:szCs w:val="14"/>
          <w:color w:val="auto"/>
        </w:rPr>
        <w:t>(14)On June 1, 2018, the Company entered into an agreement with Arena Sunset SPV, LLC (“Arena”) to co-invest through Horizon Secured Loan Fund I LLC (“HSLFI”), a joint venture, which is expected to make investments, either directly or indirectly through subsidiaries, primarily in the form of secured loans to development-stage companies in the technology, life science, healthcare information and services and sustainability industries. All HSLFI investment decisions require unanimous approval of a quorum of HSLFI’s board of managers, which consists of two representatives of the Company and Arena. Although the Company owns more than 25% of the voting securities of HSLFI, the Company does not have sole control over significant actions of HSLFI for purposes of the 1940 Act or otherwise.</w:t>
      </w:r>
    </w:p>
    <w:p>
      <w:pPr>
        <w:spacing w:after="0" w:line="3" w:lineRule="exact"/>
        <w:rPr>
          <w:sz w:val="20"/>
          <w:szCs w:val="20"/>
          <w:color w:val="auto"/>
        </w:rPr>
      </w:pPr>
    </w:p>
    <w:p>
      <w:pPr>
        <w:ind w:left="60"/>
        <w:spacing w:after="0"/>
        <w:rPr>
          <w:sz w:val="20"/>
          <w:szCs w:val="20"/>
          <w:color w:val="auto"/>
        </w:rPr>
      </w:pPr>
      <w:r>
        <w:rPr>
          <w:rFonts w:ascii="Arial" w:cs="Arial" w:eastAsia="Arial" w:hAnsi="Arial"/>
          <w:sz w:val="14"/>
          <w:szCs w:val="14"/>
          <w:color w:val="auto"/>
        </w:rPr>
        <w:t>(15)Debt investment is on non-accrual status as of March 31, 2020.</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Principal</w:t>
            </w:r>
          </w:p>
        </w:tc>
        <w:tc>
          <w:tcPr>
            <w:tcW w:w="80" w:type="dxa"/>
            <w:vAlign w:val="bottom"/>
          </w:tcPr>
          <w:p>
            <w:pPr>
              <w:spacing w:after="0"/>
              <w:rPr>
                <w:sz w:val="10"/>
                <w:szCs w:val="10"/>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Cost of</w:t>
            </w:r>
          </w:p>
        </w:tc>
        <w:tc>
          <w:tcPr>
            <w:tcW w:w="140" w:type="dxa"/>
            <w:vAlign w:val="bottom"/>
          </w:tcPr>
          <w:p>
            <w:pPr>
              <w:spacing w:after="0"/>
              <w:rPr>
                <w:sz w:val="10"/>
                <w:szCs w:val="10"/>
                <w:color w:val="auto"/>
              </w:rPr>
            </w:pPr>
          </w:p>
        </w:tc>
        <w:tc>
          <w:tcPr>
            <w:tcW w:w="520" w:type="dxa"/>
            <w:vAlign w:val="bottom"/>
          </w:tcPr>
          <w:p>
            <w:pPr>
              <w:jc w:val="right"/>
              <w:ind w:right="166"/>
              <w:spacing w:after="0"/>
              <w:rPr>
                <w:sz w:val="20"/>
                <w:szCs w:val="20"/>
                <w:color w:val="auto"/>
              </w:rPr>
            </w:pPr>
            <w:r>
              <w:rPr>
                <w:rFonts w:ascii="Arial" w:cs="Arial" w:eastAsia="Arial" w:hAnsi="Arial"/>
                <w:sz w:val="11"/>
                <w:szCs w:val="11"/>
                <w:b w:val="1"/>
                <w:bCs w:val="1"/>
                <w:color w:val="auto"/>
              </w:rPr>
              <w:t>Fair</w:t>
            </w:r>
          </w:p>
        </w:tc>
      </w:tr>
      <w:tr>
        <w:trPr>
          <w:trHeight w:val="135"/>
        </w:trPr>
        <w:tc>
          <w:tcPr>
            <w:tcW w:w="258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020" w:type="dxa"/>
            <w:vAlign w:val="bottom"/>
            <w:gridSpan w:val="2"/>
          </w:tcPr>
          <w:p>
            <w:pPr>
              <w:ind w:left="300"/>
              <w:spacing w:after="0"/>
              <w:rPr>
                <w:sz w:val="20"/>
                <w:szCs w:val="20"/>
                <w:color w:val="auto"/>
              </w:rPr>
            </w:pPr>
            <w:r>
              <w:rPr>
                <w:rFonts w:ascii="Arial" w:cs="Arial" w:eastAsia="Arial" w:hAnsi="Arial"/>
                <w:sz w:val="11"/>
                <w:szCs w:val="11"/>
                <w:b w:val="1"/>
                <w:bCs w:val="1"/>
                <w:color w:val="auto"/>
              </w:rPr>
              <w:t>Sector</w:t>
            </w:r>
          </w:p>
        </w:tc>
        <w:tc>
          <w:tcPr>
            <w:tcW w:w="2880" w:type="dxa"/>
            <w:vAlign w:val="bottom"/>
            <w:gridSpan w:val="2"/>
          </w:tcPr>
          <w:p>
            <w:pPr>
              <w:ind w:left="640"/>
              <w:spacing w:after="0"/>
              <w:rPr>
                <w:sz w:val="20"/>
                <w:szCs w:val="20"/>
                <w:color w:val="auto"/>
              </w:rPr>
            </w:pPr>
            <w:r>
              <w:rPr>
                <w:rFonts w:ascii="Arial" w:cs="Arial" w:eastAsia="Arial" w:hAnsi="Arial"/>
                <w:sz w:val="11"/>
                <w:szCs w:val="11"/>
                <w:b w:val="1"/>
                <w:bCs w:val="1"/>
                <w:color w:val="auto"/>
              </w:rPr>
              <w:t>Type of Investment (4)(7)(9)(10)</w:t>
            </w:r>
          </w:p>
        </w:tc>
        <w:tc>
          <w:tcPr>
            <w:tcW w:w="100" w:type="dxa"/>
            <w:vAlign w:val="bottom"/>
          </w:tcPr>
          <w:p>
            <w:pPr>
              <w:spacing w:after="0"/>
              <w:rPr>
                <w:sz w:val="11"/>
                <w:szCs w:val="11"/>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Amount</w:t>
            </w:r>
          </w:p>
        </w:tc>
        <w:tc>
          <w:tcPr>
            <w:tcW w:w="80" w:type="dxa"/>
            <w:vAlign w:val="bottom"/>
          </w:tcPr>
          <w:p>
            <w:pPr>
              <w:spacing w:after="0"/>
              <w:rPr>
                <w:sz w:val="11"/>
                <w:szCs w:val="11"/>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Investments (6)</w:t>
            </w:r>
          </w:p>
        </w:tc>
        <w:tc>
          <w:tcPr>
            <w:tcW w:w="140" w:type="dxa"/>
            <w:vAlign w:val="bottom"/>
          </w:tcPr>
          <w:p>
            <w:pPr>
              <w:spacing w:after="0"/>
              <w:rPr>
                <w:sz w:val="11"/>
                <w:szCs w:val="11"/>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15"/>
        </w:trPr>
        <w:tc>
          <w:tcPr>
            <w:tcW w:w="244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Investments — 160.0% (8)</w:t>
            </w:r>
          </w:p>
        </w:tc>
        <w:tc>
          <w:tcPr>
            <w:tcW w:w="1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r>
      <w:tr>
        <w:trPr>
          <w:trHeight w:val="122"/>
        </w:trPr>
        <w:tc>
          <w:tcPr>
            <w:tcW w:w="258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Non-Affiliate Debt Investments — 153.5% (8)</w:t>
            </w: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21"/>
        </w:trPr>
        <w:tc>
          <w:tcPr>
            <w:tcW w:w="3600" w:type="dxa"/>
            <w:vAlign w:val="bottom"/>
            <w:gridSpan w:val="4"/>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Non-Affiliate Debt Investments — Life Science — 55.9% (8)</w:t>
            </w:r>
          </w:p>
        </w:tc>
        <w:tc>
          <w:tcPr>
            <w:tcW w:w="2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Celsion Corporation (2)(5)(12)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(9.98% cash (Libor + 7.63%; Floor 9.63%), 4.00%</w:t>
            </w:r>
          </w:p>
        </w:tc>
        <w:tc>
          <w:tcPr>
            <w:tcW w:w="100" w:type="dxa"/>
            <w:vAlign w:val="bottom"/>
          </w:tcPr>
          <w:p>
            <w:pPr>
              <w:jc w:val="right"/>
              <w:spacing w:after="0" w:line="112" w:lineRule="exact"/>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2,500</w:t>
            </w:r>
          </w:p>
        </w:tc>
        <w:tc>
          <w:tcPr>
            <w:tcW w:w="140" w:type="dxa"/>
            <w:vAlign w:val="bottom"/>
          </w:tcPr>
          <w:p>
            <w:pPr>
              <w:spacing w:after="0"/>
              <w:rPr>
                <w:sz w:val="9"/>
                <w:szCs w:val="9"/>
                <w:color w:val="auto"/>
              </w:rPr>
            </w:pPr>
          </w:p>
        </w:tc>
        <w:tc>
          <w:tcPr>
            <w:tcW w:w="80" w:type="dxa"/>
            <w:vAlign w:val="bottom"/>
          </w:tcPr>
          <w:p>
            <w:pPr>
              <w:jc w:val="right"/>
              <w:spacing w:after="0" w:line="112" w:lineRule="exact"/>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2,464</w:t>
            </w:r>
          </w:p>
        </w:tc>
        <w:tc>
          <w:tcPr>
            <w:tcW w:w="140" w:type="dxa"/>
            <w:vAlign w:val="bottom"/>
          </w:tcPr>
          <w:p>
            <w:pPr>
              <w:spacing w:after="0"/>
              <w:rPr>
                <w:sz w:val="9"/>
                <w:szCs w:val="9"/>
                <w:color w:val="auto"/>
              </w:rPr>
            </w:pPr>
          </w:p>
        </w:tc>
        <w:tc>
          <w:tcPr>
            <w:tcW w:w="140" w:type="dxa"/>
            <w:vAlign w:val="bottom"/>
          </w:tcPr>
          <w:p>
            <w:pPr>
              <w:jc w:val="right"/>
              <w:ind w:right="31"/>
              <w:spacing w:after="0" w:line="112" w:lineRule="exact"/>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2,464</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7/1/22)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(9.98% cash (Libor + 7.63%; Floor 9.63%), 4.00%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2,500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2,464</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2,464</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7/1/22)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Encore Dermatology, Inc.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+ 7.50%;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4,929</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4,929</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3.00% ETP, Due 4/1/23)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+ 7.50%; Floor 10.00%),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4,929</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4,929</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3.00% ETP, Due 4/1/23)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Espero BioPharma, Inc.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(12.00% cash (Libor + 9.25%; Floor 12.00%),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5,053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5,053</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5,053</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5.10% ETP, Due 3/31/20) (11)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(12.00% cash (Libor + 9.25%; Floor 12.00%),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4,802</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4,802</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4,802</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5.10% ETP, Due 3/31/20) (11)</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LogicBio, Inc.(2)(5)(12)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4"/>
              </w:rPr>
              <w:t>Term Loan (8.75 % cash (Libor + 6.25%; Floor 8.75%), 4.50%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4,970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4,970</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6/1/24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Mustang Bio, Inc. (2)(5)(12)</w:t>
            </w:r>
          </w:p>
        </w:tc>
        <w:tc>
          <w:tcPr>
            <w:tcW w:w="1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(9.00% cash (Libor + 6.50%; Floor 9.00%), 5.00%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4,827</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4,827</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10/1/22)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(9.00% cash (Libor + 6.50%; Floor 9.00%),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4,924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4,924</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10/1/22)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vTv Therapeutics Inc. (2)(5)(12)</w:t>
            </w:r>
          </w:p>
        </w:tc>
        <w:tc>
          <w:tcPr>
            <w:tcW w:w="1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Biotechnology</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(11.69% cash (Libor + 10.00%; Floor 10.50%),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1,042</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1,034</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1,034</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6.00% ETP, Due 5/1/20)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(11.69% cash (Libor + 10.00%; Floor 10.50%),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1,406</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1,393</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1,393</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6.00% ETP, Due 10/1/20)</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Titan Pharmaceuticals, Inc. (2)(5)(12)</w:t>
            </w:r>
          </w:p>
        </w:tc>
        <w:tc>
          <w:tcPr>
            <w:tcW w:w="1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Drug Delivery</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(10.09% cash (Libor + 8.40%; Floor 9.50%),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1,600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1,533</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1,533</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5.00% ETP, Due 6/1/22)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Conventus Orthopaedics, Inc.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(9.69% cash (Libor + 8.00%; Floor 9.25%), 8.33%</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5,311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5,233</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5,233</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7/1/23)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(9.69% cash (Libor + 8.00%; Floor 9.25%), 8.33%</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5,311</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5,233</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5,233</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7/1/23)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CSA Medical, Inc.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+ 8.20%;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3,750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3,637</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3,637</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5.00% ETP, Due 1/1/24)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+ 8.20%; Floor 10.00%),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250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246</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246</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5.00% ETP, Due 1/1/24)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CVRx, Inc.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4,934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4,934</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3.50% ETP, Due 4/1/24)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4,934</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4,934</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3.50% ETP, Due 4/1/24)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4,934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4,934</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3.50% ETP, Due 4/1/24)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(10.00% cash (Libor + 7.80%; Floor 10.00%),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4,934</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4,934</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3.50% ETP, Due 4/1/24)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Lantos Technologies, Inc.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(10.12% cash (Libor + 8.43%; Floor 10.00%),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3,433</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3,143</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3,143</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10.00% ETP, Due 4/1/21)</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MacuLogix, Inc. (2)(12)</w:t>
            </w:r>
          </w:p>
        </w:tc>
        <w:tc>
          <w:tcPr>
            <w:tcW w:w="1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(10.08% cash (Libor + 7.68%; Floor 10.08%),</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7,500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7,356</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7,356</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4.00% ETP, Due 10/1/23)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(10.08% cash (Libor + 7.68%; Floor 10.08%),</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4,050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3,993</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3,993</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4.00% ETP, Due 10/1/23)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Meditrina, Inc. (2)(12)</w:t>
            </w:r>
          </w:p>
        </w:tc>
        <w:tc>
          <w:tcPr>
            <w:tcW w:w="1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(9.70% cash (Libor + 7.10%; Floor 9.70%), 4.00%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2,966</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2,966</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5/1/20)</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VERO Biotech LLC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Medical Device</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(9.69% cash (Libor + 8.00%; Floor 9.25%),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4,000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3,967</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3,967</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1/1/22)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(10.35% cash (Libor + 8.00%; Floor 9.25%),</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3,967</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3,967</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5.00% ETP, Due 1/1/22)</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spacing w:after="0"/>
              <w:rPr>
                <w:sz w:val="11"/>
                <w:szCs w:val="11"/>
                <w:color w:val="auto"/>
              </w:rPr>
            </w:pPr>
          </w:p>
        </w:tc>
      </w:tr>
      <w:tr>
        <w:trPr>
          <w:trHeight w:val="115"/>
        </w:trPr>
        <w:tc>
          <w:tcPr>
            <w:tcW w:w="258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color w:val="auto"/>
              </w:rPr>
              <w:t>Total Non-Affiliate Debt Investments — Life Science</w:t>
            </w:r>
          </w:p>
        </w:tc>
        <w:tc>
          <w:tcPr>
            <w:tcW w:w="88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4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102,799</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102,799</w:t>
            </w:r>
          </w:p>
        </w:tc>
      </w:tr>
      <w:tr>
        <w:trPr>
          <w:trHeight w:val="115"/>
        </w:trPr>
        <w:tc>
          <w:tcPr>
            <w:tcW w:w="3600" w:type="dxa"/>
            <w:vAlign w:val="bottom"/>
            <w:gridSpan w:val="4"/>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Debt Investments — Technology — 84.8% (8)</w:t>
            </w:r>
          </w:p>
        </w:tc>
        <w:tc>
          <w:tcPr>
            <w:tcW w:w="2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Audacy Corporation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Communications</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(9.59% cash (Libor + 7.90%; Floor 9.50%), 5.00%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3,641</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3,580</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1,300</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7/1/22)</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9"/>
              </w:rPr>
              <w:t>Term Loan (9.59% cash (Libor + 7.90%; Floor 9.50%), Due</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550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550</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200</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1"/>
                <w:szCs w:val="11"/>
                <w:color w:val="auto"/>
              </w:rPr>
              <w:t>2/1/20)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Betabrand Corporation (2)(12)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(10.05% cash (Libor + 7.50%; Floor 10.05%),</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4,250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4,115</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4,115</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880" w:type="dxa"/>
            <w:vAlign w:val="bottom"/>
            <w:gridSpan w:val="2"/>
          </w:tcPr>
          <w:p>
            <w:pPr>
              <w:spacing w:after="0"/>
              <w:rPr>
                <w:sz w:val="20"/>
                <w:szCs w:val="20"/>
                <w:color w:val="auto"/>
              </w:rPr>
            </w:pPr>
            <w:r>
              <w:rPr>
                <w:rFonts w:ascii="Arial" w:cs="Arial" w:eastAsia="Arial" w:hAnsi="Arial"/>
                <w:sz w:val="11"/>
                <w:szCs w:val="11"/>
                <w:color w:val="auto"/>
              </w:rPr>
              <w:t>4.50% ETP, Due 9/1/23)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(10.05% cash (Libor + 7.50%; Floor 10.05%),</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4,250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4,182</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4,182</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4.50% ETP, Due 9/1/23)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58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Mohawk Group Holdings, Inc. (2)(5)(12)</w:t>
            </w:r>
          </w:p>
        </w:tc>
        <w:tc>
          <w:tcPr>
            <w:tcW w:w="102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(9.90% cash (Libor + 7.40%; Floor 9.90%), 4.00%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4,914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4,914</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4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Term Loan (9.90% cash (Libor + 7.40%; Floor 9.90%), 4.00%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4,914</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4,914</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1/1/23)</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(9.90% cash (Libor + 7.40%; Floor 9.90%), 4.00%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4,914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4,914</w:t>
            </w:r>
          </w:p>
        </w:tc>
      </w:tr>
      <w:tr>
        <w:trPr>
          <w:trHeight w:val="131"/>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ETP, Due 1/1/23)</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r>
        <w:trPr>
          <w:trHeight w:val="112"/>
        </w:trPr>
        <w:tc>
          <w:tcPr>
            <w:tcW w:w="258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Updater, Inc.(2)(12)</w:t>
            </w:r>
          </w:p>
        </w:tc>
        <w:tc>
          <w:tcPr>
            <w:tcW w:w="102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28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 (11.50% cash (Prime + 5.75%; Floor 11.50%,</w:t>
            </w:r>
          </w:p>
        </w:tc>
        <w:tc>
          <w:tcPr>
            <w:tcW w:w="10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4,935</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5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4,935</w:t>
            </w:r>
          </w:p>
        </w:tc>
      </w:tr>
      <w:tr>
        <w:trPr>
          <w:trHeight w:val="131"/>
        </w:trPr>
        <w:tc>
          <w:tcPr>
            <w:tcW w:w="2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Ceiling 14.00%),0.56% ETP, Due 12/20/24)</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r>
      <w:tr>
        <w:trPr>
          <w:trHeight w:val="112"/>
        </w:trPr>
        <w:tc>
          <w:tcPr>
            <w:tcW w:w="2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80" w:type="dxa"/>
            <w:vAlign w:val="bottom"/>
            <w:gridSpan w:val="2"/>
          </w:tcPr>
          <w:p>
            <w:pPr>
              <w:spacing w:after="0" w:line="112" w:lineRule="exact"/>
              <w:rPr>
                <w:sz w:val="20"/>
                <w:szCs w:val="20"/>
                <w:color w:val="auto"/>
              </w:rPr>
            </w:pPr>
            <w:r>
              <w:rPr>
                <w:rFonts w:ascii="Arial" w:cs="Arial" w:eastAsia="Arial" w:hAnsi="Arial"/>
                <w:sz w:val="11"/>
                <w:szCs w:val="11"/>
                <w:color w:val="auto"/>
              </w:rPr>
              <w:t>Term Loan (11.50% cash (Prime + 5.75%; Floor 11.50%,</w:t>
            </w:r>
          </w:p>
        </w:tc>
        <w:tc>
          <w:tcPr>
            <w:tcW w:w="100" w:type="dxa"/>
            <w:vAlign w:val="bottom"/>
          </w:tcPr>
          <w:p>
            <w:pPr>
              <w:spacing w:after="0"/>
              <w:rPr>
                <w:sz w:val="9"/>
                <w:szCs w:val="9"/>
                <w:color w:val="auto"/>
              </w:rPr>
            </w:pPr>
          </w:p>
        </w:tc>
        <w:tc>
          <w:tcPr>
            <w:tcW w:w="56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jc w:val="right"/>
              <w:spacing w:after="0" w:line="112" w:lineRule="exact"/>
              <w:rPr>
                <w:sz w:val="20"/>
                <w:szCs w:val="20"/>
                <w:color w:val="auto"/>
              </w:rPr>
            </w:pPr>
            <w:r>
              <w:rPr>
                <w:rFonts w:ascii="Arial" w:cs="Arial" w:eastAsia="Arial" w:hAnsi="Arial"/>
                <w:sz w:val="11"/>
                <w:szCs w:val="11"/>
                <w:color w:val="auto"/>
              </w:rPr>
              <w:t>4,935</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spacing w:after="0" w:line="112" w:lineRule="exact"/>
              <w:rPr>
                <w:sz w:val="20"/>
                <w:szCs w:val="20"/>
                <w:color w:val="auto"/>
              </w:rPr>
            </w:pPr>
            <w:r>
              <w:rPr>
                <w:rFonts w:ascii="Arial" w:cs="Arial" w:eastAsia="Arial" w:hAnsi="Arial"/>
                <w:sz w:val="11"/>
                <w:szCs w:val="11"/>
                <w:color w:val="auto"/>
              </w:rPr>
              <w:t>4,935</w:t>
            </w:r>
          </w:p>
        </w:tc>
      </w:tr>
      <w:tr>
        <w:trPr>
          <w:trHeight w:val="136"/>
        </w:trPr>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80" w:type="dxa"/>
            <w:vAlign w:val="bottom"/>
            <w:gridSpan w:val="2"/>
          </w:tcPr>
          <w:p>
            <w:pPr>
              <w:spacing w:after="0"/>
              <w:rPr>
                <w:sz w:val="20"/>
                <w:szCs w:val="20"/>
                <w:color w:val="auto"/>
              </w:rPr>
            </w:pPr>
            <w:r>
              <w:rPr>
                <w:rFonts w:ascii="Arial" w:cs="Arial" w:eastAsia="Arial" w:hAnsi="Arial"/>
                <w:sz w:val="11"/>
                <w:szCs w:val="11"/>
                <w:color w:val="auto"/>
              </w:rPr>
              <w:t>Ceiling 14.00%), 0.56% ETP, Due 12/20/24)</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Principal</w:t>
            </w: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4"/>
              </w:rPr>
              <w:t>Cost of</w:t>
            </w: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62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000" w:type="dxa"/>
            <w:vAlign w:val="bottom"/>
            <w:gridSpan w:val="2"/>
          </w:tcPr>
          <w:p>
            <w:pPr>
              <w:ind w:left="280"/>
              <w:spacing w:after="0"/>
              <w:rPr>
                <w:sz w:val="20"/>
                <w:szCs w:val="20"/>
                <w:color w:val="auto"/>
              </w:rPr>
            </w:pPr>
            <w:r>
              <w:rPr>
                <w:rFonts w:ascii="Arial" w:cs="Arial" w:eastAsia="Arial" w:hAnsi="Arial"/>
                <w:sz w:val="11"/>
                <w:szCs w:val="11"/>
                <w:b w:val="1"/>
                <w:bCs w:val="1"/>
                <w:color w:val="auto"/>
              </w:rPr>
              <w:t>Sector</w:t>
            </w:r>
          </w:p>
        </w:tc>
        <w:tc>
          <w:tcPr>
            <w:tcW w:w="300" w:type="dxa"/>
            <w:vAlign w:val="bottom"/>
          </w:tcPr>
          <w:p>
            <w:pPr>
              <w:spacing w:after="0"/>
              <w:rPr>
                <w:sz w:val="11"/>
                <w:szCs w:val="11"/>
                <w:color w:val="auto"/>
              </w:rPr>
            </w:pPr>
          </w:p>
        </w:tc>
        <w:tc>
          <w:tcPr>
            <w:tcW w:w="2600" w:type="dxa"/>
            <w:vAlign w:val="bottom"/>
            <w:gridSpan w:val="2"/>
          </w:tcPr>
          <w:p>
            <w:pPr>
              <w:ind w:left="360"/>
              <w:spacing w:after="0"/>
              <w:rPr>
                <w:sz w:val="20"/>
                <w:szCs w:val="20"/>
                <w:color w:val="auto"/>
              </w:rPr>
            </w:pPr>
            <w:r>
              <w:rPr>
                <w:rFonts w:ascii="Arial" w:cs="Arial" w:eastAsia="Arial" w:hAnsi="Arial"/>
                <w:sz w:val="11"/>
                <w:szCs w:val="11"/>
                <w:b w:val="1"/>
                <w:bCs w:val="1"/>
                <w:color w:val="auto"/>
              </w:rPr>
              <w:t>Type of Investment (4)(7)(9)(10)</w:t>
            </w: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Amount</w:t>
            </w: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Investments (6)</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05"/>
        </w:trPr>
        <w:tc>
          <w:tcPr>
            <w:tcW w:w="24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auto"/>
            </w:tcBorders>
            <w:gridSpan w:val="2"/>
            <w:shd w:val="clear" w:color="auto" w:fill="CCEEFF"/>
          </w:tcPr>
          <w:p>
            <w:pPr>
              <w:spacing w:after="0" w:line="105" w:lineRule="exact"/>
              <w:rPr>
                <w:sz w:val="20"/>
                <w:szCs w:val="20"/>
                <w:color w:val="auto"/>
              </w:rPr>
            </w:pPr>
            <w:r>
              <w:rPr>
                <w:rFonts w:ascii="Arial" w:cs="Arial" w:eastAsia="Arial" w:hAnsi="Arial"/>
                <w:sz w:val="11"/>
                <w:szCs w:val="11"/>
                <w:color w:val="auto"/>
                <w:w w:val="98"/>
              </w:rPr>
              <w:t>Term Loan (11.50% cash (Prime + 5.75%; Floor 11.50%,</w:t>
            </w: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10,000</w:t>
            </w:r>
          </w:p>
        </w:tc>
        <w:tc>
          <w:tcPr>
            <w:tcW w:w="1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9,870</w:t>
            </w:r>
          </w:p>
        </w:tc>
        <w:tc>
          <w:tcPr>
            <w:tcW w:w="1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9,870</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Ceiling 14.00%), 0.56% ETP, Due 12/20/24)</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Canara,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Data Storage</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(11.00% cash (Libor + 8.60%; Floor 11.00%),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4,868</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4,868</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1.00%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2/1/23)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(11.00% cash (Libor + 8.60%; Floor 11.00%),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4,868</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4,868</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1.00%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2/1/23)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Kaminario,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Data Storage</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(10.65% cash (Libor + 8.40%; Floor 10.65%),</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4,938</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4,938</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3.00%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1/1/23)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(10.65% cash (Libor + 8.40%; Floor 10.65%),</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4,938</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4,938</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3.00%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1/1/23)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(10.65% cash (Libor + 8.40%; Floor 10.65%),</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4,840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4,840</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3.00%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1/1/23)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IgnitionOne, Inc.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Internet and Media</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(11.92% cash (Libor + 10.23%; Floor 10.23%),</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2,911</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2,911</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4/1/22)</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(11.92% cash (Libor + 10.23%; Floor 10.23%),</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2,911</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2,911</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4/1/22)</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(11.92% cash (Libor + 10.23%; Floor 10.23%),</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2,812</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2,812</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4/1/22)</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(11.92% cash (Libor + 10.23%; Floor 10.23%),</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2,911</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2,911</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4/1/22)</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Skillshare, Inc.(2)(12)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Internet and Media</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(9.50% cash (Libor + 7.50%; Floor 9.50%), 5.00%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2,747</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2,747</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1/1/25)</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w w:val="96"/>
              </w:rPr>
              <w:t>Term Loan (9.50% cash (Libor + 7.50%; Floor 9.50%), 5.00%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2,946</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2,946</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gridSpan w:val="3"/>
          </w:tcPr>
          <w:p>
            <w:pPr>
              <w:spacing w:after="0"/>
              <w:rPr>
                <w:sz w:val="20"/>
                <w:szCs w:val="20"/>
                <w:color w:val="auto"/>
              </w:rPr>
            </w:pPr>
            <w:r>
              <w:rPr>
                <w:rFonts w:ascii="Arial" w:cs="Arial" w:eastAsia="Arial" w:hAnsi="Arial"/>
                <w:sz w:val="11"/>
                <w:szCs w:val="11"/>
                <w:color w:val="auto"/>
              </w:rPr>
              <w:t>ETP, Due 1/1/25)</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(9.50% cash (Libor + 7.50%; Floor 9.50%), 5.00%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2,946</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2,946</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1/1/25)</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Verve Wireless,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Internet and Media</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(15.80% cash (Libor + 8.80%; Floor 10.80%),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2,400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2,320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2,320</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3.33%</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9/1/21)</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The NanoSteel Company, Inc.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Materials</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(11.00% cash (Libor + 8.50%; Floor 11.00%),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4,250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4,205</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4,205</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4.00%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6/1/22)</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(11.00% cash (Libor + 8.50%; Floor 11.00%),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4,250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4,205</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4,205</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4.00%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6/1/22)</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Kinestral Technologies, Inc.(2)(12)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Power</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(9.95% cash (Libor + 7.75%; Floor 9.95%), 5.00%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5,442</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5,442</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Management</w:t>
            </w:r>
          </w:p>
        </w:tc>
        <w:tc>
          <w:tcPr>
            <w:tcW w:w="2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12/1/22)</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w w:val="96"/>
              </w:rPr>
              <w:t>Term Loan (9.95% cash (Libor + 7.75%; Floor 9.95%), 5.00%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6,000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5,765</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5,765</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gridSpan w:val="3"/>
          </w:tcPr>
          <w:p>
            <w:pPr>
              <w:spacing w:after="0"/>
              <w:rPr>
                <w:sz w:val="20"/>
                <w:szCs w:val="20"/>
                <w:color w:val="auto"/>
              </w:rPr>
            </w:pPr>
            <w:r>
              <w:rPr>
                <w:rFonts w:ascii="Arial" w:cs="Arial" w:eastAsia="Arial" w:hAnsi="Arial"/>
                <w:sz w:val="11"/>
                <w:szCs w:val="11"/>
                <w:color w:val="auto"/>
              </w:rPr>
              <w:t>ETP, Due 12/1/22)</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Bridge2 Solutions, LLC.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(11.00% cash (Libor + 8.40%; Floor 11.00%),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6,250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6,120</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6,120</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6/1/23)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(11.00% cash (Libor + 8.40%; Floor 11.00%),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6,250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6,120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6,120</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6/1/23)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(11.00% cash (Libor + 8.40%; Floor 11.00%),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1,926</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1,926</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2.00%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9/1/23)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New Signature US, Inc. (2)(12)(13)</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(10.50% cash (Libor + 8.50%; Floor 10.50%),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2,750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2,721</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2,721</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3.50%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7/1/22)</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(10.50% cash (Libor + 8.50%; Floor 10.50%),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987</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987</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3.50%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2/1/23)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OutboundEngine,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(11.15% cash (Libor + 8.40%; Floor 11.15%),</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3,929</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3,929</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3.00%</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7/1/23)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(11.15% cash (Libor + 8.40%; Floor 11.15%),</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3,500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3,438</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3,438</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3.00%</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7/1/23)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Revinate,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w w:val="96"/>
              </w:rPr>
              <w:t>Term Loan (9.50% cash (Libor + 7.00%; Floor 9.50%), 4.00%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928</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928</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gridSpan w:val="3"/>
          </w:tcPr>
          <w:p>
            <w:pPr>
              <w:spacing w:after="0"/>
              <w:rPr>
                <w:sz w:val="20"/>
                <w:szCs w:val="20"/>
                <w:color w:val="auto"/>
              </w:rPr>
            </w:pPr>
            <w:r>
              <w:rPr>
                <w:rFonts w:ascii="Arial" w:cs="Arial" w:eastAsia="Arial" w:hAnsi="Arial"/>
                <w:sz w:val="11"/>
                <w:szCs w:val="11"/>
                <w:color w:val="auto"/>
              </w:rPr>
              <w:t>ETP, Due 6/1/23)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(9.50% cash (Libor + 7.00%; Floor 9.50%), 4.00%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4,932</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4,932</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11/1/23)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SIGNiX, Inc. (12)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(12.69% cash (Libor + 11.00%; Floor 11.50%),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1,571</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1,569</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500</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8.67%</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2/1/20)</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xAd, Inc.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(10.39% cash (Libor + 8.70%; Floor 10.00%),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4,583</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4,533</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4,533</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4.75%</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11/1/21)</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(10.39% cash (Libor + 8.70%; Floor 10.00%),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4,583</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4,533</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4,533</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20"/>
                <w:szCs w:val="20"/>
                <w:color w:val="auto"/>
              </w:rPr>
            </w:pPr>
            <w:r>
              <w:rPr>
                <w:rFonts w:ascii="Arial" w:cs="Arial" w:eastAsia="Arial" w:hAnsi="Arial"/>
                <w:sz w:val="11"/>
                <w:szCs w:val="11"/>
                <w:color w:val="auto"/>
                <w:w w:val="89"/>
              </w:rPr>
              <w:t>4.75%</w:t>
            </w:r>
          </w:p>
        </w:tc>
        <w:tc>
          <w:tcPr>
            <w:tcW w:w="2600" w:type="dxa"/>
            <w:vAlign w:val="bottom"/>
            <w:gridSpan w:val="2"/>
          </w:tcPr>
          <w:p>
            <w:pPr>
              <w:ind w:left="20"/>
              <w:spacing w:after="0"/>
              <w:rPr>
                <w:sz w:val="20"/>
                <w:szCs w:val="20"/>
                <w:color w:val="auto"/>
              </w:rPr>
            </w:pPr>
            <w:r>
              <w:rPr>
                <w:rFonts w:ascii="Arial" w:cs="Arial" w:eastAsia="Arial" w:hAnsi="Arial"/>
                <w:sz w:val="11"/>
                <w:szCs w:val="11"/>
                <w:color w:val="auto"/>
              </w:rPr>
              <w:t>ETP, Due 11/1/21)</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rPr>
              <w:t>Term Loan (10.39% cash (Libor + 8.70%; Floor 10.00%),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2,750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2,720</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2,720</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1"/>
                <w:szCs w:val="11"/>
                <w:color w:val="auto"/>
                <w:w w:val="89"/>
              </w:rPr>
              <w:t>4.75%</w:t>
            </w:r>
          </w:p>
        </w:tc>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ETP, Due 11/1/21)</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rPr>
              <w:t>Term Loan (10.39% cash (Libor + 8.70%; Floor 10.00%),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1,833</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1,813</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1,813</w:t>
            </w:r>
          </w:p>
        </w:tc>
      </w:tr>
      <w:tr>
        <w:trPr>
          <w:trHeight w:val="131"/>
        </w:trPr>
        <w:tc>
          <w:tcPr>
            <w:tcW w:w="24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w w:val="89"/>
              </w:rPr>
              <w:t>4.75%</w:t>
            </w:r>
          </w:p>
        </w:tc>
        <w:tc>
          <w:tcPr>
            <w:tcW w:w="2600" w:type="dxa"/>
            <w:vAlign w:val="bottom"/>
            <w:tcBorders>
              <w:bottom w:val="single" w:sz="8" w:color="CCEEFF"/>
            </w:tcBorders>
            <w:gridSpan w:val="2"/>
          </w:tcPr>
          <w:p>
            <w:pPr>
              <w:ind w:left="20"/>
              <w:spacing w:after="0"/>
              <w:rPr>
                <w:sz w:val="20"/>
                <w:szCs w:val="20"/>
                <w:color w:val="auto"/>
              </w:rPr>
            </w:pPr>
            <w:r>
              <w:rPr>
                <w:rFonts w:ascii="Arial" w:cs="Arial" w:eastAsia="Arial" w:hAnsi="Arial"/>
                <w:sz w:val="11"/>
                <w:szCs w:val="11"/>
                <w:color w:val="auto"/>
              </w:rPr>
              <w:t>ETP, Due 11/1/21)</w:t>
            </w:r>
          </w:p>
        </w:tc>
        <w:tc>
          <w:tcPr>
            <w:tcW w:w="6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Non-Affiliate Debt Investments — Technology</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159,751</w:t>
            </w:r>
          </w:p>
        </w:tc>
        <w:tc>
          <w:tcPr>
            <w:tcW w:w="16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156,052</w:t>
            </w:r>
          </w:p>
        </w:tc>
      </w:tr>
      <w:tr>
        <w:trPr>
          <w:trHeight w:val="115"/>
        </w:trPr>
        <w:tc>
          <w:tcPr>
            <w:tcW w:w="3920" w:type="dxa"/>
            <w:vAlign w:val="bottom"/>
            <w:gridSpan w:val="5"/>
          </w:tcPr>
          <w:p>
            <w:pPr>
              <w:ind w:left="20"/>
              <w:spacing w:after="0" w:line="115" w:lineRule="exact"/>
              <w:rPr>
                <w:sz w:val="20"/>
                <w:szCs w:val="20"/>
                <w:color w:val="auto"/>
              </w:rPr>
            </w:pPr>
            <w:r>
              <w:rPr>
                <w:rFonts w:ascii="Arial" w:cs="Arial" w:eastAsia="Arial" w:hAnsi="Arial"/>
                <w:sz w:val="11"/>
                <w:szCs w:val="11"/>
                <w:b w:val="1"/>
                <w:bCs w:val="1"/>
                <w:color w:val="auto"/>
                <w:w w:val="89"/>
              </w:rPr>
              <w:t>Non-Affiliate Debt Investments — Healthcare information and services — 12.8% (8)</w:t>
            </w:r>
          </w:p>
        </w:tc>
        <w:tc>
          <w:tcPr>
            <w:tcW w:w="2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Kate Farms, Inc.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Other Healthcare</w:t>
            </w:r>
          </w:p>
        </w:tc>
        <w:tc>
          <w:tcPr>
            <w:tcW w:w="2900" w:type="dxa"/>
            <w:vAlign w:val="bottom"/>
            <w:gridSpan w:val="3"/>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(9.75% cash (Libor + 7.45%; Floor 9.75%), 5.00%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4,852</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4,852</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ETP, Due 10/1/23)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3"/>
          </w:tcPr>
          <w:p>
            <w:pPr>
              <w:spacing w:after="0" w:line="112" w:lineRule="exact"/>
              <w:rPr>
                <w:sz w:val="20"/>
                <w:szCs w:val="20"/>
                <w:color w:val="auto"/>
              </w:rPr>
            </w:pPr>
            <w:r>
              <w:rPr>
                <w:rFonts w:ascii="Arial" w:cs="Arial" w:eastAsia="Arial" w:hAnsi="Arial"/>
                <w:sz w:val="11"/>
                <w:szCs w:val="11"/>
                <w:color w:val="auto"/>
                <w:w w:val="96"/>
              </w:rPr>
              <w:t>Term Loan (9.75% cash (Libor + 7.45%; Floor 9.75%), 5.00%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5,000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4,919</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4,919</w:t>
            </w:r>
          </w:p>
        </w:tc>
      </w:tr>
      <w:tr>
        <w:trPr>
          <w:trHeight w:val="136"/>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gridSpan w:val="3"/>
          </w:tcPr>
          <w:p>
            <w:pPr>
              <w:spacing w:after="0"/>
              <w:rPr>
                <w:sz w:val="20"/>
                <w:szCs w:val="20"/>
                <w:color w:val="auto"/>
              </w:rPr>
            </w:pPr>
            <w:r>
              <w:rPr>
                <w:rFonts w:ascii="Arial" w:cs="Arial" w:eastAsia="Arial" w:hAnsi="Arial"/>
                <w:sz w:val="11"/>
                <w:szCs w:val="11"/>
                <w:color w:val="auto"/>
              </w:rPr>
              <w:t>ETP, Due 10/1/23)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0"/>
              </w:rPr>
              <w:t>Principal</w:t>
            </w: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4"/>
              </w:rPr>
              <w:t>Cost of</w:t>
            </w: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62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000" w:type="dxa"/>
            <w:vAlign w:val="bottom"/>
            <w:gridSpan w:val="2"/>
          </w:tcPr>
          <w:p>
            <w:pPr>
              <w:ind w:left="280"/>
              <w:spacing w:after="0"/>
              <w:rPr>
                <w:sz w:val="20"/>
                <w:szCs w:val="20"/>
                <w:color w:val="auto"/>
              </w:rPr>
            </w:pPr>
            <w:r>
              <w:rPr>
                <w:rFonts w:ascii="Arial" w:cs="Arial" w:eastAsia="Arial" w:hAnsi="Arial"/>
                <w:sz w:val="11"/>
                <w:szCs w:val="11"/>
                <w:b w:val="1"/>
                <w:bCs w:val="1"/>
                <w:color w:val="auto"/>
              </w:rPr>
              <w:t>Sector</w:t>
            </w:r>
          </w:p>
        </w:tc>
        <w:tc>
          <w:tcPr>
            <w:tcW w:w="2900" w:type="dxa"/>
            <w:vAlign w:val="bottom"/>
            <w:gridSpan w:val="2"/>
          </w:tcPr>
          <w:p>
            <w:pPr>
              <w:ind w:left="660"/>
              <w:spacing w:after="0"/>
              <w:rPr>
                <w:sz w:val="20"/>
                <w:szCs w:val="20"/>
                <w:color w:val="auto"/>
              </w:rPr>
            </w:pPr>
            <w:r>
              <w:rPr>
                <w:rFonts w:ascii="Arial" w:cs="Arial" w:eastAsia="Arial" w:hAnsi="Arial"/>
                <w:sz w:val="11"/>
                <w:szCs w:val="11"/>
                <w:b w:val="1"/>
                <w:bCs w:val="1"/>
                <w:color w:val="auto"/>
              </w:rPr>
              <w:t>Type of Investment (4)(7)(9)(10)</w:t>
            </w:r>
          </w:p>
        </w:tc>
        <w:tc>
          <w:tcPr>
            <w:tcW w:w="84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Amount</w:t>
            </w:r>
          </w:p>
        </w:tc>
        <w:tc>
          <w:tcPr>
            <w:tcW w:w="8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Investments (6)</w:t>
            </w:r>
          </w:p>
        </w:tc>
        <w:tc>
          <w:tcPr>
            <w:tcW w:w="66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05"/>
        </w:trPr>
        <w:tc>
          <w:tcPr>
            <w:tcW w:w="2460" w:type="dxa"/>
            <w:vAlign w:val="bottom"/>
            <w:tcBorders>
              <w:top w:val="single" w:sz="8" w:color="auto"/>
            </w:tcBorders>
            <w:shd w:val="clear" w:color="auto" w:fill="CCEEFF"/>
          </w:tcPr>
          <w:p>
            <w:pPr>
              <w:ind w:left="20"/>
              <w:spacing w:after="0" w:line="105" w:lineRule="exact"/>
              <w:rPr>
                <w:sz w:val="20"/>
                <w:szCs w:val="20"/>
                <w:color w:val="auto"/>
              </w:rPr>
            </w:pPr>
            <w:r>
              <w:rPr>
                <w:rFonts w:ascii="Arial" w:cs="Arial" w:eastAsia="Arial" w:hAnsi="Arial"/>
                <w:sz w:val="11"/>
                <w:szCs w:val="11"/>
                <w:color w:val="auto"/>
              </w:rPr>
              <w:t>HealthEdge Software, Inc. (2)(12)</w:t>
            </w:r>
          </w:p>
        </w:tc>
        <w:tc>
          <w:tcPr>
            <w:tcW w:w="160" w:type="dxa"/>
            <w:vAlign w:val="bottom"/>
            <w:tcBorders>
              <w:top w:val="single" w:sz="8" w:color="CCEEFF"/>
            </w:tcBorders>
            <w:shd w:val="clear" w:color="auto" w:fill="CCEEFF"/>
          </w:tcPr>
          <w:p>
            <w:pPr>
              <w:spacing w:after="0"/>
              <w:rPr>
                <w:sz w:val="9"/>
                <w:szCs w:val="9"/>
                <w:color w:val="auto"/>
              </w:rPr>
            </w:pPr>
          </w:p>
        </w:tc>
        <w:tc>
          <w:tcPr>
            <w:tcW w:w="86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rPr>
              <w:t>Software</w:t>
            </w:r>
          </w:p>
        </w:tc>
        <w:tc>
          <w:tcPr>
            <w:tcW w:w="14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auto"/>
            </w:tcBorders>
            <w:shd w:val="clear" w:color="auto" w:fill="CCEEFF"/>
          </w:tcPr>
          <w:p>
            <w:pPr>
              <w:spacing w:after="0" w:line="105" w:lineRule="exact"/>
              <w:rPr>
                <w:sz w:val="20"/>
                <w:szCs w:val="20"/>
                <w:color w:val="auto"/>
              </w:rPr>
            </w:pPr>
            <w:r>
              <w:rPr>
                <w:rFonts w:ascii="Arial" w:cs="Arial" w:eastAsia="Arial" w:hAnsi="Arial"/>
                <w:sz w:val="11"/>
                <w:szCs w:val="11"/>
                <w:color w:val="auto"/>
                <w:w w:val="91"/>
              </w:rPr>
              <w:t>Term Loan (9.94% cash (Libor + 8.25%; Floor 9.25%), 3.00%</w:t>
            </w:r>
          </w:p>
        </w:tc>
        <w:tc>
          <w:tcPr>
            <w:tcW w:w="14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3,571</w:t>
            </w:r>
          </w:p>
        </w:tc>
        <w:tc>
          <w:tcPr>
            <w:tcW w:w="1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3,533</w:t>
            </w:r>
          </w:p>
        </w:tc>
        <w:tc>
          <w:tcPr>
            <w:tcW w:w="16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jc w:val="right"/>
              <w:spacing w:after="0" w:line="105" w:lineRule="exact"/>
              <w:rPr>
                <w:sz w:val="20"/>
                <w:szCs w:val="20"/>
                <w:color w:val="auto"/>
              </w:rPr>
            </w:pPr>
            <w:r>
              <w:rPr>
                <w:rFonts w:ascii="Arial" w:cs="Arial" w:eastAsia="Arial" w:hAnsi="Arial"/>
                <w:sz w:val="11"/>
                <w:szCs w:val="11"/>
                <w:color w:val="auto"/>
              </w:rPr>
              <w:t>3,533</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7/1/22)</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w w:val="96"/>
              </w:rPr>
              <w:t>Term Loan (9.94% cash (Libor + 8.25%; Floor 9.25%), 3.00%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3,214</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3,180</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3,180</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gridSpan w:val="2"/>
          </w:tcPr>
          <w:p>
            <w:pPr>
              <w:spacing w:after="0"/>
              <w:rPr>
                <w:sz w:val="20"/>
                <w:szCs w:val="20"/>
                <w:color w:val="auto"/>
              </w:rPr>
            </w:pPr>
            <w:r>
              <w:rPr>
                <w:rFonts w:ascii="Arial" w:cs="Arial" w:eastAsia="Arial" w:hAnsi="Arial"/>
                <w:sz w:val="11"/>
                <w:szCs w:val="11"/>
                <w:color w:val="auto"/>
              </w:rPr>
              <w:t>ETP, Due 1/1/23)</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4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6"/>
              </w:rPr>
              <w:t>Term Loan (9.94% cash (Libor + 8.25%; Floor 9.25%), 3.00%</w:t>
            </w:r>
          </w:p>
        </w:tc>
        <w:tc>
          <w:tcPr>
            <w:tcW w:w="6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3,482</w:t>
            </w: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3,444</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3,444</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ETP, Due 4/1/23)</w:t>
            </w: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w w:val="96"/>
              </w:rPr>
              <w:t>Term Loan (9.94% cash (Libor + 8.25%; Floor 9.25%), 3.00%</w:t>
            </w:r>
          </w:p>
        </w:tc>
        <w:tc>
          <w:tcPr>
            <w:tcW w:w="680" w:type="dxa"/>
            <w:vAlign w:val="bottom"/>
          </w:tcPr>
          <w:p>
            <w:pPr>
              <w:jc w:val="right"/>
              <w:spacing w:after="0" w:line="112" w:lineRule="exact"/>
              <w:rPr>
                <w:sz w:val="20"/>
                <w:szCs w:val="20"/>
                <w:color w:val="auto"/>
              </w:rPr>
            </w:pPr>
            <w:r>
              <w:rPr>
                <w:rFonts w:ascii="Arial" w:cs="Arial" w:eastAsia="Arial" w:hAnsi="Arial"/>
                <w:sz w:val="11"/>
                <w:szCs w:val="11"/>
                <w:color w:val="auto"/>
              </w:rPr>
              <w:t>3,750</w:t>
            </w: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3,707</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3,707</w:t>
            </w:r>
          </w:p>
        </w:tc>
      </w:tr>
      <w:tr>
        <w:trPr>
          <w:trHeight w:val="131"/>
        </w:trPr>
        <w:tc>
          <w:tcPr>
            <w:tcW w:w="24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9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ETP, Due 1/1/24)</w:t>
            </w:r>
          </w:p>
        </w:tc>
        <w:tc>
          <w:tcPr>
            <w:tcW w:w="6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r>
      <w:tr>
        <w:trPr>
          <w:trHeight w:val="115"/>
        </w:trPr>
        <w:tc>
          <w:tcPr>
            <w:tcW w:w="3620" w:type="dxa"/>
            <w:vAlign w:val="bottom"/>
            <w:gridSpan w:val="4"/>
            <w:shd w:val="clear" w:color="auto" w:fill="CCEEFF"/>
          </w:tcPr>
          <w:p>
            <w:pPr>
              <w:ind w:left="20"/>
              <w:spacing w:after="0" w:line="115" w:lineRule="exact"/>
              <w:rPr>
                <w:sz w:val="20"/>
                <w:szCs w:val="20"/>
                <w:color w:val="auto"/>
              </w:rPr>
            </w:pPr>
            <w:r>
              <w:rPr>
                <w:rFonts w:ascii="Arial" w:cs="Arial" w:eastAsia="Arial" w:hAnsi="Arial"/>
                <w:sz w:val="11"/>
                <w:szCs w:val="11"/>
                <w:color w:val="auto"/>
                <w:w w:val="97"/>
              </w:rPr>
              <w:t>Total Non-Affiliate Debt Investments — Healthcare information and services</w:t>
            </w: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23,635</w:t>
            </w:r>
          </w:p>
        </w:tc>
        <w:tc>
          <w:tcPr>
            <w:tcW w:w="16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23,635</w:t>
            </w:r>
          </w:p>
        </w:tc>
      </w:tr>
      <w:tr>
        <w:trPr>
          <w:trHeight w:val="115"/>
        </w:trPr>
        <w:tc>
          <w:tcPr>
            <w:tcW w:w="262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b w:val="1"/>
                <w:bCs w:val="1"/>
                <w:color w:val="auto"/>
              </w:rPr>
              <w:t>Total Non- Affiliate Debt Investments</w:t>
            </w:r>
          </w:p>
        </w:tc>
        <w:tc>
          <w:tcPr>
            <w:tcW w:w="8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6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286,185</w:t>
            </w:r>
          </w:p>
        </w:tc>
        <w:tc>
          <w:tcPr>
            <w:tcW w:w="16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282,486</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Non-Affiliate Warrant Investments — 5.9% (8)</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Non-Affiliate Warrants — Life Science — 0.7%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Alpine Immune Sciences, Inc. (5)(12)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4,632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122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Celsion Corporation (2)(5)(12)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95,057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65</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Corvium,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661,956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Encore Dermatology,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1,510,878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113</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Espero BioPharma, Inc. (2)(5)(12)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1,507,917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LogicBio, Inc. (2)(5)(12)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7,843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8</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Mustang Bio, Inc. (2)(5)(12)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216,138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140</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222</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Rocket Pharmaceuticals Corporation (5)(12)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7,051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17</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16</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Palatin Technologies, Inc. (2)(5)(12)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274,725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Revance Therapeutics, Inc. (5)(12)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34,113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68</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77</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Strongbridge U.S. Inc. (2)(5)(12)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160,714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Sunesis Pharmaceuticals, Inc. (5)(12)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2,050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5</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vTv Therapeutics Inc. (2)(5)(12)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95,293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Titan Pharmaceuticals, Inc. (2)(5)(12)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Drug Delivery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373,333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95</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AccuVein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1,174,881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29</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Aerin Medical,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1,818,183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66</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69</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Conventus Orthopaedics,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1,145,000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149</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158</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CSA Medical, Inc. (12)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1,260,345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147</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146</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CVRx, Inc.(2)(12)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750,000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84</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Lantos Technologies,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560,832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253</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44</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MacuLogix,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454,460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238</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154</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Meditrina,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221,510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83</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85</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NinePoint Medical,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29,102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w:t>
            </w:r>
          </w:p>
        </w:tc>
      </w:tr>
      <w:tr>
        <w:trPr>
          <w:trHeight w:val="121"/>
        </w:trPr>
        <w:tc>
          <w:tcPr>
            <w:tcW w:w="262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VERO Biotech LLC (2)(12)</w:t>
            </w:r>
          </w:p>
        </w:tc>
        <w:tc>
          <w:tcPr>
            <w:tcW w:w="10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408 Common Stock Warrants</w:t>
            </w:r>
          </w:p>
        </w:tc>
        <w:tc>
          <w:tcPr>
            <w:tcW w:w="6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7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53</w:t>
            </w:r>
          </w:p>
        </w:tc>
        <w:tc>
          <w:tcPr>
            <w:tcW w:w="160" w:type="dxa"/>
            <w:vAlign w:val="bottom"/>
            <w:tcBorders>
              <w:bottom w:val="single" w:sz="8" w:color="CCEEFF"/>
            </w:tcBorders>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55</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Non-Affiliate Warrants — Life Science</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2,127</w:t>
            </w:r>
          </w:p>
        </w:tc>
        <w:tc>
          <w:tcPr>
            <w:tcW w:w="160" w:type="dxa"/>
            <w:vAlign w:val="bottom"/>
            <w:shd w:val="clear" w:color="auto" w:fill="CCEEFF"/>
          </w:tcPr>
          <w:p>
            <w:pPr>
              <w:spacing w:after="0"/>
              <w:rPr>
                <w:sz w:val="10"/>
                <w:szCs w:val="10"/>
                <w:color w:val="auto"/>
              </w:rPr>
            </w:pPr>
          </w:p>
        </w:tc>
        <w:tc>
          <w:tcPr>
            <w:tcW w:w="66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1,215</w:t>
            </w:r>
          </w:p>
        </w:tc>
      </w:tr>
      <w:tr>
        <w:trPr>
          <w:trHeight w:val="115"/>
        </w:trPr>
        <w:tc>
          <w:tcPr>
            <w:tcW w:w="262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rPr>
              <w:t>Non-Affiliate Warrants — Technology — 4.8%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Audacy Corporation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Communications</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1,545,575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193</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Intelepeer Holdings,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Communications</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2,134,617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145</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75</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PebblePost,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Communications</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598,850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93</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159</w:t>
            </w: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Betabrand Corporation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rPr>
              <w:t>248,210 Preferred Stock Warrants</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101</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104</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Caastle, Inc.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268,591 Preferred Stock Warrants</w:t>
            </w: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67</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832</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Le Tote,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rPr>
              <w:t>202,974 Preferred Stock Warrants</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63</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361</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Mohawk Group Holdings, Inc. (2)(12)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76,923 Common Stock Warrants</w:t>
            </w: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195</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2</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Rhapsody International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rPr>
              <w:t>852,273 Common Stock Warrants</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164</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Updater, Inc.(2)(12)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108,333 Common Stock Warrants</w:t>
            </w:r>
          </w:p>
        </w:tc>
        <w:tc>
          <w:tcPr>
            <w:tcW w:w="6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w:t>
            </w:r>
          </w:p>
        </w:tc>
        <w:tc>
          <w:tcPr>
            <w:tcW w:w="1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34</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Technologies</w:t>
            </w:r>
          </w:p>
        </w:tc>
        <w:tc>
          <w:tcPr>
            <w:tcW w:w="2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Canara,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Data Storage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500,000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242</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288</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Kaminario,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Data Storage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18,616,925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234</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272</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Global Worldwide LLC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245,810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75</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9</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IgnitionOne,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262,910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672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Rocket Lawyer Incorporated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261,721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91</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77</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Skillshare,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173,717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162</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Verve Wireless,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112,805 Common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121</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The NanoSteel Company,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Materials</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467,277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233</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w:t>
            </w: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Kinestral, Inc. (2)(12)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Power</w:t>
            </w: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rPr>
              <w:t>3,454,774 Preferred Stock Warrants</w:t>
            </w: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jc w:val="right"/>
              <w:spacing w:after="0" w:line="112" w:lineRule="exact"/>
              <w:rPr>
                <w:sz w:val="20"/>
                <w:szCs w:val="20"/>
                <w:color w:val="auto"/>
              </w:rPr>
            </w:pPr>
            <w:r>
              <w:rPr>
                <w:rFonts w:ascii="Arial" w:cs="Arial" w:eastAsia="Arial" w:hAnsi="Arial"/>
                <w:sz w:val="11"/>
                <w:szCs w:val="11"/>
                <w:color w:val="auto"/>
              </w:rPr>
              <w:t>606</w:t>
            </w:r>
          </w:p>
        </w:tc>
        <w:tc>
          <w:tcPr>
            <w:tcW w:w="160" w:type="dxa"/>
            <w:vAlign w:val="bottom"/>
          </w:tcPr>
          <w:p>
            <w:pPr>
              <w:spacing w:after="0"/>
              <w:rPr>
                <w:sz w:val="9"/>
                <w:szCs w:val="9"/>
                <w:color w:val="auto"/>
              </w:rPr>
            </w:pPr>
          </w:p>
        </w:tc>
        <w:tc>
          <w:tcPr>
            <w:tcW w:w="660" w:type="dxa"/>
            <w:vAlign w:val="bottom"/>
          </w:tcPr>
          <w:p>
            <w:pPr>
              <w:jc w:val="right"/>
              <w:spacing w:after="0" w:line="112" w:lineRule="exact"/>
              <w:rPr>
                <w:sz w:val="20"/>
                <w:szCs w:val="20"/>
                <w:color w:val="auto"/>
              </w:rPr>
            </w:pPr>
            <w:r>
              <w:rPr>
                <w:rFonts w:ascii="Arial" w:cs="Arial" w:eastAsia="Arial" w:hAnsi="Arial"/>
                <w:sz w:val="11"/>
                <w:szCs w:val="11"/>
                <w:color w:val="auto"/>
              </w:rPr>
              <w:t>606</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color w:val="auto"/>
              </w:rPr>
              <w:t>Management</w:t>
            </w: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Avalanche Technology,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Semiconductors</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202,602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101</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170</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Soraa,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Semiconductors</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203,616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80</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Bridge2 Solutions,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172,958 Common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768</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2,230</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BSI Platform Holdings, LLC (2)(12)(13)</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187,500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26</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20</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Clarabridge, Inc. (12)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53,486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106</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Education Elements,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238,121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28</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23</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Lotame Solutions,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288,115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280</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OutboundEngine,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600,000 Preferred Stock Warrants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Arial" w:cs="Arial" w:eastAsia="Arial" w:hAnsi="Arial"/>
                <w:sz w:val="11"/>
                <w:szCs w:val="11"/>
                <w:color w:val="auto"/>
              </w:rPr>
              <w:t>77</w:t>
            </w:r>
          </w:p>
        </w:tc>
        <w:tc>
          <w:tcPr>
            <w:tcW w:w="1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83</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Revinate,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459,770 Preferred Stock Warrants</w:t>
            </w:r>
          </w:p>
        </w:tc>
        <w:tc>
          <w:tcPr>
            <w:tcW w:w="6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36</w:t>
            </w: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w:t>
            </w:r>
          </w:p>
        </w:tc>
      </w:tr>
      <w:tr>
        <w:trPr>
          <w:trHeight w:val="136"/>
        </w:trPr>
        <w:tc>
          <w:tcPr>
            <w:tcW w:w="2620" w:type="dxa"/>
            <w:vAlign w:val="bottom"/>
            <w:gridSpan w:val="2"/>
          </w:tcPr>
          <w:p>
            <w:pPr>
              <w:ind w:left="20"/>
              <w:spacing w:after="0"/>
              <w:rPr>
                <w:sz w:val="20"/>
                <w:szCs w:val="20"/>
                <w:color w:val="auto"/>
              </w:rPr>
            </w:pPr>
            <w:r>
              <w:rPr>
                <w:rFonts w:ascii="Arial" w:cs="Arial" w:eastAsia="Arial" w:hAnsi="Arial"/>
                <w:sz w:val="11"/>
                <w:szCs w:val="11"/>
                <w:color w:val="auto"/>
              </w:rPr>
              <w:t>Riv Data Corp. (2)(12)</w:t>
            </w:r>
          </w:p>
        </w:tc>
        <w:tc>
          <w:tcPr>
            <w:tcW w:w="1000" w:type="dxa"/>
            <w:vAlign w:val="bottom"/>
            <w:gridSpan w:val="2"/>
          </w:tcPr>
          <w:p>
            <w:pPr>
              <w:spacing w:after="0"/>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rPr>
                <w:sz w:val="20"/>
                <w:szCs w:val="20"/>
                <w:color w:val="auto"/>
              </w:rPr>
            </w:pPr>
            <w:r>
              <w:rPr>
                <w:rFonts w:ascii="Arial" w:cs="Arial" w:eastAsia="Arial" w:hAnsi="Arial"/>
                <w:sz w:val="11"/>
                <w:szCs w:val="11"/>
                <w:color w:val="auto"/>
              </w:rPr>
              <w:t>321,428 Preferred Stock Warrants</w:t>
            </w: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12</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253</w:t>
            </w:r>
          </w:p>
        </w:tc>
      </w:tr>
    </w:tbl>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Principal</w:t>
            </w:r>
          </w:p>
        </w:tc>
        <w:tc>
          <w:tcPr>
            <w:tcW w:w="12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Cost of</w:t>
            </w:r>
          </w:p>
        </w:tc>
        <w:tc>
          <w:tcPr>
            <w:tcW w:w="120" w:type="dxa"/>
            <w:vAlign w:val="bottom"/>
          </w:tcPr>
          <w:p>
            <w:pPr>
              <w:spacing w:after="0"/>
              <w:rPr>
                <w:sz w:val="10"/>
                <w:szCs w:val="10"/>
                <w:color w:val="auto"/>
              </w:rPr>
            </w:pPr>
          </w:p>
        </w:tc>
        <w:tc>
          <w:tcPr>
            <w:tcW w:w="540" w:type="dxa"/>
            <w:vAlign w:val="bottom"/>
          </w:tcPr>
          <w:p>
            <w:pPr>
              <w:jc w:val="right"/>
              <w:ind w:right="186"/>
              <w:spacing w:after="0"/>
              <w:rPr>
                <w:sz w:val="20"/>
                <w:szCs w:val="20"/>
                <w:color w:val="auto"/>
              </w:rPr>
            </w:pPr>
            <w:r>
              <w:rPr>
                <w:rFonts w:ascii="Arial" w:cs="Arial" w:eastAsia="Arial" w:hAnsi="Arial"/>
                <w:sz w:val="11"/>
                <w:szCs w:val="11"/>
                <w:b w:val="1"/>
                <w:bCs w:val="1"/>
                <w:color w:val="auto"/>
              </w:rPr>
              <w:t>Fair</w:t>
            </w:r>
          </w:p>
        </w:tc>
      </w:tr>
      <w:tr>
        <w:trPr>
          <w:trHeight w:val="135"/>
        </w:trPr>
        <w:tc>
          <w:tcPr>
            <w:tcW w:w="262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1000" w:type="dxa"/>
            <w:vAlign w:val="bottom"/>
            <w:gridSpan w:val="2"/>
          </w:tcPr>
          <w:p>
            <w:pPr>
              <w:ind w:left="280"/>
              <w:spacing w:after="0"/>
              <w:rPr>
                <w:sz w:val="20"/>
                <w:szCs w:val="20"/>
                <w:color w:val="auto"/>
              </w:rPr>
            </w:pPr>
            <w:r>
              <w:rPr>
                <w:rFonts w:ascii="Arial" w:cs="Arial" w:eastAsia="Arial" w:hAnsi="Arial"/>
                <w:sz w:val="11"/>
                <w:szCs w:val="11"/>
                <w:b w:val="1"/>
                <w:bCs w:val="1"/>
                <w:color w:val="auto"/>
              </w:rPr>
              <w:t>Sector</w:t>
            </w:r>
          </w:p>
        </w:tc>
        <w:tc>
          <w:tcPr>
            <w:tcW w:w="2900" w:type="dxa"/>
            <w:vAlign w:val="bottom"/>
            <w:gridSpan w:val="2"/>
          </w:tcPr>
          <w:p>
            <w:pPr>
              <w:ind w:left="660"/>
              <w:spacing w:after="0"/>
              <w:rPr>
                <w:sz w:val="20"/>
                <w:szCs w:val="20"/>
                <w:color w:val="auto"/>
              </w:rPr>
            </w:pPr>
            <w:r>
              <w:rPr>
                <w:rFonts w:ascii="Arial" w:cs="Arial" w:eastAsia="Arial" w:hAnsi="Arial"/>
                <w:sz w:val="11"/>
                <w:szCs w:val="11"/>
                <w:b w:val="1"/>
                <w:bCs w:val="1"/>
                <w:color w:val="auto"/>
              </w:rPr>
              <w:t>Type of Investment (4)(7)(9)(10)</w:t>
            </w:r>
          </w:p>
        </w:tc>
        <w:tc>
          <w:tcPr>
            <w:tcW w:w="100" w:type="dxa"/>
            <w:vAlign w:val="bottom"/>
          </w:tcPr>
          <w:p>
            <w:pPr>
              <w:spacing w:after="0"/>
              <w:rPr>
                <w:sz w:val="11"/>
                <w:szCs w:val="11"/>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Amount</w:t>
            </w:r>
          </w:p>
        </w:tc>
        <w:tc>
          <w:tcPr>
            <w:tcW w:w="880" w:type="dxa"/>
            <w:vAlign w:val="bottom"/>
            <w:gridSpan w:val="3"/>
          </w:tcPr>
          <w:p>
            <w:pPr>
              <w:spacing w:after="0"/>
              <w:rPr>
                <w:sz w:val="20"/>
                <w:szCs w:val="20"/>
                <w:color w:val="auto"/>
              </w:rPr>
            </w:pPr>
            <w:r>
              <w:rPr>
                <w:rFonts w:ascii="Arial" w:cs="Arial" w:eastAsia="Arial" w:hAnsi="Arial"/>
                <w:sz w:val="11"/>
                <w:szCs w:val="11"/>
                <w:b w:val="1"/>
                <w:bCs w:val="1"/>
                <w:color w:val="auto"/>
              </w:rPr>
              <w:t>Investments (6)</w:t>
            </w:r>
          </w:p>
        </w:tc>
        <w:tc>
          <w:tcPr>
            <w:tcW w:w="120" w:type="dxa"/>
            <w:vAlign w:val="bottom"/>
          </w:tcPr>
          <w:p>
            <w:pPr>
              <w:spacing w:after="0"/>
              <w:rPr>
                <w:sz w:val="11"/>
                <w:szCs w:val="11"/>
                <w:color w:val="auto"/>
              </w:rPr>
            </w:pPr>
          </w:p>
        </w:tc>
        <w:tc>
          <w:tcPr>
            <w:tcW w:w="54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15"/>
        </w:trPr>
        <w:tc>
          <w:tcPr>
            <w:tcW w:w="2460" w:type="dxa"/>
            <w:vAlign w:val="bottom"/>
            <w:tcBorders>
              <w:top w:val="single" w:sz="8" w:color="auto"/>
            </w:tcBorders>
            <w:shd w:val="clear" w:color="auto" w:fill="CCEEFF"/>
          </w:tcPr>
          <w:p>
            <w:pPr>
              <w:ind w:left="20"/>
              <w:spacing w:after="0" w:line="115" w:lineRule="exact"/>
              <w:rPr>
                <w:sz w:val="20"/>
                <w:szCs w:val="20"/>
                <w:color w:val="auto"/>
              </w:rPr>
            </w:pPr>
            <w:r>
              <w:rPr>
                <w:rFonts w:ascii="Arial" w:cs="Arial" w:eastAsia="Arial" w:hAnsi="Arial"/>
                <w:sz w:val="11"/>
                <w:szCs w:val="11"/>
                <w:color w:val="auto"/>
              </w:rPr>
              <w:t>ShopKeep.com, Inc. (2)(12)</w:t>
            </w:r>
          </w:p>
        </w:tc>
        <w:tc>
          <w:tcPr>
            <w:tcW w:w="1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Software</w:t>
            </w:r>
          </w:p>
        </w:tc>
        <w:tc>
          <w:tcPr>
            <w:tcW w:w="140" w:type="dxa"/>
            <w:vAlign w:val="bottom"/>
            <w:tcBorders>
              <w:top w:val="single" w:sz="8" w:color="CCEEFF"/>
            </w:tcBorders>
            <w:shd w:val="clear" w:color="auto" w:fill="CCEEFF"/>
          </w:tcPr>
          <w:p>
            <w:pPr>
              <w:spacing w:after="0"/>
              <w:rPr>
                <w:sz w:val="10"/>
                <w:szCs w:val="10"/>
                <w:color w:val="auto"/>
              </w:rPr>
            </w:pPr>
          </w:p>
        </w:tc>
        <w:tc>
          <w:tcPr>
            <w:tcW w:w="2760" w:type="dxa"/>
            <w:vAlign w:val="bottom"/>
            <w:tcBorders>
              <w:top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193,962 Preferred Stock Warrants</w:t>
            </w: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118</w:t>
            </w:r>
          </w:p>
        </w:tc>
        <w:tc>
          <w:tcPr>
            <w:tcW w:w="1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116</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SIGNiX, Inc. (12)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133,560 Preferred Stock Warrants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225</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Skyword, Inc. (12)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301,056 Preferred Stock Warrants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48</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Sys-Tech Solutions,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375,000 Preferred Stock Warrants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242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2,331</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Weblinc Corporation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195,122 Preferred Stock Warrants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42</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xAd, Inc. (2)(12)</w:t>
            </w:r>
          </w:p>
        </w:tc>
        <w:tc>
          <w:tcPr>
            <w:tcW w:w="10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4,343,348 Preferred Stock Warrants</w:t>
            </w: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177</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249</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Non-Affiliate Warrants — Technology</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5,510</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8,891</w:t>
            </w:r>
          </w:p>
        </w:tc>
      </w:tr>
      <w:tr>
        <w:trPr>
          <w:trHeight w:val="115"/>
        </w:trPr>
        <w:tc>
          <w:tcPr>
            <w:tcW w:w="262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w w:val="97"/>
              </w:rPr>
              <w:t>Non-Affiliate Warrants — Sustainability — 0.1%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Tigo Energy,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Energy Efficiency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804,604 Preferred Stock Warrants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100</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15"/>
        </w:trPr>
        <w:tc>
          <w:tcPr>
            <w:tcW w:w="262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color w:val="auto"/>
              </w:rPr>
              <w:t>Total Non-Affiliate Warrants — Sustainability</w:t>
            </w:r>
          </w:p>
        </w:tc>
        <w:tc>
          <w:tcPr>
            <w:tcW w:w="8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100</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w:t>
            </w:r>
          </w:p>
        </w:tc>
      </w:tr>
      <w:tr>
        <w:trPr>
          <w:trHeight w:val="115"/>
        </w:trPr>
        <w:tc>
          <w:tcPr>
            <w:tcW w:w="3620" w:type="dxa"/>
            <w:vAlign w:val="bottom"/>
            <w:gridSpan w:val="4"/>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w w:val="93"/>
              </w:rPr>
              <w:t>Non-Affiliate Warrants — Healthcare information and services — 0.4% (8)</w:t>
            </w: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ProterixBio,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Diagnostics</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2,676 Common Stock Warrants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42</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Kate Farms,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Other Healthcare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69,137 Preferred Stock Warrants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86</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86</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Watermark Medical,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Other Healthcare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27,373 Preferred Stock Warrants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63</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Catasys, Inc. (2)(5)(12)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51,185 Common Stock Warrants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193</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304</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HealthEdge Software, Inc.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205,481 Preferred Stock Warrants</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84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73</w:t>
            </w: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Medsphere Systems Corporation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7,097,792 Preferred Stock Warrants</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60</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197</w:t>
            </w:r>
          </w:p>
        </w:tc>
      </w:tr>
      <w:tr>
        <w:trPr>
          <w:trHeight w:val="115"/>
        </w:trPr>
        <w:tc>
          <w:tcPr>
            <w:tcW w:w="3620" w:type="dxa"/>
            <w:vAlign w:val="bottom"/>
            <w:tcBorders>
              <w:bottom w:val="single" w:sz="8" w:color="CCEEFF"/>
            </w:tcBorders>
            <w:gridSpan w:val="4"/>
          </w:tcPr>
          <w:p>
            <w:pPr>
              <w:ind w:left="20"/>
              <w:spacing w:after="0" w:line="115" w:lineRule="exact"/>
              <w:rPr>
                <w:sz w:val="20"/>
                <w:szCs w:val="20"/>
                <w:color w:val="auto"/>
              </w:rPr>
            </w:pPr>
            <w:r>
              <w:rPr>
                <w:rFonts w:ascii="Arial" w:cs="Arial" w:eastAsia="Arial" w:hAnsi="Arial"/>
                <w:sz w:val="11"/>
                <w:szCs w:val="11"/>
                <w:color w:val="auto"/>
              </w:rPr>
              <w:t>Total Non-Affiliate Warrants — Healthcare information and services</w:t>
            </w: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539</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723</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Non-Affiliate Warrants</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8,276</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10,829</w:t>
            </w:r>
          </w:p>
        </w:tc>
      </w:tr>
      <w:tr>
        <w:trPr>
          <w:trHeight w:val="115"/>
        </w:trPr>
        <w:tc>
          <w:tcPr>
            <w:tcW w:w="2620" w:type="dxa"/>
            <w:vAlign w:val="bottom"/>
            <w:gridSpan w:val="2"/>
          </w:tcPr>
          <w:p>
            <w:pPr>
              <w:ind w:left="20"/>
              <w:spacing w:after="0" w:line="115" w:lineRule="exact"/>
              <w:rPr>
                <w:sz w:val="20"/>
                <w:szCs w:val="20"/>
                <w:color w:val="auto"/>
              </w:rPr>
            </w:pPr>
            <w:r>
              <w:rPr>
                <w:rFonts w:ascii="Arial" w:cs="Arial" w:eastAsia="Arial" w:hAnsi="Arial"/>
                <w:sz w:val="11"/>
                <w:szCs w:val="11"/>
                <w:b w:val="1"/>
                <w:bCs w:val="1"/>
                <w:color w:val="auto"/>
              </w:rPr>
              <w:t>Non-Affiliate Other Investments — 0.3%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ZetrOZ, Inc. (12)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Medical Device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Royalty Agreement</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61</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500</w:t>
            </w:r>
          </w:p>
        </w:tc>
      </w:tr>
      <w:tr>
        <w:trPr>
          <w:trHeight w:val="115"/>
        </w:trPr>
        <w:tc>
          <w:tcPr>
            <w:tcW w:w="262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b w:val="1"/>
                <w:bCs w:val="1"/>
                <w:color w:val="auto"/>
              </w:rPr>
              <w:t>Total Non-Affiliate Other Investments</w:t>
            </w:r>
          </w:p>
        </w:tc>
        <w:tc>
          <w:tcPr>
            <w:tcW w:w="8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61</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500</w:t>
            </w:r>
          </w:p>
        </w:tc>
      </w:tr>
      <w:tr>
        <w:trPr>
          <w:trHeight w:val="115"/>
        </w:trPr>
        <w:tc>
          <w:tcPr>
            <w:tcW w:w="2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Non-Affiliate Equity — 0.3%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Palatin Technologies, Inc. (2)(5)</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5,249 Common Stock</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31</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Revance Therapeutics, Inc.(5)</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5,125 Common Stock</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73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83</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Sunesis Pharmaceuticals, Inc. (5)</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Biotechnology</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13,082 Common Stock</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83</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w:t>
            </w: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SnagAJob.com, Inc. (12)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Consumer-related</w:t>
            </w: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rPr>
              <w:t>82,974 Common Stock</w:t>
            </w: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84</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gridSpan w:val="2"/>
          </w:tcPr>
          <w:p>
            <w:pPr>
              <w:spacing w:after="0"/>
              <w:rPr>
                <w:sz w:val="20"/>
                <w:szCs w:val="20"/>
                <w:color w:val="auto"/>
              </w:rPr>
            </w:pPr>
            <w:r>
              <w:rPr>
                <w:rFonts w:ascii="Arial" w:cs="Arial" w:eastAsia="Arial" w:hAnsi="Arial"/>
                <w:sz w:val="11"/>
                <w:szCs w:val="11"/>
                <w:color w:val="auto"/>
              </w:rPr>
              <w:t>Technologies</w:t>
            </w:r>
          </w:p>
        </w:tc>
        <w:tc>
          <w:tcPr>
            <w:tcW w:w="2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Verve Wireless,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100,598 Preferred Stock</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color w:val="auto"/>
              </w:rPr>
              <w:t>Zeta Global Holdings Corp. (2)(12)</w:t>
            </w:r>
          </w:p>
        </w:tc>
        <w:tc>
          <w:tcPr>
            <w:tcW w:w="1000" w:type="dxa"/>
            <w:vAlign w:val="bottom"/>
            <w:gridSpan w:val="2"/>
          </w:tcPr>
          <w:p>
            <w:pPr>
              <w:spacing w:after="0" w:line="122" w:lineRule="exact"/>
              <w:rPr>
                <w:sz w:val="20"/>
                <w:szCs w:val="20"/>
                <w:color w:val="auto"/>
              </w:rPr>
            </w:pPr>
            <w:r>
              <w:rPr>
                <w:rFonts w:ascii="Arial" w:cs="Arial" w:eastAsia="Arial" w:hAnsi="Arial"/>
                <w:sz w:val="11"/>
                <w:szCs w:val="11"/>
                <w:color w:val="auto"/>
              </w:rPr>
              <w:t>Internet and Media</w:t>
            </w: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18,405 Common Stock</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240</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240</w:t>
            </w: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Formetrix, Inc. (2)(12)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Materials</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74,286 Common Stock</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74</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22" w:lineRule="exact"/>
              <w:rPr>
                <w:sz w:val="20"/>
                <w:szCs w:val="20"/>
                <w:color w:val="auto"/>
              </w:rPr>
            </w:pPr>
            <w:r>
              <w:rPr>
                <w:rFonts w:ascii="Arial" w:cs="Arial" w:eastAsia="Arial" w:hAnsi="Arial"/>
                <w:sz w:val="11"/>
                <w:szCs w:val="11"/>
                <w:color w:val="auto"/>
              </w:rPr>
              <w:t>74</w:t>
            </w:r>
          </w:p>
        </w:tc>
      </w:tr>
      <w:tr>
        <w:trPr>
          <w:trHeight w:val="115"/>
        </w:trPr>
        <w:tc>
          <w:tcPr>
            <w:tcW w:w="262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b w:val="1"/>
                <w:bCs w:val="1"/>
                <w:color w:val="auto"/>
              </w:rPr>
              <w:t>Total Non-Affiliate Equity</w:t>
            </w:r>
          </w:p>
        </w:tc>
        <w:tc>
          <w:tcPr>
            <w:tcW w:w="8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734</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489</w:t>
            </w:r>
          </w:p>
        </w:tc>
      </w:tr>
      <w:tr>
        <w:trPr>
          <w:trHeight w:val="115"/>
        </w:trPr>
        <w:tc>
          <w:tcPr>
            <w:tcW w:w="2620" w:type="dxa"/>
            <w:vAlign w:val="bottom"/>
            <w:tcBorders>
              <w:bottom w:val="single" w:sz="8" w:color="CCEEFF"/>
            </w:tcBorders>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Non-Affiliate Portfolio Investment Assets</w:t>
            </w:r>
          </w:p>
        </w:tc>
        <w:tc>
          <w:tcPr>
            <w:tcW w:w="8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7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580" w:type="dxa"/>
            <w:vAlign w:val="bottom"/>
            <w:tcBorders>
              <w:bottom w:val="single" w:sz="8" w:color="CCEEFF"/>
            </w:tcBorders>
            <w:shd w:val="clear" w:color="auto" w:fill="CCEEFF"/>
          </w:tcPr>
          <w:p>
            <w:pPr>
              <w:spacing w:after="0"/>
              <w:rPr>
                <w:sz w:val="10"/>
                <w:szCs w:val="10"/>
                <w:color w:val="auto"/>
              </w:rPr>
            </w:pPr>
          </w:p>
        </w:tc>
        <w:tc>
          <w:tcPr>
            <w:tcW w:w="1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295,256</w:t>
            </w:r>
          </w:p>
        </w:tc>
        <w:tc>
          <w:tcPr>
            <w:tcW w:w="16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294,304</w:t>
            </w: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102"/>
        </w:trPr>
        <w:tc>
          <w:tcPr>
            <w:tcW w:w="2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Non-controlled Affiliate Investments — 4.7% (8)</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1"/>
        </w:trPr>
        <w:tc>
          <w:tcPr>
            <w:tcW w:w="3620" w:type="dxa"/>
            <w:vAlign w:val="bottom"/>
            <w:gridSpan w:val="4"/>
          </w:tcPr>
          <w:p>
            <w:pPr>
              <w:ind w:left="20"/>
              <w:spacing w:after="0" w:line="122" w:lineRule="exact"/>
              <w:rPr>
                <w:sz w:val="20"/>
                <w:szCs w:val="20"/>
                <w:color w:val="auto"/>
              </w:rPr>
            </w:pPr>
            <w:r>
              <w:rPr>
                <w:rFonts w:ascii="Arial" w:cs="Arial" w:eastAsia="Arial" w:hAnsi="Arial"/>
                <w:sz w:val="11"/>
                <w:szCs w:val="11"/>
                <w:b w:val="1"/>
                <w:bCs w:val="1"/>
                <w:color w:val="auto"/>
              </w:rPr>
              <w:t>Non-controlled Affiliate Debt Investments — Technology — 3.2% (8)</w:t>
            </w: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12"/>
        </w:trPr>
        <w:tc>
          <w:tcPr>
            <w:tcW w:w="2620" w:type="dxa"/>
            <w:vAlign w:val="bottom"/>
            <w:gridSpan w:val="2"/>
            <w:shd w:val="clear" w:color="auto" w:fill="CCEEFF"/>
          </w:tcPr>
          <w:p>
            <w:pPr>
              <w:ind w:left="20"/>
              <w:spacing w:after="0" w:line="112" w:lineRule="exact"/>
              <w:rPr>
                <w:sz w:val="20"/>
                <w:szCs w:val="20"/>
                <w:color w:val="auto"/>
              </w:rPr>
            </w:pPr>
            <w:r>
              <w:rPr>
                <w:rFonts w:ascii="Arial" w:cs="Arial" w:eastAsia="Arial" w:hAnsi="Arial"/>
                <w:sz w:val="11"/>
                <w:szCs w:val="11"/>
                <w:color w:val="auto"/>
              </w:rPr>
              <w:t>Decisyon, Inc. (12)</w:t>
            </w:r>
          </w:p>
        </w:tc>
        <w:tc>
          <w:tcPr>
            <w:tcW w:w="10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9"/>
              </w:rPr>
              <w:t>Term Loan (13.998% cash (Libor + 12.31%; Floor 12.50%),</w:t>
            </w:r>
          </w:p>
        </w:tc>
        <w:tc>
          <w:tcPr>
            <w:tcW w:w="10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1,206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1,206</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shd w:val="clear" w:color="auto" w:fill="CCEEFF"/>
          </w:tcPr>
          <w:p>
            <w:pPr>
              <w:jc w:val="right"/>
              <w:spacing w:after="0" w:line="112" w:lineRule="exact"/>
              <w:rPr>
                <w:sz w:val="20"/>
                <w:szCs w:val="20"/>
                <w:color w:val="auto"/>
              </w:rPr>
            </w:pPr>
            <w:r>
              <w:rPr>
                <w:rFonts w:ascii="Arial" w:cs="Arial" w:eastAsia="Arial" w:hAnsi="Arial"/>
                <w:sz w:val="11"/>
                <w:szCs w:val="11"/>
                <w:color w:val="auto"/>
              </w:rPr>
              <w:t>1,206</w:t>
            </w:r>
          </w:p>
        </w:tc>
      </w:tr>
      <w:tr>
        <w:trPr>
          <w:trHeight w:val="131"/>
        </w:trPr>
        <w:tc>
          <w:tcPr>
            <w:tcW w:w="2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12.00% ETP, Due 6/1/21)</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r>
      <w:tr>
        <w:trPr>
          <w:trHeight w:val="112"/>
        </w:trPr>
        <w:tc>
          <w:tcPr>
            <w:tcW w:w="2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rPr>
              <w:t>Term Loan (14.41% cash (Libor + 12.31%; Floor 12.50%),</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660</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639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639</w:t>
            </w:r>
          </w:p>
        </w:tc>
      </w:tr>
      <w:tr>
        <w:trPr>
          <w:trHeight w:val="131"/>
        </w:trPr>
        <w:tc>
          <w:tcPr>
            <w:tcW w:w="2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00" w:type="dxa"/>
            <w:vAlign w:val="bottom"/>
            <w:gridSpan w:val="2"/>
          </w:tcPr>
          <w:p>
            <w:pPr>
              <w:spacing w:after="0"/>
              <w:rPr>
                <w:sz w:val="20"/>
                <w:szCs w:val="20"/>
                <w:color w:val="auto"/>
              </w:rPr>
            </w:pPr>
            <w:r>
              <w:rPr>
                <w:rFonts w:ascii="Arial" w:cs="Arial" w:eastAsia="Arial" w:hAnsi="Arial"/>
                <w:sz w:val="11"/>
                <w:szCs w:val="11"/>
                <w:color w:val="auto"/>
              </w:rPr>
              <w:t>12.00% ETP, Due 6/1/21)</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r>
      <w:tr>
        <w:trPr>
          <w:trHeight w:val="121"/>
        </w:trPr>
        <w:tc>
          <w:tcPr>
            <w:tcW w:w="2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(12.02% cash, Due 6/1/21)</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234</w:t>
            </w:r>
          </w:p>
        </w:tc>
      </w:tr>
      <w:tr>
        <w:trPr>
          <w:trHeight w:val="122"/>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Term Loan (12.03% cash, Due 6/1/21)</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234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234</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234</w:t>
            </w:r>
          </w:p>
        </w:tc>
      </w:tr>
      <w:tr>
        <w:trPr>
          <w:trHeight w:val="121"/>
        </w:trPr>
        <w:tc>
          <w:tcPr>
            <w:tcW w:w="2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(12.24% cash, Due 6/1/21)</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704</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704</w:t>
            </w:r>
          </w:p>
        </w:tc>
      </w:tr>
      <w:tr>
        <w:trPr>
          <w:trHeight w:val="122"/>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900" w:type="dxa"/>
            <w:vAlign w:val="bottom"/>
            <w:gridSpan w:val="2"/>
          </w:tcPr>
          <w:p>
            <w:pPr>
              <w:spacing w:after="0" w:line="122" w:lineRule="exact"/>
              <w:rPr>
                <w:sz w:val="20"/>
                <w:szCs w:val="20"/>
                <w:color w:val="auto"/>
              </w:rPr>
            </w:pPr>
            <w:r>
              <w:rPr>
                <w:rFonts w:ascii="Arial" w:cs="Arial" w:eastAsia="Arial" w:hAnsi="Arial"/>
                <w:sz w:val="11"/>
                <w:szCs w:val="11"/>
                <w:color w:val="auto"/>
              </w:rPr>
              <w:t>Term Loan (13.08% cash, Due 6/1/21)</w:t>
            </w:r>
          </w:p>
        </w:tc>
        <w:tc>
          <w:tcPr>
            <w:tcW w:w="1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283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283</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283</w:t>
            </w:r>
          </w:p>
        </w:tc>
      </w:tr>
      <w:tr>
        <w:trPr>
          <w:trHeight w:val="122"/>
        </w:trPr>
        <w:tc>
          <w:tcPr>
            <w:tcW w:w="2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(13.10% cash, Due 6/1/21)</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187</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187</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187</w:t>
            </w:r>
          </w:p>
        </w:tc>
      </w:tr>
      <w:tr>
        <w:trPr>
          <w:trHeight w:val="112"/>
        </w:trPr>
        <w:tc>
          <w:tcPr>
            <w:tcW w:w="2620" w:type="dxa"/>
            <w:vAlign w:val="bottom"/>
            <w:gridSpan w:val="2"/>
          </w:tcPr>
          <w:p>
            <w:pPr>
              <w:ind w:left="20"/>
              <w:spacing w:after="0" w:line="112" w:lineRule="exact"/>
              <w:rPr>
                <w:sz w:val="20"/>
                <w:szCs w:val="20"/>
                <w:color w:val="auto"/>
              </w:rPr>
            </w:pPr>
            <w:r>
              <w:rPr>
                <w:rFonts w:ascii="Arial" w:cs="Arial" w:eastAsia="Arial" w:hAnsi="Arial"/>
                <w:sz w:val="11"/>
                <w:szCs w:val="11"/>
                <w:color w:val="auto"/>
              </w:rPr>
              <w:t>StereoVision Imaging, Inc. (12)</w:t>
            </w:r>
          </w:p>
        </w:tc>
        <w:tc>
          <w:tcPr>
            <w:tcW w:w="1000" w:type="dxa"/>
            <w:vAlign w:val="bottom"/>
            <w:gridSpan w:val="2"/>
          </w:tcPr>
          <w:p>
            <w:pPr>
              <w:spacing w:after="0" w:line="112" w:lineRule="exact"/>
              <w:rPr>
                <w:sz w:val="20"/>
                <w:szCs w:val="20"/>
                <w:color w:val="auto"/>
              </w:rPr>
            </w:pPr>
            <w:r>
              <w:rPr>
                <w:rFonts w:ascii="Arial" w:cs="Arial" w:eastAsia="Arial" w:hAnsi="Arial"/>
                <w:sz w:val="11"/>
                <w:szCs w:val="11"/>
                <w:color w:val="auto"/>
              </w:rPr>
              <w:t>Software</w:t>
            </w:r>
          </w:p>
        </w:tc>
        <w:tc>
          <w:tcPr>
            <w:tcW w:w="2900" w:type="dxa"/>
            <w:vAlign w:val="bottom"/>
            <w:gridSpan w:val="2"/>
          </w:tcPr>
          <w:p>
            <w:pPr>
              <w:spacing w:after="0" w:line="112" w:lineRule="exact"/>
              <w:rPr>
                <w:sz w:val="20"/>
                <w:szCs w:val="20"/>
                <w:color w:val="auto"/>
              </w:rPr>
            </w:pPr>
            <w:r>
              <w:rPr>
                <w:rFonts w:ascii="Arial" w:cs="Arial" w:eastAsia="Arial" w:hAnsi="Arial"/>
                <w:sz w:val="11"/>
                <w:szCs w:val="11"/>
                <w:color w:val="auto"/>
                <w:w w:val="95"/>
              </w:rPr>
              <w:t>Term Loan (8.72% Cash (Libor + 7.03%; Floor 8.50%), 8.50%</w:t>
            </w:r>
          </w:p>
        </w:tc>
        <w:tc>
          <w:tcPr>
            <w:tcW w:w="100" w:type="dxa"/>
            <w:vAlign w:val="bottom"/>
          </w:tcPr>
          <w:p>
            <w:pPr>
              <w:spacing w:after="0"/>
              <w:rPr>
                <w:sz w:val="9"/>
                <w:szCs w:val="9"/>
                <w:color w:val="auto"/>
              </w:rPr>
            </w:pPr>
          </w:p>
        </w:tc>
        <w:tc>
          <w:tcPr>
            <w:tcW w:w="580" w:type="dxa"/>
            <w:vAlign w:val="bottom"/>
          </w:tcPr>
          <w:p>
            <w:pPr>
              <w:jc w:val="right"/>
              <w:spacing w:after="0" w:line="112" w:lineRule="exact"/>
              <w:rPr>
                <w:sz w:val="20"/>
                <w:szCs w:val="20"/>
                <w:color w:val="auto"/>
              </w:rPr>
            </w:pPr>
            <w:r>
              <w:rPr>
                <w:rFonts w:ascii="Arial" w:cs="Arial" w:eastAsia="Arial" w:hAnsi="Arial"/>
                <w:sz w:val="11"/>
                <w:szCs w:val="11"/>
                <w:color w:val="auto"/>
              </w:rPr>
              <w:t>2,783</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12" w:lineRule="exact"/>
              <w:rPr>
                <w:sz w:val="20"/>
                <w:szCs w:val="20"/>
                <w:color w:val="auto"/>
              </w:rPr>
            </w:pPr>
            <w:r>
              <w:rPr>
                <w:rFonts w:ascii="Arial" w:cs="Arial" w:eastAsia="Arial" w:hAnsi="Arial"/>
                <w:sz w:val="11"/>
                <w:szCs w:val="11"/>
                <w:color w:val="auto"/>
              </w:rPr>
              <w:t>2,382</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jc w:val="right"/>
              <w:spacing w:after="0" w:line="112" w:lineRule="exact"/>
              <w:rPr>
                <w:sz w:val="20"/>
                <w:szCs w:val="20"/>
                <w:color w:val="auto"/>
              </w:rPr>
            </w:pPr>
            <w:r>
              <w:rPr>
                <w:rFonts w:ascii="Arial" w:cs="Arial" w:eastAsia="Arial" w:hAnsi="Arial"/>
                <w:sz w:val="11"/>
                <w:szCs w:val="11"/>
                <w:color w:val="auto"/>
              </w:rPr>
              <w:t>2,382</w:t>
            </w:r>
          </w:p>
        </w:tc>
      </w:tr>
      <w:tr>
        <w:trPr>
          <w:trHeight w:val="131"/>
        </w:trPr>
        <w:tc>
          <w:tcPr>
            <w:tcW w:w="246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8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29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ETP, Due 9/1/21) (11)</w:t>
            </w:r>
          </w:p>
        </w:tc>
        <w:tc>
          <w:tcPr>
            <w:tcW w:w="100" w:type="dxa"/>
            <w:vAlign w:val="bottom"/>
            <w:tcBorders>
              <w:bottom w:val="single" w:sz="8" w:color="CCEEFF"/>
            </w:tcBorders>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r>
      <w:tr>
        <w:trPr>
          <w:trHeight w:val="115"/>
        </w:trPr>
        <w:tc>
          <w:tcPr>
            <w:tcW w:w="3620" w:type="dxa"/>
            <w:vAlign w:val="bottom"/>
            <w:gridSpan w:val="4"/>
            <w:shd w:val="clear" w:color="auto" w:fill="CCEEFF"/>
          </w:tcPr>
          <w:p>
            <w:pPr>
              <w:ind w:left="20"/>
              <w:spacing w:after="0" w:line="115" w:lineRule="exact"/>
              <w:rPr>
                <w:sz w:val="20"/>
                <w:szCs w:val="20"/>
                <w:color w:val="auto"/>
              </w:rPr>
            </w:pPr>
            <w:r>
              <w:rPr>
                <w:rFonts w:ascii="Arial" w:cs="Arial" w:eastAsia="Arial" w:hAnsi="Arial"/>
                <w:sz w:val="11"/>
                <w:szCs w:val="11"/>
                <w:color w:val="auto"/>
              </w:rPr>
              <w:t>Total Non-controlled Affiliate Debt Investments — Technology</w:t>
            </w: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5,869</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5,869</w:t>
            </w:r>
          </w:p>
        </w:tc>
      </w:tr>
      <w:tr>
        <w:trPr>
          <w:trHeight w:val="115"/>
        </w:trPr>
        <w:tc>
          <w:tcPr>
            <w:tcW w:w="2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1"/>
        </w:trPr>
        <w:tc>
          <w:tcPr>
            <w:tcW w:w="3620" w:type="dxa"/>
            <w:vAlign w:val="bottom"/>
            <w:gridSpan w:val="4"/>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rPr>
              <w:t>Non-controlled Affiliate Warrants — Technology — 0.0% (8)</w:t>
            </w: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2"/>
        </w:trPr>
        <w:tc>
          <w:tcPr>
            <w:tcW w:w="262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Decisyon, Inc. (12)</w:t>
            </w:r>
          </w:p>
        </w:tc>
        <w:tc>
          <w:tcPr>
            <w:tcW w:w="10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82,967 Common Stock Warrants</w:t>
            </w: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46</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color w:val="auto"/>
                <w:w w:val="99"/>
              </w:rPr>
              <w:t>Total Non-controlled Affiliate Warrants — Technology</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46</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r>
      <w:tr>
        <w:trPr>
          <w:trHeight w:val="115"/>
        </w:trPr>
        <w:tc>
          <w:tcPr>
            <w:tcW w:w="3620" w:type="dxa"/>
            <w:vAlign w:val="bottom"/>
            <w:gridSpan w:val="4"/>
          </w:tcPr>
          <w:p>
            <w:pPr>
              <w:ind w:left="20"/>
              <w:spacing w:after="0" w:line="115" w:lineRule="exact"/>
              <w:rPr>
                <w:sz w:val="20"/>
                <w:szCs w:val="20"/>
                <w:color w:val="auto"/>
              </w:rPr>
            </w:pPr>
            <w:r>
              <w:rPr>
                <w:rFonts w:ascii="Arial" w:cs="Arial" w:eastAsia="Arial" w:hAnsi="Arial"/>
                <w:sz w:val="11"/>
                <w:szCs w:val="11"/>
                <w:b w:val="1"/>
                <w:bCs w:val="1"/>
                <w:color w:val="auto"/>
              </w:rPr>
              <w:t>Non-controlled Affiliate Equity — Technology — 1.5% (8)</w:t>
            </w: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1"/>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color w:val="auto"/>
              </w:rPr>
              <w:t>Decisyon, Inc. (12)</w:t>
            </w:r>
          </w:p>
        </w:tc>
        <w:tc>
          <w:tcPr>
            <w:tcW w:w="10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45,365,936 Common Stock</w:t>
            </w: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185</w:t>
            </w: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75</w:t>
            </w:r>
          </w:p>
        </w:tc>
      </w:tr>
      <w:tr>
        <w:trPr>
          <w:trHeight w:val="122"/>
        </w:trPr>
        <w:tc>
          <w:tcPr>
            <w:tcW w:w="262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StereoVision Imaging, Inc. (12)</w:t>
            </w:r>
          </w:p>
        </w:tc>
        <w:tc>
          <w:tcPr>
            <w:tcW w:w="10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Software</w:t>
            </w:r>
          </w:p>
        </w:tc>
        <w:tc>
          <w:tcPr>
            <w:tcW w:w="29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1,943,572 Common Stock</w:t>
            </w: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791</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2,653</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Non-controlled Affiliate Equity</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976</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2,728</w:t>
            </w:r>
          </w:p>
        </w:tc>
      </w:tr>
      <w:tr>
        <w:trPr>
          <w:trHeight w:val="115"/>
        </w:trPr>
        <w:tc>
          <w:tcPr>
            <w:tcW w:w="3620" w:type="dxa"/>
            <w:vAlign w:val="bottom"/>
            <w:tcBorders>
              <w:bottom w:val="single" w:sz="8" w:color="CCEEFF"/>
            </w:tcBorders>
            <w:gridSpan w:val="4"/>
          </w:tcPr>
          <w:p>
            <w:pPr>
              <w:ind w:left="20"/>
              <w:spacing w:after="0" w:line="115" w:lineRule="exact"/>
              <w:rPr>
                <w:sz w:val="20"/>
                <w:szCs w:val="20"/>
                <w:color w:val="auto"/>
              </w:rPr>
            </w:pPr>
            <w:r>
              <w:rPr>
                <w:rFonts w:ascii="Arial" w:cs="Arial" w:eastAsia="Arial" w:hAnsi="Arial"/>
                <w:sz w:val="11"/>
                <w:szCs w:val="11"/>
                <w:b w:val="1"/>
                <w:bCs w:val="1"/>
                <w:color w:val="auto"/>
              </w:rPr>
              <w:t>Total Non-controlled Affiliate Portfolio Investment Assets</w:t>
            </w: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6,891</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8,597</w:t>
            </w:r>
          </w:p>
        </w:tc>
      </w:tr>
      <w:tr>
        <w:trPr>
          <w:trHeight w:val="115"/>
        </w:trPr>
        <w:tc>
          <w:tcPr>
            <w:tcW w:w="2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Controlled Affiliate Investments — 9.0%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r>
      <w:tr>
        <w:trPr>
          <w:trHeight w:val="122"/>
        </w:trPr>
        <w:tc>
          <w:tcPr>
            <w:tcW w:w="262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w w:val="99"/>
              </w:rPr>
              <w:t>Controlled Affiliate Equity — Financial — 9.0% (8)</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2"/>
        </w:trPr>
        <w:tc>
          <w:tcPr>
            <w:tcW w:w="262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Horizon Secured Loan Fund I LLC (12)(14)</w:t>
            </w:r>
          </w:p>
        </w:tc>
        <w:tc>
          <w:tcPr>
            <w:tcW w:w="1000" w:type="dxa"/>
            <w:vAlign w:val="bottom"/>
            <w:tcBorders>
              <w:bottom w:val="single" w:sz="8" w:color="CCEEFF"/>
            </w:tcBorders>
            <w:gridSpan w:val="2"/>
          </w:tcPr>
          <w:p>
            <w:pPr>
              <w:spacing w:after="0" w:line="122" w:lineRule="exact"/>
              <w:rPr>
                <w:sz w:val="20"/>
                <w:szCs w:val="20"/>
                <w:color w:val="auto"/>
              </w:rPr>
            </w:pPr>
            <w:r>
              <w:rPr>
                <w:rFonts w:ascii="Arial" w:cs="Arial" w:eastAsia="Arial" w:hAnsi="Arial"/>
                <w:sz w:val="11"/>
                <w:szCs w:val="11"/>
                <w:color w:val="auto"/>
              </w:rPr>
              <w:t>Investment funds</w:t>
            </w: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16,684</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16,650</w:t>
            </w:r>
          </w:p>
        </w:tc>
      </w:tr>
      <w:tr>
        <w:trPr>
          <w:trHeight w:val="115"/>
        </w:trPr>
        <w:tc>
          <w:tcPr>
            <w:tcW w:w="2620" w:type="dxa"/>
            <w:vAlign w:val="bottom"/>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Total Controlled Affiliate Equity</w:t>
            </w: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60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16,684</w:t>
            </w:r>
          </w:p>
        </w:tc>
        <w:tc>
          <w:tcPr>
            <w:tcW w:w="16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16,650</w:t>
            </w:r>
          </w:p>
        </w:tc>
      </w:tr>
      <w:tr>
        <w:trPr>
          <w:trHeight w:val="115"/>
        </w:trPr>
        <w:tc>
          <w:tcPr>
            <w:tcW w:w="2620" w:type="dxa"/>
            <w:vAlign w:val="bottom"/>
            <w:tcBorders>
              <w:bottom w:val="single" w:sz="8" w:color="CCEEFF"/>
            </w:tcBorders>
            <w:gridSpan w:val="2"/>
          </w:tcPr>
          <w:p>
            <w:pPr>
              <w:ind w:left="20"/>
              <w:spacing w:after="0" w:line="115" w:lineRule="exact"/>
              <w:rPr>
                <w:sz w:val="20"/>
                <w:szCs w:val="20"/>
                <w:color w:val="auto"/>
              </w:rPr>
            </w:pPr>
            <w:r>
              <w:rPr>
                <w:rFonts w:ascii="Arial" w:cs="Arial" w:eastAsia="Arial" w:hAnsi="Arial"/>
                <w:sz w:val="11"/>
                <w:szCs w:val="11"/>
                <w:b w:val="1"/>
                <w:bCs w:val="1"/>
                <w:color w:val="auto"/>
                <w:w w:val="93"/>
              </w:rPr>
              <w:t>Total Controlled Affiliate Portfolio Investment Assets</w:t>
            </w:r>
          </w:p>
        </w:tc>
        <w:tc>
          <w:tcPr>
            <w:tcW w:w="8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580" w:type="dxa"/>
            <w:vAlign w:val="bottom"/>
            <w:tcBorders>
              <w:bottom w:val="single" w:sz="8" w:color="CCEEFF"/>
            </w:tcBorders>
          </w:tcPr>
          <w:p>
            <w:pPr>
              <w:spacing w:after="0"/>
              <w:rPr>
                <w:sz w:val="10"/>
                <w:szCs w:val="10"/>
                <w:color w:val="auto"/>
              </w:rPr>
            </w:pP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line="115"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16,684</w:t>
            </w:r>
          </w:p>
        </w:tc>
        <w:tc>
          <w:tcPr>
            <w:tcW w:w="16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auto"/>
              </w:rPr>
              <w:t>16,650</w:t>
            </w:r>
          </w:p>
        </w:tc>
      </w:tr>
      <w:tr>
        <w:trPr>
          <w:trHeight w:val="115"/>
        </w:trPr>
        <w:tc>
          <w:tcPr>
            <w:tcW w:w="24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r>
      <w:tr>
        <w:trPr>
          <w:trHeight w:val="121"/>
        </w:trPr>
        <w:tc>
          <w:tcPr>
            <w:tcW w:w="262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Total Portfolio Investment Assets — 173.7% (8)</w:t>
            </w: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bottom w:val="single" w:sz="8" w:color="auto"/>
            </w:tcBorders>
          </w:tcPr>
          <w:p>
            <w:pPr>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318,831</w:t>
            </w:r>
          </w:p>
        </w:tc>
        <w:tc>
          <w:tcPr>
            <w:tcW w:w="160" w:type="dxa"/>
            <w:vAlign w:val="bottom"/>
          </w:tcPr>
          <w:p>
            <w:pPr>
              <w:spacing w:after="0"/>
              <w:rPr>
                <w:sz w:val="10"/>
                <w:szCs w:val="10"/>
                <w:color w:val="auto"/>
              </w:rPr>
            </w:pPr>
          </w:p>
        </w:tc>
        <w:tc>
          <w:tcPr>
            <w:tcW w:w="120" w:type="dxa"/>
            <w:vAlign w:val="bottom"/>
            <w:tcBorders>
              <w:bottom w:val="single" w:sz="8" w:color="auto"/>
            </w:tcBorders>
          </w:tcPr>
          <w:p>
            <w:pPr>
              <w:jc w:val="right"/>
              <w:ind w:right="53"/>
              <w:spacing w:after="0"/>
              <w:rPr>
                <w:sz w:val="20"/>
                <w:szCs w:val="20"/>
                <w:color w:val="auto"/>
              </w:rPr>
            </w:pPr>
            <w:r>
              <w:rPr>
                <w:rFonts w:ascii="Arial" w:cs="Arial" w:eastAsia="Arial" w:hAnsi="Arial"/>
                <w:sz w:val="5"/>
                <w:szCs w:val="5"/>
                <w:color w:val="auto"/>
                <w:w w:val="70"/>
              </w:rPr>
              <w:t>$</w:t>
            </w:r>
          </w:p>
        </w:tc>
        <w:tc>
          <w:tcPr>
            <w:tcW w:w="5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319,551</w:t>
            </w: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9"/>
              </w:rPr>
              <w:t>Cost of</w:t>
            </w:r>
          </w:p>
        </w:tc>
        <w:tc>
          <w:tcPr>
            <w:tcW w:w="140" w:type="dxa"/>
            <w:vAlign w:val="bottom"/>
          </w:tcPr>
          <w:p>
            <w:pPr>
              <w:spacing w:after="0"/>
              <w:rPr>
                <w:sz w:val="10"/>
                <w:szCs w:val="10"/>
                <w:color w:val="auto"/>
              </w:rPr>
            </w:pPr>
          </w:p>
        </w:tc>
        <w:tc>
          <w:tcPr>
            <w:tcW w:w="520" w:type="dxa"/>
            <w:vAlign w:val="bottom"/>
          </w:tcPr>
          <w:p>
            <w:pPr>
              <w:jc w:val="right"/>
              <w:ind w:right="166"/>
              <w:spacing w:after="0"/>
              <w:rPr>
                <w:sz w:val="20"/>
                <w:szCs w:val="20"/>
                <w:color w:val="auto"/>
              </w:rPr>
            </w:pPr>
            <w:r>
              <w:rPr>
                <w:rFonts w:ascii="Arial" w:cs="Arial" w:eastAsia="Arial" w:hAnsi="Arial"/>
                <w:sz w:val="11"/>
                <w:szCs w:val="11"/>
                <w:b w:val="1"/>
                <w:bCs w:val="1"/>
                <w:color w:val="auto"/>
              </w:rPr>
              <w:t>Fair</w:t>
            </w:r>
          </w:p>
        </w:tc>
      </w:tr>
      <w:tr>
        <w:trPr>
          <w:trHeight w:val="135"/>
        </w:trPr>
        <w:tc>
          <w:tcPr>
            <w:tcW w:w="2860" w:type="dxa"/>
            <w:vAlign w:val="bottom"/>
            <w:gridSpan w:val="2"/>
          </w:tcPr>
          <w:p>
            <w:pPr>
              <w:ind w:left="20"/>
              <w:spacing w:after="0"/>
              <w:rPr>
                <w:sz w:val="20"/>
                <w:szCs w:val="20"/>
                <w:color w:val="auto"/>
              </w:rPr>
            </w:pPr>
            <w:r>
              <w:rPr>
                <w:rFonts w:ascii="Arial" w:cs="Arial" w:eastAsia="Arial" w:hAnsi="Arial"/>
                <w:sz w:val="11"/>
                <w:szCs w:val="11"/>
                <w:b w:val="1"/>
                <w:bCs w:val="1"/>
                <w:color w:val="auto"/>
              </w:rPr>
              <w:t>Portfolio Company (1)(3)</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Sector</w:t>
            </w:r>
          </w:p>
        </w:tc>
        <w:tc>
          <w:tcPr>
            <w:tcW w:w="3680" w:type="dxa"/>
            <w:vAlign w:val="bottom"/>
            <w:gridSpan w:val="2"/>
          </w:tcPr>
          <w:p>
            <w:pPr>
              <w:ind w:left="640"/>
              <w:spacing w:after="0"/>
              <w:rPr>
                <w:sz w:val="20"/>
                <w:szCs w:val="20"/>
                <w:color w:val="auto"/>
              </w:rPr>
            </w:pPr>
            <w:r>
              <w:rPr>
                <w:rFonts w:ascii="Arial" w:cs="Arial" w:eastAsia="Arial" w:hAnsi="Arial"/>
                <w:sz w:val="11"/>
                <w:szCs w:val="11"/>
                <w:b w:val="1"/>
                <w:bCs w:val="1"/>
                <w:color w:val="auto"/>
              </w:rPr>
              <w:t>Type of Investment (4)(7)(9)(10)</w:t>
            </w:r>
          </w:p>
        </w:tc>
        <w:tc>
          <w:tcPr>
            <w:tcW w:w="80" w:type="dxa"/>
            <w:vAlign w:val="bottom"/>
          </w:tcPr>
          <w:p>
            <w:pPr>
              <w:spacing w:after="0"/>
              <w:rPr>
                <w:sz w:val="11"/>
                <w:szCs w:val="11"/>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Investments (6)</w:t>
            </w:r>
          </w:p>
        </w:tc>
        <w:tc>
          <w:tcPr>
            <w:tcW w:w="140" w:type="dxa"/>
            <w:vAlign w:val="bottom"/>
          </w:tcPr>
          <w:p>
            <w:pPr>
              <w:spacing w:after="0"/>
              <w:rPr>
                <w:sz w:val="11"/>
                <w:szCs w:val="11"/>
                <w:color w:val="auto"/>
              </w:rPr>
            </w:pPr>
          </w:p>
        </w:tc>
        <w:tc>
          <w:tcPr>
            <w:tcW w:w="520" w:type="dxa"/>
            <w:vAlign w:val="bottom"/>
          </w:tcPr>
          <w:p>
            <w:pPr>
              <w:jc w:val="right"/>
              <w:ind w:right="146"/>
              <w:spacing w:after="0"/>
              <w:rPr>
                <w:sz w:val="20"/>
                <w:szCs w:val="20"/>
                <w:color w:val="auto"/>
              </w:rPr>
            </w:pPr>
            <w:r>
              <w:rPr>
                <w:rFonts w:ascii="Arial" w:cs="Arial" w:eastAsia="Arial" w:hAnsi="Arial"/>
                <w:sz w:val="11"/>
                <w:szCs w:val="11"/>
                <w:b w:val="1"/>
                <w:bCs w:val="1"/>
                <w:color w:val="auto"/>
              </w:rPr>
              <w:t>Value</w:t>
            </w:r>
          </w:p>
        </w:tc>
      </w:tr>
      <w:tr>
        <w:trPr>
          <w:trHeight w:val="115"/>
        </w:trPr>
        <w:tc>
          <w:tcPr>
            <w:tcW w:w="3460" w:type="dxa"/>
            <w:vAlign w:val="bottom"/>
            <w:tcBorders>
              <w:top w:val="single" w:sz="8" w:color="auto"/>
            </w:tcBorders>
            <w:gridSpan w:val="3"/>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rPr>
              <w:t>Short Term Investments — Unrestricted Investments — 5.3% (8)</w:t>
            </w:r>
          </w:p>
        </w:tc>
        <w:tc>
          <w:tcPr>
            <w:tcW w:w="140" w:type="dxa"/>
            <w:vAlign w:val="bottom"/>
            <w:tcBorders>
              <w:top w:val="single" w:sz="8" w:color="CCEEFF"/>
            </w:tcBorders>
            <w:shd w:val="clear" w:color="auto" w:fill="CCEEFF"/>
          </w:tcPr>
          <w:p>
            <w:pPr>
              <w:spacing w:after="0"/>
              <w:rPr>
                <w:sz w:val="10"/>
                <w:szCs w:val="10"/>
                <w:color w:val="auto"/>
              </w:rPr>
            </w:pPr>
          </w:p>
        </w:tc>
        <w:tc>
          <w:tcPr>
            <w:tcW w:w="2740" w:type="dxa"/>
            <w:vAlign w:val="bottom"/>
            <w:tcBorders>
              <w:top w:val="single" w:sz="8" w:color="auto"/>
            </w:tcBorders>
            <w:shd w:val="clear" w:color="auto" w:fill="CCEEFF"/>
          </w:tcPr>
          <w:p>
            <w:pPr>
              <w:spacing w:after="0"/>
              <w:rPr>
                <w:sz w:val="10"/>
                <w:szCs w:val="10"/>
                <w:color w:val="auto"/>
              </w:rPr>
            </w:pPr>
          </w:p>
        </w:tc>
        <w:tc>
          <w:tcPr>
            <w:tcW w:w="9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r>
      <w:tr>
        <w:trPr>
          <w:trHeight w:val="122"/>
        </w:trPr>
        <w:tc>
          <w:tcPr>
            <w:tcW w:w="286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US Bank Money Market Deposit Account</w:t>
            </w:r>
          </w:p>
        </w:tc>
        <w:tc>
          <w:tcPr>
            <w:tcW w:w="6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4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9,787</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9,787</w:t>
            </w:r>
          </w:p>
        </w:tc>
      </w:tr>
      <w:tr>
        <w:trPr>
          <w:trHeight w:val="115"/>
        </w:trPr>
        <w:tc>
          <w:tcPr>
            <w:tcW w:w="2860" w:type="dxa"/>
            <w:vAlign w:val="bottom"/>
            <w:tcBorders>
              <w:bottom w:val="single" w:sz="8" w:color="CCEEFF"/>
            </w:tcBorders>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w w:val="93"/>
              </w:rPr>
              <w:t>Total Short Term Investments —Unrestricted Investments</w:t>
            </w:r>
          </w:p>
        </w:tc>
        <w:tc>
          <w:tcPr>
            <w:tcW w:w="6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7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9,787</w:t>
            </w:r>
          </w:p>
        </w:tc>
        <w:tc>
          <w:tcPr>
            <w:tcW w:w="1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9,787</w:t>
            </w:r>
          </w:p>
        </w:tc>
      </w:tr>
      <w:tr>
        <w:trPr>
          <w:trHeight w:val="20"/>
        </w:trPr>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102"/>
        </w:trPr>
        <w:tc>
          <w:tcPr>
            <w:tcW w:w="2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122"/>
        </w:trPr>
        <w:tc>
          <w:tcPr>
            <w:tcW w:w="28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1"/>
                <w:szCs w:val="11"/>
                <w:b w:val="1"/>
                <w:bCs w:val="1"/>
                <w:color w:val="auto"/>
                <w:w w:val="89"/>
              </w:rPr>
              <w:t>Short Term Investments — Restricted Investments—0.6% (8)</w:t>
            </w: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4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r>
      <w:tr>
        <w:trPr>
          <w:trHeight w:val="122"/>
        </w:trPr>
        <w:tc>
          <w:tcPr>
            <w:tcW w:w="2860" w:type="dxa"/>
            <w:vAlign w:val="bottom"/>
            <w:tcBorders>
              <w:bottom w:val="single" w:sz="8" w:color="CCEEFF"/>
            </w:tcBorders>
            <w:gridSpan w:val="2"/>
          </w:tcPr>
          <w:p>
            <w:pPr>
              <w:ind w:left="20"/>
              <w:spacing w:after="0" w:line="122" w:lineRule="exact"/>
              <w:rPr>
                <w:sz w:val="20"/>
                <w:szCs w:val="20"/>
                <w:color w:val="auto"/>
              </w:rPr>
            </w:pPr>
            <w:r>
              <w:rPr>
                <w:rFonts w:ascii="Arial" w:cs="Arial" w:eastAsia="Arial" w:hAnsi="Arial"/>
                <w:sz w:val="11"/>
                <w:szCs w:val="11"/>
                <w:color w:val="auto"/>
              </w:rPr>
              <w:t>US Bank Money Market Deposit Account</w:t>
            </w:r>
          </w:p>
        </w:tc>
        <w:tc>
          <w:tcPr>
            <w:tcW w:w="60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2740" w:type="dxa"/>
            <w:vAlign w:val="bottom"/>
            <w:tcBorders>
              <w:bottom w:val="single" w:sz="8" w:color="CCEEFF"/>
            </w:tcBorders>
          </w:tcPr>
          <w:p>
            <w:pPr>
              <w:spacing w:after="0"/>
              <w:rPr>
                <w:sz w:val="10"/>
                <w:szCs w:val="10"/>
                <w:color w:val="auto"/>
              </w:rPr>
            </w:pPr>
          </w:p>
        </w:tc>
        <w:tc>
          <w:tcPr>
            <w:tcW w:w="94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1,133</w:t>
            </w:r>
          </w:p>
        </w:tc>
        <w:tc>
          <w:tcPr>
            <w:tcW w:w="14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1,133</w:t>
            </w:r>
          </w:p>
        </w:tc>
      </w:tr>
      <w:tr>
        <w:trPr>
          <w:trHeight w:val="115"/>
        </w:trPr>
        <w:tc>
          <w:tcPr>
            <w:tcW w:w="2860" w:type="dxa"/>
            <w:vAlign w:val="bottom"/>
            <w:tcBorders>
              <w:bottom w:val="single" w:sz="8" w:color="CCEEFF"/>
            </w:tcBorders>
            <w:gridSpan w:val="2"/>
            <w:shd w:val="clear" w:color="auto" w:fill="CCEEFF"/>
          </w:tcPr>
          <w:p>
            <w:pPr>
              <w:ind w:left="20"/>
              <w:spacing w:after="0" w:line="115" w:lineRule="exact"/>
              <w:rPr>
                <w:sz w:val="20"/>
                <w:szCs w:val="20"/>
                <w:color w:val="auto"/>
              </w:rPr>
            </w:pPr>
            <w:r>
              <w:rPr>
                <w:rFonts w:ascii="Arial" w:cs="Arial" w:eastAsia="Arial" w:hAnsi="Arial"/>
                <w:sz w:val="11"/>
                <w:szCs w:val="11"/>
                <w:b w:val="1"/>
                <w:bCs w:val="1"/>
                <w:color w:val="auto"/>
                <w:w w:val="97"/>
              </w:rPr>
              <w:t>Total Short Term Investments —Restricted Investments</w:t>
            </w:r>
          </w:p>
        </w:tc>
        <w:tc>
          <w:tcPr>
            <w:tcW w:w="60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2740" w:type="dxa"/>
            <w:vAlign w:val="bottom"/>
            <w:tcBorders>
              <w:bottom w:val="single" w:sz="8" w:color="CCEEFF"/>
            </w:tcBorders>
            <w:shd w:val="clear" w:color="auto" w:fill="CCEEFF"/>
          </w:tcPr>
          <w:p>
            <w:pPr>
              <w:spacing w:after="0"/>
              <w:rPr>
                <w:sz w:val="10"/>
                <w:szCs w:val="10"/>
                <w:color w:val="auto"/>
              </w:rPr>
            </w:pPr>
          </w:p>
        </w:tc>
        <w:tc>
          <w:tcPr>
            <w:tcW w:w="94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1,133</w:t>
            </w:r>
          </w:p>
        </w:tc>
        <w:tc>
          <w:tcPr>
            <w:tcW w:w="14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1,133</w:t>
            </w:r>
          </w:p>
        </w:tc>
      </w:tr>
      <w:tr>
        <w:trPr>
          <w:trHeight w:val="20"/>
        </w:trPr>
        <w:tc>
          <w:tcPr>
            <w:tcW w:w="2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30"/>
        </w:trPr>
        <w:tc>
          <w:tcPr>
            <w:tcW w:w="2240" w:type="dxa"/>
            <w:vAlign w:val="bottom"/>
            <w:tcBorders>
              <w:bottom w:val="single" w:sz="8" w:color="auto"/>
            </w:tcBorders>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r>
    </w:tbl>
    <w:p>
      <w:pPr>
        <w:spacing w:after="0" w:line="170" w:lineRule="exact"/>
        <w:rPr>
          <w:sz w:val="20"/>
          <w:szCs w:val="20"/>
          <w:color w:val="auto"/>
        </w:rPr>
      </w:pPr>
    </w:p>
    <w:p>
      <w:pPr>
        <w:jc w:val="both"/>
        <w:ind w:left="260" w:right="79" w:hanging="202"/>
        <w:spacing w:after="0" w:line="253" w:lineRule="auto"/>
        <w:rPr>
          <w:sz w:val="20"/>
          <w:szCs w:val="20"/>
          <w:color w:val="auto"/>
        </w:rPr>
      </w:pPr>
      <w:r>
        <w:rPr>
          <w:rFonts w:ascii="Arial" w:cs="Arial" w:eastAsia="Arial" w:hAnsi="Arial"/>
          <w:sz w:val="13"/>
          <w:szCs w:val="13"/>
          <w:color w:val="auto"/>
        </w:rPr>
        <w:t>(1</w:t>
      </w:r>
      <w:r>
        <w:rPr>
          <w:rFonts w:ascii="Arial" w:cs="Arial" w:eastAsia="Arial" w:hAnsi="Arial"/>
          <w:sz w:val="14"/>
          <w:szCs w:val="14"/>
          <w:color w:val="auto"/>
        </w:rPr>
        <w:t>) All investments of the Company are in entities which are organized under the laws of the United States and have a principal place of business in the</w:t>
      </w:r>
      <w:r>
        <w:rPr>
          <w:rFonts w:ascii="Arial" w:cs="Arial" w:eastAsia="Arial" w:hAnsi="Arial"/>
          <w:sz w:val="13"/>
          <w:szCs w:val="13"/>
          <w:color w:val="auto"/>
        </w:rPr>
        <w:t xml:space="preserve"> </w:t>
      </w:r>
      <w:r>
        <w:rPr>
          <w:rFonts w:ascii="Arial" w:cs="Arial" w:eastAsia="Arial" w:hAnsi="Arial"/>
          <w:sz w:val="14"/>
          <w:szCs w:val="14"/>
          <w:color w:val="auto"/>
        </w:rPr>
        <w:t>United States.</w:t>
      </w:r>
    </w:p>
    <w:p>
      <w:pPr>
        <w:spacing w:after="0" w:line="52" w:lineRule="exact"/>
        <w:rPr>
          <w:sz w:val="20"/>
          <w:szCs w:val="20"/>
          <w:color w:val="auto"/>
        </w:rPr>
      </w:pPr>
    </w:p>
    <w:p>
      <w:pPr>
        <w:ind w:left="260" w:hanging="21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Has been pledged as collateral under the Key Facility and/or the the Asset-Backed Notes.</w:t>
      </w:r>
    </w:p>
    <w:p>
      <w:pPr>
        <w:spacing w:after="0" w:line="82" w:lineRule="exact"/>
        <w:rPr>
          <w:rFonts w:ascii="Arial" w:cs="Arial" w:eastAsia="Arial" w:hAnsi="Arial"/>
          <w:sz w:val="14"/>
          <w:szCs w:val="14"/>
          <w:color w:val="auto"/>
        </w:rPr>
      </w:pPr>
    </w:p>
    <w:p>
      <w:pPr>
        <w:jc w:val="both"/>
        <w:ind w:left="260" w:right="79" w:hanging="210"/>
        <w:spacing w:after="0" w:line="231" w:lineRule="auto"/>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non-affiliate investments are investments in which the Company owns less than 5% of the voting securities of the portfolio company. All non-controlled affiliate investments are investments in which the Company owns 5% or more of the voting securities of the portfolio company but not more than 25% of the voting securities of the portfolio company. All controlled affiliate investments are investments in which the Company owns more than 25% of the portfolio company’s outstanding voting securities or has the power to exercise control over management or policies of such portfolio company (including through a management agreement).</w:t>
      </w:r>
    </w:p>
    <w:p>
      <w:pPr>
        <w:spacing w:after="0" w:line="62" w:lineRule="exact"/>
        <w:rPr>
          <w:rFonts w:ascii="Arial" w:cs="Arial" w:eastAsia="Arial" w:hAnsi="Arial"/>
          <w:sz w:val="14"/>
          <w:szCs w:val="14"/>
          <w:color w:val="auto"/>
        </w:rPr>
      </w:pPr>
    </w:p>
    <w:p>
      <w:pPr>
        <w:jc w:val="both"/>
        <w:ind w:left="260" w:right="79" w:hanging="210"/>
        <w:spacing w:after="0" w:line="231" w:lineRule="auto"/>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All interest is payable in cash due monthly in arrears, unless otherwise indicated, and applies only to the Company’s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2019 is provided.</w:t>
      </w:r>
    </w:p>
    <w:p>
      <w:pPr>
        <w:spacing w:after="0" w:line="62" w:lineRule="exact"/>
        <w:rPr>
          <w:rFonts w:ascii="Arial" w:cs="Arial" w:eastAsia="Arial" w:hAnsi="Arial"/>
          <w:sz w:val="14"/>
          <w:szCs w:val="14"/>
          <w:color w:val="auto"/>
        </w:rPr>
      </w:pPr>
    </w:p>
    <w:p>
      <w:pPr>
        <w:ind w:left="260" w:hanging="21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Portfolio company is a public company.</w:t>
      </w:r>
    </w:p>
    <w:p>
      <w:pPr>
        <w:spacing w:after="0" w:line="82" w:lineRule="exact"/>
        <w:rPr>
          <w:rFonts w:ascii="Arial" w:cs="Arial" w:eastAsia="Arial" w:hAnsi="Arial"/>
          <w:sz w:val="14"/>
          <w:szCs w:val="14"/>
          <w:color w:val="auto"/>
        </w:rPr>
      </w:pPr>
    </w:p>
    <w:p>
      <w:pPr>
        <w:ind w:left="260" w:hanging="21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For debt investments, represents principal balance less unearned income.</w:t>
      </w:r>
    </w:p>
    <w:p>
      <w:pPr>
        <w:spacing w:after="0" w:line="82" w:lineRule="exact"/>
        <w:rPr>
          <w:rFonts w:ascii="Arial" w:cs="Arial" w:eastAsia="Arial" w:hAnsi="Arial"/>
          <w:sz w:val="14"/>
          <w:szCs w:val="14"/>
          <w:color w:val="auto"/>
        </w:rPr>
      </w:pPr>
    </w:p>
    <w:p>
      <w:pPr>
        <w:ind w:left="260" w:hanging="21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Warrants, Equity and Other Investments are non-income producing.</w:t>
      </w:r>
    </w:p>
    <w:p>
      <w:pPr>
        <w:spacing w:after="0" w:line="82" w:lineRule="exact"/>
        <w:rPr>
          <w:rFonts w:ascii="Arial" w:cs="Arial" w:eastAsia="Arial" w:hAnsi="Arial"/>
          <w:sz w:val="14"/>
          <w:szCs w:val="14"/>
          <w:color w:val="auto"/>
        </w:rPr>
      </w:pPr>
    </w:p>
    <w:p>
      <w:pPr>
        <w:ind w:left="260" w:hanging="210"/>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Value as a percent of net assets.</w:t>
      </w:r>
    </w:p>
    <w:p>
      <w:pPr>
        <w:spacing w:after="0" w:line="82" w:lineRule="exact"/>
        <w:rPr>
          <w:rFonts w:ascii="Arial" w:cs="Arial" w:eastAsia="Arial" w:hAnsi="Arial"/>
          <w:sz w:val="14"/>
          <w:szCs w:val="14"/>
          <w:color w:val="auto"/>
        </w:rPr>
      </w:pPr>
    </w:p>
    <w:p>
      <w:pPr>
        <w:jc w:val="both"/>
        <w:ind w:left="260" w:right="79" w:hanging="210"/>
        <w:spacing w:after="0" w:line="238" w:lineRule="auto"/>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of December 31, 2019, 4.9% and 4.8% of the Company’s total assets on a cost and fair value basis, respectively, are in non-qualifying assets. Under the 1940 Act, the Company may not acquire any non-qualifying assets unless, at the time the acquisition is made, qualifying assets represent at least 70% of the Company’s total assets.</w:t>
      </w:r>
    </w:p>
    <w:p>
      <w:pPr>
        <w:spacing w:after="0" w:line="61" w:lineRule="exact"/>
        <w:rPr>
          <w:rFonts w:ascii="Arial" w:cs="Arial" w:eastAsia="Arial" w:hAnsi="Arial"/>
          <w:sz w:val="14"/>
          <w:szCs w:val="14"/>
          <w:color w:val="auto"/>
        </w:rPr>
      </w:pPr>
    </w:p>
    <w:p>
      <w:pPr>
        <w:jc w:val="both"/>
        <w:ind w:left="260" w:right="59" w:hanging="210"/>
        <w:spacing w:after="0" w:line="233" w:lineRule="auto"/>
        <w:tabs>
          <w:tab w:leader="none" w:pos="335" w:val="left"/>
        </w:tabs>
        <w:numPr>
          <w:ilvl w:val="0"/>
          <w:numId w:val="5"/>
        </w:numPr>
        <w:rPr>
          <w:rFonts w:ascii="Arial" w:cs="Arial" w:eastAsia="Arial" w:hAnsi="Arial"/>
          <w:sz w:val="14"/>
          <w:szCs w:val="14"/>
          <w:color w:val="auto"/>
        </w:rPr>
      </w:pPr>
      <w:r>
        <w:rPr>
          <w:rFonts w:ascii="Arial" w:cs="Arial" w:eastAsia="Arial" w:hAnsi="Arial"/>
          <w:sz w:val="14"/>
          <w:szCs w:val="14"/>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49" w:lineRule="exact"/>
        <w:rPr>
          <w:rFonts w:ascii="Arial" w:cs="Arial" w:eastAsia="Arial" w:hAnsi="Arial"/>
          <w:sz w:val="14"/>
          <w:szCs w:val="14"/>
          <w:color w:val="auto"/>
        </w:rPr>
      </w:pPr>
    </w:p>
    <w:p>
      <w:pPr>
        <w:ind w:left="340" w:hanging="290"/>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Debt investment has a PIK feature.</w:t>
      </w:r>
    </w:p>
    <w:p>
      <w:pPr>
        <w:spacing w:after="0" w:line="82" w:lineRule="exact"/>
        <w:rPr>
          <w:rFonts w:ascii="Arial" w:cs="Arial" w:eastAsia="Arial" w:hAnsi="Arial"/>
          <w:sz w:val="14"/>
          <w:szCs w:val="14"/>
          <w:color w:val="auto"/>
        </w:rPr>
      </w:pPr>
    </w:p>
    <w:p>
      <w:pPr>
        <w:ind w:left="340" w:hanging="290"/>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fair value of the investment was valued using significant unobservable inputs.</w:t>
      </w:r>
    </w:p>
    <w:p>
      <w:pPr>
        <w:spacing w:after="0" w:line="82" w:lineRule="exact"/>
        <w:rPr>
          <w:rFonts w:ascii="Arial" w:cs="Arial" w:eastAsia="Arial" w:hAnsi="Arial"/>
          <w:sz w:val="14"/>
          <w:szCs w:val="14"/>
          <w:color w:val="auto"/>
        </w:rPr>
      </w:pPr>
    </w:p>
    <w:p>
      <w:pPr>
        <w:ind w:left="340" w:hanging="290"/>
        <w:spacing w:after="0"/>
        <w:tabs>
          <w:tab w:leader="none" w:pos="3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New Signature US, Inc. is a subsidiary of BSI Platform Holdings, LLC.</w:t>
      </w:r>
    </w:p>
    <w:p>
      <w:pPr>
        <w:spacing w:after="0" w:line="68" w:lineRule="exact"/>
        <w:rPr>
          <w:rFonts w:ascii="Arial" w:cs="Arial" w:eastAsia="Arial" w:hAnsi="Arial"/>
          <w:sz w:val="14"/>
          <w:szCs w:val="14"/>
          <w:color w:val="auto"/>
        </w:rPr>
      </w:pPr>
    </w:p>
    <w:p>
      <w:pPr>
        <w:jc w:val="both"/>
        <w:ind w:left="260" w:right="59" w:hanging="210"/>
        <w:spacing w:after="0" w:line="229" w:lineRule="auto"/>
        <w:tabs>
          <w:tab w:leader="none" w:pos="335" w:val="left"/>
        </w:tabs>
        <w:numPr>
          <w:ilvl w:val="0"/>
          <w:numId w:val="5"/>
        </w:numPr>
        <w:rPr>
          <w:rFonts w:ascii="Arial" w:cs="Arial" w:eastAsia="Arial" w:hAnsi="Arial"/>
          <w:sz w:val="14"/>
          <w:szCs w:val="14"/>
          <w:color w:val="auto"/>
        </w:rPr>
      </w:pPr>
      <w:r>
        <w:rPr>
          <w:rFonts w:ascii="Arial" w:cs="Arial" w:eastAsia="Arial" w:hAnsi="Arial"/>
          <w:sz w:val="14"/>
          <w:szCs w:val="14"/>
          <w:color w:val="auto"/>
        </w:rPr>
        <w:t>On June 1, 2018, the Company entered into an agreement with Arena to co-invest through HSLFI, a joint venture, which is expected to make investments, either directly or indirectly through subsidiaries, primarily in the form of secured loans to development-stage companies in the technology, life science, healthcare information and services and sustainability industries. All HSLFI investment decisions require unanimous approval of a quorum of HSLFI’s board of managers, which consists of two representatives of the Company and Arena. Although the Company owns more than 25% of the voting securities of HSLFI, the Company does not have sole control over significant actions of HSLFI for purposes of the 1940 Act or otherwise.</w:t>
      </w:r>
    </w:p>
    <w:p>
      <w:pPr>
        <w:spacing w:after="0" w:line="64" w:lineRule="exact"/>
        <w:rPr>
          <w:sz w:val="20"/>
          <w:szCs w:val="20"/>
          <w:color w:val="auto"/>
        </w:rPr>
      </w:pPr>
    </w:p>
    <w:p>
      <w:pPr>
        <w:ind w:left="60"/>
        <w:spacing w:after="0"/>
        <w:rPr>
          <w:sz w:val="20"/>
          <w:szCs w:val="20"/>
          <w:color w:val="auto"/>
        </w:rPr>
      </w:pPr>
      <w:r>
        <w:rPr>
          <w:rFonts w:ascii="Arial" w:cs="Arial" w:eastAsia="Arial" w:hAnsi="Arial"/>
          <w:sz w:val="14"/>
          <w:szCs w:val="14"/>
          <w:color w:val="auto"/>
        </w:rPr>
        <w:t>(15)Debt investment is on non-accrual status as of December 31, 2019.</w:t>
      </w:r>
    </w:p>
    <w:p>
      <w:pPr>
        <w:spacing w:after="0" w:line="8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Organization</w:t>
      </w:r>
    </w:p>
    <w:p>
      <w:pPr>
        <w:spacing w:after="0" w:line="229"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Horizon Technology Finance Corporation (the “Company”) was organized as a Delaware corporation on March 16, 2010 and is an externally managed, non-diversified, closed-end investment company. The Company has elected to be regulated as a business development company (“BDC”) under the 1940 Act. In addition, for tax purposes, the Company has elected to be treated as a regulated investment company (“RIC”) as defined under Subchapter M of the Internal Revenue Code of 1986, as amended (the “Code”). As a RIC, the Company generally is not subject to corporate-level federal income tax on the portion of its taxable income (including net capital gains) the Company distributes to its stockholders. The Company primarily makes secured debt investments to development-stage companies in the technology, life science, healthcare information and services and sustainability industries. All of the Company’s debt investments consist of loans secured by all of, or a portion of, the applicable debtor company’s tangible and intangible assets.</w:t>
      </w:r>
    </w:p>
    <w:p>
      <w:pPr>
        <w:spacing w:after="0" w:line="166"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On October 28, 2010, the Company completed an initial public offering (“IPO”) and its common stock trades on the Nasdaq Global Select Market under the symbol “HRZN”. The Company was formed to continue and expand the business of Compass Horizon Funding Company LLC, a Delaware limited liability company, which commenced operations in March 2008 and became the Company’s wholly owned subsidiary upon the completion of the Company’s IPO.</w:t>
      </w:r>
    </w:p>
    <w:p>
      <w:pPr>
        <w:spacing w:after="0" w:line="157"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Horizon Credit II LLC (“Credit II”) was formed as a Delaware limited liability company on June 28, 2011, with the Company as its sole equity member. Credit II is a special purpose bankruptcy-remote entity and is a separate legal entity from the Company. Any assets conveyed to Credit II are not available to creditors of the Company or any other entity other than Credit II’s lenders.</w:t>
      </w:r>
    </w:p>
    <w:p>
      <w:pPr>
        <w:spacing w:after="0" w:line="187"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color w:val="auto"/>
        </w:rPr>
        <w:t>The Company formed Horizon Funding 2019-1 LLC (“2019-1 LLC”) as a Delaware limited liability company on May 2, 2019 and Horizon Funding Trust 2019-1 on May 15, 2019 (“2019-1 Trust” and, together with the 2019-1 LLC, the “2019-1 Entities”). The 2019-1 Entities are special purpose bankruptcy remote entities and are separate legal entities from the Company. The Company formed the 2019-1 Entities for purposes of securitizing the Asset-Backed Notes.</w:t>
      </w:r>
    </w:p>
    <w:p>
      <w:pPr>
        <w:spacing w:after="0" w:line="157"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Company has also established an additional wholly owned subsidiary, which is structured as a Delaware limited liability company, to hold the assets of a portfolio company acquired in connection with foreclosure or bankruptcy, which is a separate legal entity from the Company.</w:t>
      </w:r>
    </w:p>
    <w:p>
      <w:pPr>
        <w:spacing w:after="0" w:line="184"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Company’s investment strategy is to maximize the investment portfolio’s return by generating current income from the debt investments the Company makes and capital appreciation from the warrants the Company receives when making such debt investments. The Company has entered into an investment management agreement (the “Investment Management Agreement”) with Horizon Technology Finance Management LLC (the “Advisor”) under which the Advisor manages the day-to-day operations of, and provides investment advisory services to, the Company.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2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consolidated financial statements of the Company have been prepared in accordance with U.S. generally accepted accounting principles (“GAAP”) and pursuant to the requirements for reporting on Form 10-Q and Articles 6 and 10 of Regulation S-X (“Regulation S-X”) under the Securities Act of 1933, as amended (the “Securities Act”). In the opinion of management, the consolidated financial statements reflect all adjustments and reclassifications, consisting soley of normal recurring accruals, that are necessary for the fair presentation of financial results as of and for the periods presented. All intercompany balances and transactions have been eliminated. The current period’s results of operations are not necessarily indicative of results that ultimately may be achieved for the year. Therefore, the unaudited financial statements and notes should be read in conjunction with the audited financial statements and notes thereto for the year ended December 31, 2019.</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As required under GAAP and Regulation S-X, the Company will generally consolidate its investment in a company that is an investment company subsidiary or a controlled operating company whose business consists of providing services to the Company. Accordingly, the Company consolidated the results of the Company’s wholly-owned subsidiaries in its consolidated financial statements. Although the Company owns more than 25% of the voting securities of HSLFI, the Company does not have sole control over significant actions of HSLFI for purposes of the 1940 Act or otherwise, and thus does not consolidate its interest.</w:t>
      </w:r>
    </w:p>
    <w:p>
      <w:pPr>
        <w:spacing w:after="0" w:line="19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Assets related to transactions that do not meet ASC Topic 860 requirements for accounting sale treatment are reflected in the Company’s Consolidated Statements of Financial Condition as investments. Those assets are owned by special purpose entities, including 2019-1 Entities, that are consolidated in the Company’s consolidated financial statements. The creditors of the special purpose entities have received security interests in such assets and such assets are not intended to be available to the creditors of the Company (or any affiliate of the Company).</w:t>
      </w:r>
    </w:p>
    <w:p>
      <w:pPr>
        <w:spacing w:after="0" w:line="1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preparing the consolidated financial statements in accordance with GAAP, management is required to make estimates and assumptions that affect the reported amounts of assets and liabilities, and disclosures of contingent assets and liabilities, as of the date of the balance sheet and income and expenses for the period. Actual results could differ from those estimates. Material estimates that are particularly susceptible to significant change in the near term relate to the valuation of investments.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 records all of its investments at fair value in accordance with relevant GAAP, which establishes a framework used to measure fair value and requires disclosures for fair value measurements. The Company has categorized its investments carried at fair value, based on the priority of the valuation technique, into a three-level fair value hierarchy as more fully described in Note 6. Fair value is a market-based measure considered from the perspective of the market participant who holds the financial instrument rather than an entity specific measure. Therefore, when market assumptions are not readily available, the Company’s own assumptions are set to reflect those that management believes market participants would use in pricing the financial instrument at the measurement date.</w:t>
      </w:r>
    </w:p>
    <w:p>
      <w:pPr>
        <w:spacing w:after="0" w:line="16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is greatest for financial instruments classified as Level 3.</w:t>
      </w:r>
    </w:p>
    <w:p>
      <w:pPr>
        <w:spacing w:after="0" w:line="1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Note 6 for additional information regarding fair value.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Company has determined that it has a single reporting segment and operating unit structure. The Company lends to and invests in portfolio companies in various technology, life science, healthcare information and services and sustainability industries. The Company separately evaluates the performance of each of its lending and investment relationships. However, because each of these debt investments and investment relationships has similar business and economic characteristics, they have been aggregated into a single lending and investment segment.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Investments are recorded at fair value. The Company’s board of directors (the “Board”) determines the fair value of the Company’s portfolio investments. The Company has the intent to hold its debt investments for the foreseeable future or until maturity or payoff.</w:t>
      </w:r>
    </w:p>
    <w:p>
      <w:pPr>
        <w:spacing w:after="0" w:line="184"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the Company otherwise does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As of March 31, 2020, there were three debt investments on non-accrual status with a cost of $12.8 million and a fair value of $9.4 million. As of December 31, 2019, there were two investments on non-accrual status with a cost of $5.7 million and a fair value of $2.0 million. For the three months ended March 31, 2020, the Company recognized, as interest income, payments of $0.03 million received from one portfolio company whose debt investment was on non-accrual status. For the three months ended March 31, 2019, the Company did not recognize any interest income from debt investments on non-accrual status.</w:t>
      </w:r>
    </w:p>
    <w:p>
      <w:pPr>
        <w:spacing w:after="0" w:line="179"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The Company receives a variety of fees from borrowers in the ordinary course of conducting its business, including advisory fees, commitment fees, amendment fees, non-utilization fees, success fees and prepayment fees. In a limited number of cases, the Company may also receive a non-refundable deposit earned upon the termination of a transaction. Debt investment origination fees, net of certain direct origination costs, are deferred and, along with unearned income, are amortized as a level-yield adjustment over the respective term of the debt investment. All other income is recognized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9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Certain debt investment agreements also require the borrower to make an ETP, that is accrued into interest receivable and taken into income over the life of the debt investment to the extent such amounts are expected to be collected. The Company will generally cease accruing the income if there is insufficient value to support the accrual or the Company does not expect the borrower to be able to pay the ETP when due. The proportion of the Company’s total investment income that resulted from the portion of ETPs not received in cash for the three months ended March 31, 2020 and 2019 was 7.4% and 8.1%, respectively.</w:t>
      </w:r>
    </w:p>
    <w:p>
      <w:pPr>
        <w:spacing w:after="0" w:line="192"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In connection with substantially all lending arrangements, the Company receives warrants to purchase shares of stock from the borrower. The warrants are recorded as assets at estimated fair value on the grant date using the Black-Scholes valuation model. The warrants are considered loan fees and are recorded as unearned income on the grant date. The unearned income is recognized as interest income over the contractual life of the related debt investment in accordance with the Company’s income recognition policy. Subsequent to debt investment origination, the fair value of the warrants is determined using the Black-Scholes valuation model. Any adjustment to fair value is recorded through earnings as net unrealized appreciation or depreciation on investments. Gains and losses from the disposition of the warrants or stock acquired from the exercise of warrants are recognized as realized gains and losses on investments.</w:t>
      </w:r>
    </w:p>
    <w:p>
      <w:pPr>
        <w:spacing w:after="0" w:line="165"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Distributions from HSLFI are evaluated at the time of distribution to determine if the distribution should be recorded as dividend income or a return of capital. Generally, the Company will not record distributions from HSLFI as dividend income unless there are sufficient accumulated tax-basis earnings and profit in HSLFI prior to distribution. Distributions that are classified as a return of capital are recorded as a reduction in the cost basis of the investment. For the three months ended March 31, 2020, HSLFI made no distributions classified as dividend income to the Company. For the three months ended March 31, 2019, HSLFI distributed $0.2 million classified as dividend income to the Company.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Realized gains or losses on the sale of investments, or upon the determination that an investment balance, or portion thereof, is not recoverable, are calculated using the specific identification method. The Company measures realized gains or losses by calculating the difference between the net proceeds from the repayment or sale and the amortized cost basis of the investment. Net change in unrealized appreciation or depreciation reflects the change in the fair values of the Company’s portfolio investments during the reporting period, including any reversal of previously recorded unrealized appreciation or depreciation when gains or losses are realized.</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Debt issuance costs are fees and other direct incremental costs incurred by the Company in obtaining debt financing from its lenders and issuing debt securities. The unamortized balance of debt issuance costs as of March 31, 2020 and December 31, 2019 was $3.1 million and $3.3 million, respectively. These amounts are amortized and included in interest expense in the consolidated statements of operations over the life of the borrowings. The accumulated amortization balances as of March 31, 2020 and December 31, 2019 were $3.3 million and $3.1 million, respectively. The amortization expense for the three months ended March 31, 2020 and 2019 was $0.2 million.</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 xml:space="preserve">As a BDC, the Company has elected to be treated as a RIC under Subchapter M of the Code and operates in a manner so as to qualify for the tax treatment applicable to RICs. In order to qualify as a RIC and to avoid the imposition of corporate-level income tax on the portion of its taxable income distributed to stockholders, among other things, the Company is required to meet certain source of income and asset diversification requirements and to timely distribute dividends out of assets legally available for distribution to its stockholders of an amount generally at least equal to 90% of its investment company taxable income, as defined by the Code and determined without regard to any deduction for dividends paid, for each tax year. The Company, among other things, has made and intends to continue to make the requisite distributions to its stockholders, which generally relieves the Company from corporate-level U.S. federal income taxes. Accordingly, no provision for federal income tax has been recorded in the financial statements. Differences between taxable income and net increase in net assets resulting from operations either can be temporary, meaning they will reverse in the future, or permanent. In accordance with Topic 946, </w:t>
      </w:r>
      <w:r>
        <w:rPr>
          <w:rFonts w:ascii="Arial" w:cs="Arial" w:eastAsia="Arial" w:hAnsi="Arial"/>
          <w:sz w:val="16"/>
          <w:szCs w:val="16"/>
          <w:i w:val="1"/>
          <w:iCs w:val="1"/>
          <w:color w:val="auto"/>
        </w:rPr>
        <w:t>Financial Services</w:t>
      </w:r>
      <w:r>
        <w:rPr>
          <w:rFonts w:ascii="Arial" w:cs="Arial" w:eastAsia="Arial" w:hAnsi="Arial"/>
          <w:sz w:val="16"/>
          <w:szCs w:val="16"/>
          <w:color w:val="auto"/>
        </w:rPr>
        <w:t>—</w:t>
      </w:r>
      <w:r>
        <w:rPr>
          <w:rFonts w:ascii="Arial" w:cs="Arial" w:eastAsia="Arial" w:hAnsi="Arial"/>
          <w:sz w:val="16"/>
          <w:szCs w:val="16"/>
          <w:i w:val="1"/>
          <w:iCs w:val="1"/>
          <w:color w:val="auto"/>
        </w:rPr>
        <w:t>Investment Companies</w:t>
      </w:r>
      <w:r>
        <w:rPr>
          <w:rFonts w:ascii="Arial" w:cs="Arial" w:eastAsia="Arial" w:hAnsi="Arial"/>
          <w:sz w:val="16"/>
          <w:szCs w:val="16"/>
          <w:color w:val="auto"/>
        </w:rPr>
        <w:t>, as amended, of the Financial Accounting Standards Board’s (“FASB’s”), Accounting Standards Codification, as amended (“ASC”), permanent tax differences, such as non-deductible excise taxes paid, are reclassified from distributions in excess of net investment income and net realized loss on investments to paid-in-capital at the end of each fiscal year. These permanent book-to-tax differences are reclassified on the consolidated statements of changes in net assets to reflect their tax character but have no impact on total net assets. For the year ended December 31, 2019, the Company reclassified $0.2 million to paid-in capital from distributions in excess of net investment income, which related to excise taxes payable.</w:t>
      </w:r>
    </w:p>
    <w:p>
      <w:pPr>
        <w:spacing w:after="0" w:line="174"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distributions into the next tax year and incur a 4% U.S. federal excise tax on such income, as required. To the extent that the Company determines that its estimated current year annual taxable income will be in excess of estimated current year distributions, the Company accrues excise tax, if any, on estimated excess taxable income as taxable income is earned. For the three months ended March 31, 2020 and 2019, there was no U.S. federal excise tax recorded.</w:t>
      </w:r>
    </w:p>
    <w:p>
      <w:pPr>
        <w:spacing w:after="0" w:line="192"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as modified by ASC Topic 946. Tax benefits of positions not deemed to meet the more-likely-than-not threshold, or uncertain tax positions, would be recorded as a tax expense in the current year. It is the Company’s policy to recognize accrued interest and penalties related to uncertain tax benefits in income tax expense. The Company had no material uncertain tax positions at March 31, 2020 and December 31, 2019. The Company’s income tax returns for the 2018, 2017 and 2016 tax years remain subject to examination by U.S. federal and state tax authorities.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Distributions to common stockholders are recorded on the declaration date. The amount to be paid out as distributions is determined by the Board. Net realized capital gains, if any, may be distributed, although the Company may decide to retain such net realized gains for investment.</w:t>
      </w:r>
    </w:p>
    <w:p>
      <w:pPr>
        <w:spacing w:after="0" w:line="184"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The Company has adopted a dividend reinvestment plan that provides for reinvestment of cash distributions on behalf of its stockholders, unless a stockholder elects to receive cash. As a result, if the Board declares a cash distribution, then stockholders who have not “opted out” of the dividend reinvestment plan will have their cash distributions automatically reinvested in additional shares of the Company’s common stock, rather than receiving the cash distribution. The Company may issue new shares or purchase shares in the open market to fulfill its obligations under the plan.</w:t>
      </w:r>
    </w:p>
    <w:p>
      <w:pPr>
        <w:spacing w:after="0" w:line="16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On March 26, 2019, the Company completed a follow-on public offering of 2,000,000 shares of its common stock at a public offering price of $12.14 per share, for total net proceeds to the Company of $23.1 million, after deducting underwriting commission and discounts and other offering expenses</w:t>
      </w:r>
    </w:p>
    <w:p>
      <w:pPr>
        <w:spacing w:after="0" w:line="184"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On August 2, 2019 the Company entered into an At-The-Market (“ATM”) sales agreement (the “Equity Distribution Agreement”), with Goldman Sachs &amp; Co. LLC and B. Riley FBR, Inc. (each a “Sales Agent” and, collectively, the “Sales Agents”). The Equity Distribution Agreement provides that Horizon may offer and sell its shares from time to time through the Sales Agents up to $50.0 million worth of its common stock, in amounts and at times to be determined by the Company. Sales of the Company’s common stock, if any, may be made in negotiated transactions or transactions that are deemed to be “at-the-market,” as defined in Rule 415 under the Securities Act, including sales made directly on the NASDAQ or similar securities exchange or sales made to or through a market maker other than on an exchange, at prices related to the prevailing market prices or at negotiated prices.</w:t>
      </w:r>
    </w:p>
    <w:p>
      <w:pPr>
        <w:spacing w:after="0" w:line="17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three months ended March 31, 2020, the Company sold 1,285,410 shares of common stock under the Equity Distribution Agreement. For the same period, the Company received total accumulated net proceeds of approximately $16.2 million, including $0.3 million of offering expenses, from these sales.</w:t>
      </w:r>
    </w:p>
    <w:p>
      <w:pPr>
        <w:spacing w:after="0" w:line="184"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The Company generally uses net proceeds from these offerings to make investments, to pay down liabilities and for general corporate purposes. As of March 31, 2020, shares representing approximately $9.0 million of its common stock remain available for issuance and sale under the Equity Distribution Agreement. See “Note 12 – Subsequent Events”.</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On April 24, 2020, the Board extended a previously authorized stock repurchase program which allows the Company to repurchase up to $5.0 million of its common stock at prices below the Company’s net asset value per share as reported in its most recent consolidated financial statements. Under the repurchase program, the Company may, but is not obligated to, repurchase shares of its outstanding common stock in the open market or in privately negotiated transactions from time to time. Any repurchases by the Company will comply with the requirements of Rule 10b-18 under the Securities Exchange Act of 1934, as amended (the “Exchange Act”), and any applicable requirements of the 1940 Act. Unless extended by the Board, the repurchase program will terminate on the earlier of June 30, 2021 or the repurchase of $5.0 million of the Company’s common stock. During the three months ended March 31, 2020 and 2019, the Company did not make any repurchases of its common stock. From the inception of the stock repurchase program through March 31, 2020, the Company repurchased 167,465 shares of its common stock at an average price of $11.22 on the open market at a total cost of $1.9 million.</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225"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 xml:space="preserve">Assets related to transactions that do not meet the requirements under ASC Topic 860, </w:t>
      </w:r>
      <w:r>
        <w:rPr>
          <w:rFonts w:ascii="Arial" w:cs="Arial" w:eastAsia="Arial" w:hAnsi="Arial"/>
          <w:sz w:val="17"/>
          <w:szCs w:val="17"/>
          <w:i w:val="1"/>
          <w:iCs w:val="1"/>
          <w:color w:val="auto"/>
        </w:rPr>
        <w:t>Transfers and Servicing</w:t>
      </w:r>
      <w:r>
        <w:rPr>
          <w:rFonts w:ascii="Arial" w:cs="Arial" w:eastAsia="Arial" w:hAnsi="Arial"/>
          <w:sz w:val="17"/>
          <w:szCs w:val="17"/>
          <w:color w:val="auto"/>
        </w:rPr>
        <w:t xml:space="preserve"> for sale treatment under GAAP are reflected in the Company’s consolidated statements of assets and liabilities as investments. Those assets are owned by special purpose entities that are consolidated in the Company’s financial statements. The creditors of the special purpose entities have received security interests in such assets and such assets are not intended to be available to the creditors of the Company (or any other affiliate of the Company).</w:t>
      </w:r>
    </w:p>
    <w:p>
      <w:pPr>
        <w:spacing w:after="0" w:line="176"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Transfers of financial assets are accounted for as sales when control over the assets has been surrendered. Control over transferred assets is deemed to be surrendered when (1) the assets have been isolated from the Company — put presumptively beyond the reach of the transferor and its creditors, even in bankruptcy or other receivership, (2) the transferee obtains the right (free of conditions that constrain it from taking advantage of that right) to pledge or exchange the transferred assets and (3) the transferor does not maintain effective control over the transferred assets through either</w:t>
      </w:r>
    </w:p>
    <w:p>
      <w:pPr>
        <w:spacing w:after="0" w:line="2" w:lineRule="exact"/>
        <w:rPr>
          <w:sz w:val="20"/>
          <w:szCs w:val="20"/>
          <w:color w:val="auto"/>
        </w:rPr>
      </w:pPr>
    </w:p>
    <w:p>
      <w:pPr>
        <w:ind w:left="60" w:right="79" w:hanging="10"/>
        <w:spacing w:after="0" w:line="290" w:lineRule="auto"/>
        <w:tabs>
          <w:tab w:leader="none" w:pos="307" w:val="left"/>
        </w:tabs>
        <w:numPr>
          <w:ilvl w:val="0"/>
          <w:numId w:val="6"/>
        </w:numPr>
        <w:rPr>
          <w:rFonts w:ascii="Arial" w:cs="Arial" w:eastAsia="Arial" w:hAnsi="Arial"/>
          <w:sz w:val="17"/>
          <w:szCs w:val="17"/>
          <w:color w:val="auto"/>
        </w:rPr>
      </w:pPr>
      <w:r>
        <w:rPr>
          <w:rFonts w:ascii="Arial" w:cs="Arial" w:eastAsia="Arial" w:hAnsi="Arial"/>
          <w:sz w:val="17"/>
          <w:szCs w:val="17"/>
          <w:color w:val="auto"/>
        </w:rPr>
        <w:t>an agreement that both entitles and obligates the transferor to repurchase or redeem the assets before maturity or (b) the ability to unilaterally cause the holder to return specific assets, other than through a cleanup call.</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Related party transactions</w:t>
      </w:r>
    </w:p>
    <w:p>
      <w:pPr>
        <w:spacing w:after="0" w:line="2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225"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At a special meeting of the stockholders on October 30, 2018, the stockholders approved a new Investment Management Agreement which became effective on March 7, 2019. The new Investment Management Agreement replaced the previously effective Amended and Restated Investment Management Agreement dated as of October 28, 2010 and amended effective July 1, 2014. Under the terms of the Investment Management Agreement, the Advisor determines the composition of the Company’s investment portfolio, the nature and timing of the changes to the investment portfolio and the manner of implementing such changes; identifies, evaluates and negotiates the structure of the investments the Company makes (including performing due diligence on the Company’s prospective portfolio companies); and closes, monitors and administers the investments the Company makes, including the exercise of any voting or consent rights.</w:t>
      </w:r>
    </w:p>
    <w:p>
      <w:pPr>
        <w:spacing w:after="0" w:line="165"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The Advisor’s services under the Investment Management Agreement are not exclusive to the Company, and the Advisor is free to furnish similar services to other entities so long as its services to the Company are not impaired. The Advisor is a registered investment adviser with the SEC. The Advisor receives fees for providing services to the Company under the Investment Management Agreement, consisting of two components, a base management fee and an incentive fee.</w:t>
      </w:r>
    </w:p>
    <w:p>
      <w:pPr>
        <w:spacing w:after="0" w:line="157"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Through October 30, 2018, the base management fee was calculated at an annual rate of 2.00% of the Company’s gross assets (less cash and cash equivalents) including any assets acquired with the proceeds of leverage. From and after October 31, 2018, the first date on which the reduced asset coverage requirements in Section 61(a)(2) of the 1940 Act applied to the Company, the base management fee was and will be calculated at an annual rate of 2.00% of the Company’s gross assets (less cash and cash equivalents) including any assets acquired with the proceeds of leverage; provided, that, to the extent the Company’s gross assets (less cash and cash equivalents) exceed $250 million, the base management fee on the amount of such excess over $250 million will be calculated at an annual rate of 1.60% of the Company’s gross assets (less cash and cash equivalents) including any assets acquired with the proceeds of leverage. The base management fee is payable monthly in arrears and is prorated for any partial month.</w:t>
      </w:r>
    </w:p>
    <w:p>
      <w:pPr>
        <w:spacing w:after="0" w:line="166"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The base management fee payable at March 31, 2020 and December 31, 2019 was $0.5 million. The base management fee expense was $1.6 million and $1.3 million for the three months ended March 31, 2020 and 2019,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incentive fee has two parts, as follows:</w:t>
      </w:r>
    </w:p>
    <w:p>
      <w:pPr>
        <w:spacing w:after="0" w:line="225"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The first part, which is subject to the Incentive Fee Cap and Deferral Mechanism, as defined below, is calculated and payable quarterly in arrears based on the Company’s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expenses for the quarter (including the base management fee, expenses payable under the Administration Agreement (as defined below), and any interest expense and any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the Company has not yet received in cash. The incentive fee with respect to the Pre-Incentive Fee Net Investment Income is 20.00% of the amount, if any, by which the Pre-Incentive Fee Net Investment Income for the immediately preceding calendar quarter exceeds a hurdle rate of 1.75% (which is 7.00% annualized) of the Company’s net assets at the end of the immediately preceding calendar quarter, subject to a “catch-up” provision measured as of the end of each calendar quarter. Under this provision, in any calendar quarter, the Advisor receives no incentive fee until the Pre-Incentive Fee Net Investment Income equals the hurdle rate of 1.75%, but then receives, as a “catch-up,” 100.00% of the Pre-Incentive Fee Net Investment Income with respect to that portion of such Pre-Incentive Fee Net Investment Income, if any, that exceeds the hurdle rate but is less than 2.1875% quarterly (which is 8.75% annualized). The effect of this “catch-up” provision is that, if Pre-Incentive Fee Net Investment Income exceeds 2.1875% in any calendar quarter, the Advisor will receive 20.00% of the Pre-Incentive Fee Net Investment Income as if the hurdle rate did not apply.</w:t>
      </w:r>
    </w:p>
    <w:p>
      <w:pPr>
        <w:spacing w:after="0" w:line="169"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Pre-Incentive Fee Net Investment Income does not include any realized capital gains, realized capital losses or unrealized capital appreciation or depreciation. Because of the structure of the incentive fee, it is possible that the Company may pay an incentive fee in a quarter in which the Company incurs a loss. For example, if the Company receives Pre-Incentive Fee Net Investment Income in excess of the quarterly minimum hurdle rate, the Company will pay the applicable incentive fee up to the Incentive Fee Cap, defined below, even if the Company has incurred a loss in that quarter due to realized and unrealized capital losses. The Company’s net investment income used to calculate this part of the incentive fee is also included in the amount of the Company’s gross assets used to calculate the 2.00% base management fee. These calculations are appropriately prorated for any period of less than three months and adjusted for any share issuances or repurchases during the current quarter.</w:t>
      </w:r>
    </w:p>
    <w:p>
      <w:pPr>
        <w:spacing w:after="0" w:line="181"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The incentive fee on Pre-Incentive Fee Net Investment Income is subject to a fee cap and deferral mechanism which is determined based upon a look-back period of up to three years and is expensed when incurred. For this purpose, the look-back period for the incentive fee based on Pre-Incentive Fee Net Investment Income (the “Incentive Fee Look-back Period”) includes the relevant calendar quarter and the 11 preceding full calendar quarters. Each quarterly incentive fee payable on Pre-Incentive Fee Net Investment Income is subject to a cap (the “Incentive Fee Cap”) and a deferral mechanism through which the Advisor may recoup a portion of such deferred incentive fees (collectively, the “Incentive Fee Cap and Deferral Mechanism”). The Incentive Fee Cap is equal to (a) 20.00% of Cumulative Pre-Incentive Fee Net Return (as defined below) during the Incentive Fee Look-back Period less (b) cumulative incentive fees of any kind paid to the Advisor during the Incentive Fee Look-back Period. To the extent the Incentive Fee Cap is zero or a negative value in any calendar quarter, the Company will not pay an incentive fee on Pre-Incentive Fee Net Investment Income to the Advisor in that quarter. To the extent that the payment of incentive fees on Pre-Incentive Fee Net Investment Income is limited by the Incentive Fee Cap, the payment of such fees will be deferred and paid in subsequent calendar quarters up to three years after their date of deferment, subject to certain limitations, which are set forth in the Investment Management Agreement. The Company only pays incentive fees on Pre-Incentive Fee Net Investment Income to the extent allowed by the Incentive Fee Cap and Deferral Mechanism. “Cumulative Pre-Incentive Fee Net Return” during any Incentive Fee Look-back Period means the sum of (a) Pre-Incentive Fee Net Investment Income and the base management fee for each calendar quarter during the Incentive Fee Look-back Period and (b) the sum of cumulative realized capital gains and losses,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cumulative unrealized capital appreciation and cumulative unrealized capital depreciation during the applicable Incentive Fee Look-back Period.</w:t>
      </w:r>
    </w:p>
    <w:p>
      <w:pPr>
        <w:spacing w:after="0" w:line="170"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The second part of the incentive fee is determined and payable in arrears as of the end of each calendar year (or, upon termination of the Investment Management Agreement, as of the termination date), and equals 20.00% of the Company’s realized capital gains, if any, on a cumulative basis from the date of the election to be a BDC through the end of each calendar year, computed net of all realized capital losses and unrealized capital depreciation on a cumulative basis through the end of such year, less all previous amounts paid in respect of the capital gain incentive fee. However, in accordance with GAAP, the Company is required to include the aggregate unrealized capital appreciation on investments in the calculation and accrue a capital gain incentive fee on a quarterly basis, as if such unrealized capital appreciation were realized, even though such unrealized capital appreciation is not permitted to be considered in calculating the fee actually payable under the Investment Management Agreement.</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March 5, 2019, the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 During the three months ended March 31, 2019, the Advisor waived performance based incentive fees of $1.1 million which the Advisor would have otherwise been paid by the Company.</w:t>
      </w:r>
    </w:p>
    <w:p>
      <w:pPr>
        <w:spacing w:after="0" w:line="188"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net performance based incentive fee expense was $1.1 million and $0.8 million for the three months ended March 31, 2020 and 2019, respectively. The performance based incentive fee payable as of March 31, 2020 and December 31, 2019 was $1.1 million and $1.6 million, respectively. The entire incentive fee payable as of March 31, 2020 and December 31, 2019 represented part one of the incentive fee.</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Company entered into an administration agreement (the “Administration Agreement”) with the Advisor to provide administrative services to the Company. For providing these services, facilities and personnel, the Company reimburses the Advisor for the Company’s allocable portion of overhead and other expenses incurred by the Advisor in performing its obligations under the Administration Agreement, including rent, the fees and expenses associated with performing compliance functions and the Company’s allocable portion of the costs of compensation and related expenses of the Company’s Chief Financial Officer and Chief Compliance Officer and their respective staffs. The administrative fee expense was $0.3 million and $0.2 million for the three months ended March 31, 2020 and 2019, respectively.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Investments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the Company’s investments as of March 31, 2020 and December 31,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5"/>
          </w:tcPr>
          <w:p>
            <w:pPr>
              <w:ind w:left="280"/>
              <w:spacing w:after="0"/>
              <w:rPr>
                <w:sz w:val="20"/>
                <w:szCs w:val="20"/>
                <w:color w:val="auto"/>
              </w:rPr>
            </w:pPr>
            <w:r>
              <w:rPr>
                <w:rFonts w:ascii="Arial" w:cs="Arial" w:eastAsia="Arial" w:hAnsi="Arial"/>
                <w:sz w:val="14"/>
                <w:szCs w:val="14"/>
                <w:b w:val="1"/>
                <w:bCs w:val="1"/>
                <w:color w:val="auto"/>
              </w:rPr>
              <w:t>March 31, 2020</w:t>
            </w:r>
          </w:p>
        </w:tc>
        <w:tc>
          <w:tcPr>
            <w:tcW w:w="140" w:type="dxa"/>
            <w:vAlign w:val="bottom"/>
          </w:tcPr>
          <w:p>
            <w:pPr>
              <w:spacing w:after="0"/>
              <w:rPr>
                <w:sz w:val="14"/>
                <w:szCs w:val="14"/>
                <w:color w:val="auto"/>
              </w:rPr>
            </w:pPr>
          </w:p>
        </w:tc>
        <w:tc>
          <w:tcPr>
            <w:tcW w:w="1700" w:type="dxa"/>
            <w:vAlign w:val="bottom"/>
            <w:gridSpan w:val="5"/>
          </w:tcPr>
          <w:p>
            <w:pPr>
              <w:ind w:left="2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Cost</w:t>
            </w: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2"/>
              </w:rPr>
              <w:t>Fair Value</w:t>
            </w:r>
          </w:p>
        </w:tc>
        <w:tc>
          <w:tcPr>
            <w:tcW w:w="140" w:type="dxa"/>
            <w:vAlign w:val="bottom"/>
            <w:tcBorders>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Cost</w:t>
            </w: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5"/>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Debt</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316,910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307,557</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292,054</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288,355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Warrants</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w:t>
            </w:r>
          </w:p>
        </w:tc>
        <w:tc>
          <w:tcPr>
            <w:tcW w:w="2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Equity interest in HSLFI</w:t>
            </w:r>
          </w:p>
        </w:tc>
        <w:tc>
          <w:tcPr>
            <w:tcW w:w="20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16,684</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investments</w:t>
            </w:r>
          </w:p>
        </w:tc>
        <w:tc>
          <w:tcPr>
            <w:tcW w:w="2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342,268</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334,506</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318,831</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000" w:type="dxa"/>
            <w:vAlign w:val="bottom"/>
            <w:vMerge w:val="restart"/>
          </w:tcPr>
          <w:p>
            <w:pPr>
              <w:jc w:val="right"/>
              <w:ind w:right="490"/>
              <w:spacing w:after="0"/>
              <w:rPr>
                <w:sz w:val="20"/>
                <w:szCs w:val="20"/>
                <w:color w:val="auto"/>
              </w:rPr>
            </w:pPr>
            <w:r>
              <w:rPr>
                <w:rFonts w:ascii="Arial" w:cs="Arial" w:eastAsia="Arial" w:hAnsi="Arial"/>
                <w:sz w:val="18"/>
                <w:szCs w:val="18"/>
                <w:color w:val="auto"/>
              </w:rPr>
              <w:t>25</w:t>
            </w: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140" w:type="dxa"/>
            <w:vAlign w:val="bottom"/>
          </w:tcPr>
          <w:p>
            <w:pPr>
              <w:spacing w:after="0"/>
              <w:rPr>
                <w:sz w:val="24"/>
                <w:szCs w:val="24"/>
                <w:color w:val="auto"/>
              </w:rPr>
            </w:pPr>
          </w:p>
        </w:tc>
        <w:tc>
          <w:tcPr>
            <w:tcW w:w="20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1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shows the Company’s investments by industry sector as of March 31, 2020 and December 31, 2019:</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572"/>
              <w:spacing w:after="0"/>
              <w:rPr>
                <w:sz w:val="20"/>
                <w:szCs w:val="20"/>
                <w:color w:val="auto"/>
              </w:rPr>
            </w:pPr>
            <w:r>
              <w:rPr>
                <w:rFonts w:ascii="Arial" w:cs="Arial" w:eastAsia="Arial" w:hAnsi="Arial"/>
                <w:sz w:val="14"/>
                <w:szCs w:val="14"/>
                <w:b w:val="1"/>
                <w:bCs w:val="1"/>
                <w:color w:val="auto"/>
              </w:rPr>
              <w:t>March 31, 2020</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5"/>
          </w:tcPr>
          <w:p>
            <w:pPr>
              <w:jc w:val="right"/>
              <w:ind w:right="471"/>
              <w:spacing w:after="0"/>
              <w:rPr>
                <w:sz w:val="20"/>
                <w:szCs w:val="20"/>
                <w:color w:val="auto"/>
              </w:rPr>
            </w:pPr>
            <w:r>
              <w:rPr>
                <w:rFonts w:ascii="Arial" w:cs="Arial" w:eastAsia="Arial" w:hAnsi="Arial"/>
                <w:sz w:val="14"/>
                <w:szCs w:val="14"/>
                <w:b w:val="1"/>
                <w:bCs w:val="1"/>
                <w:color w:val="auto"/>
              </w:rPr>
              <w:t>December 31, 2019</w:t>
            </w:r>
          </w:p>
        </w:tc>
      </w:tr>
      <w:tr>
        <w:trPr>
          <w:trHeight w:val="142"/>
        </w:trPr>
        <w:tc>
          <w:tcPr>
            <w:tcW w:w="3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Cost</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Fair Value</w:t>
            </w:r>
          </w:p>
        </w:tc>
        <w:tc>
          <w:tcPr>
            <w:tcW w:w="1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Cost</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Fair Value</w:t>
            </w:r>
          </w:p>
        </w:tc>
      </w:tr>
      <w:tr>
        <w:trPr>
          <w:trHeight w:val="142"/>
        </w:trPr>
        <w:tc>
          <w:tcPr>
            <w:tcW w:w="3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Biotechnology</w:t>
            </w:r>
          </w:p>
        </w:tc>
        <w:tc>
          <w:tcPr>
            <w:tcW w:w="10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62,106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57,609</w:t>
            </w:r>
          </w:p>
        </w:tc>
        <w:tc>
          <w:tcPr>
            <w:tcW w:w="54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42,886</w:t>
            </w:r>
          </w:p>
        </w:tc>
        <w:tc>
          <w:tcPr>
            <w:tcW w:w="180" w:type="dxa"/>
            <w:vAlign w:val="bottom"/>
          </w:tcPr>
          <w:p>
            <w:pPr>
              <w:spacing w:after="0"/>
              <w:rPr>
                <w:sz w:val="18"/>
                <w:szCs w:val="18"/>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42,265</w:t>
            </w: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Drug Delivery</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Medical Device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78,531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78,429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60,660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60,807</w:t>
            </w: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Communications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2,014</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1,734</w:t>
            </w: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Consumer-Related</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44,585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44,185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44,196</w:t>
            </w: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Data Storage</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24,972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25,170</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25,012</w:t>
            </w: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Internet and Media</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16,181</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22,992</w:t>
            </w: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Materials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8,299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8,717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8,491</w:t>
            </w: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Power Management</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11,745</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11,813</w:t>
            </w: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Semiconductors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Software</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48,174</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59,530</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Sustainability</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Energy Efficiency</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Healthcare Information and Services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Diagnostics</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420" w:type="dxa"/>
            <w:vAlign w:val="bottom"/>
          </w:tcPr>
          <w:p>
            <w:pPr>
              <w:ind w:left="100"/>
              <w:spacing w:after="0"/>
              <w:rPr>
                <w:sz w:val="20"/>
                <w:szCs w:val="20"/>
                <w:color w:val="auto"/>
              </w:rPr>
            </w:pPr>
            <w:r>
              <w:rPr>
                <w:rFonts w:ascii="Arial" w:cs="Arial" w:eastAsia="Arial" w:hAnsi="Arial"/>
                <w:sz w:val="18"/>
                <w:szCs w:val="18"/>
                <w:color w:val="auto"/>
              </w:rPr>
              <w:t>Other</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9,942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9,859</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9,931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9,920</w:t>
            </w: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Software</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14,190</w:t>
            </w: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14,201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14,438</w:t>
            </w: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Investment funds</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3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HSLFI</w:t>
            </w:r>
          </w:p>
        </w:tc>
        <w:tc>
          <w:tcPr>
            <w:tcW w:w="8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16,944</w:t>
            </w:r>
          </w:p>
        </w:tc>
        <w:tc>
          <w:tcPr>
            <w:tcW w:w="1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16,650</w:t>
            </w:r>
          </w:p>
        </w:tc>
      </w:tr>
      <w:tr>
        <w:trPr>
          <w:trHeight w:val="209"/>
        </w:trPr>
        <w:tc>
          <w:tcPr>
            <w:tcW w:w="3420" w:type="dxa"/>
            <w:vAlign w:val="bottom"/>
          </w:tcPr>
          <w:p>
            <w:pPr>
              <w:spacing w:after="0"/>
              <w:rPr>
                <w:sz w:val="20"/>
                <w:szCs w:val="20"/>
                <w:color w:val="auto"/>
              </w:rPr>
            </w:pPr>
            <w:r>
              <w:rPr>
                <w:rFonts w:ascii="Arial" w:cs="Arial" w:eastAsia="Arial" w:hAnsi="Arial"/>
                <w:sz w:val="18"/>
                <w:szCs w:val="18"/>
                <w:color w:val="auto"/>
              </w:rPr>
              <w:t>Total investments</w:t>
            </w:r>
          </w:p>
        </w:tc>
        <w:tc>
          <w:tcPr>
            <w:tcW w:w="8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342,268</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334,506</w:t>
            </w:r>
          </w:p>
        </w:tc>
        <w:tc>
          <w:tcPr>
            <w:tcW w:w="180" w:type="dxa"/>
            <w:vAlign w:val="bottom"/>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318,831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319,551</w:t>
            </w:r>
          </w:p>
        </w:tc>
      </w:tr>
      <w:tr>
        <w:trPr>
          <w:trHeight w:val="20"/>
        </w:trPr>
        <w:tc>
          <w:tcPr>
            <w:tcW w:w="3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Horizon Secured Loan Fund I LLC</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On June 1, 2018, the Company and Arena formed a joint venture, HSLFI, to make investments, either directly or indirectly through subsidiaries, primarily in secured loans to development-stage companies in the technology, life science, healthcare information and services and sustainability industries. HSLFI was formed as a Delaware limited liability company and is not consolidated by either the Company or Arena for financial reporting purposes. Investments held by HSLFI are measured at fair value using the same valuation methodology as described in Note 6. As of March 31, 2020 and December 31, 2019, HSLFI had total assets of $36.5 million and $48.3 million, respectively. HSLFI’s portfolio consisted of debt investments in seven and eight portfolio companies as of March 31, 2020 and December 31, 2019, respectively. As of March 31, 2020 and December 31, 2019, the largest investment in a single portfolio company in the HSLFI’s portfolio in aggregate principal amount was $11.3 million and the five largest investments in portfolio companies in the HSLFI totaled $30.3 million. As of March 31, 2020 and December 31, 2019, HSLFI had no investments on non-accrual status. HSLFI invests in portfolio companies in the same industries in which the Company may directly invest.</w:t>
      </w:r>
    </w:p>
    <w:p>
      <w:pPr>
        <w:spacing w:after="0" w:line="17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invests cash or securities in portfolio companies in HSLFI in exchange for limited liability company equity interests in HSLFI. As of March 31, 2020 and December 31, 2019, the Company and Arena each owned 50.0% of the equity interests of HSLFI. The Company had an original commitment to fund $25.0 million of equity interests in HSLFI. As of March 31, 2020 and December 31, 2019, $9.8 million was unfunded. The Company’s investment in HSLFI consisted of an equity contribution of $15.2 million as of March 31, 2020 and December 31, 2019. During the three months ended March 31, 2020, there were no distributions from HSLFI. During the three months ended March 31, 2019, HSLFI distributed $0.5 million.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and Arena each appointed two members to HSLFI’s four-person board of managers. All material decisions with respect to HSLFI, including those involving its investment portfolio, require unanimous approval of a quorum of the board of managers. Quorum is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pacing w:after="0" w:line="19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Horizon Funding I, LLC (“HFI”) was formed as a Delaware limited liability company on May 9, 2018, with HSLFI as its sole member. HFI is a special purpose bankruptcy-remote entity and is a separate legal entity from HSLFI. Any assets conveyed to HFI are not available to creditors of HSLFI or any other entity other than HFI’s lenders.</w:t>
      </w:r>
    </w:p>
    <w:p>
      <w:pPr>
        <w:spacing w:after="0" w:line="16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In addition, on June 1, 2018, HSLFI entered into a sale and servicing agreement with HFI, as Issuer, and the Company, as Servicer, pursuant to which HSLFI will sell or contribute to HFI certain secured loans made to certain portfolio companies. HFI entered into a Note Funding Agreement (the “NYL Facility”) with several entities owned or affiliated with New York Life Insurance Company (“Noteholders”) for an aggregate purchase price of up to $100.0 million, with an accordion feature of up to $200.0 million at the mutual discretion and agreement of HSLFI and the Noteholders. The Note Funding Agreement’s investment period has ended and the loan thereunder is in rapid amortization. Any notes issued by HFI will be collateralized by all investments held by HFI and permit an advance rate of up to 67% of the aggregate principal amount of eligible debt investments. The interest rate on the notes issued under the NYL Facility is based on the three year USD mid-market swap rate plus a margin of between 2.75% and 3.25% depending on the rating of such notes at the time of issuance. There were $2.6 million in advances made by the Noteholders as of March 31, 2020 at an interest rate of 4.98%. There were $15.0 million in advances made by the Noteholders as of December 31, 2019 at an interest rate of 4.98%.</w:t>
      </w:r>
    </w:p>
    <w:p>
      <w:pPr>
        <w:spacing w:after="0" w:line="17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April 21, 2020, the Company purchased all of the limited liability company interests of Arena in HSLFI, including, without limitation, undistributed amounts owed to Arena and interest accrued and unpaid on the debt investments of HSLFI through the date of purchase, for $17.1 million. In addition, Arena will receive 50% of the warrants held by HSLFI or HFI at closing. HSLFI is now wholly-owned by the Company and in future reporting periods, the assets of HSLFI and HFI will be consolidated with the assets of the Company.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HSLFI’s investments as of March 31, 2020:</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680" w:type="dxa"/>
            <w:vAlign w:val="bottom"/>
            <w:gridSpan w:val="2"/>
          </w:tcPr>
          <w:p>
            <w:pPr>
              <w:ind w:left="120"/>
              <w:spacing w:after="0"/>
              <w:rPr>
                <w:sz w:val="20"/>
                <w:szCs w:val="20"/>
                <w:color w:val="auto"/>
              </w:rPr>
            </w:pPr>
            <w:r>
              <w:rPr>
                <w:rFonts w:ascii="Arial" w:cs="Arial" w:eastAsia="Arial" w:hAnsi="Arial"/>
                <w:sz w:val="13"/>
                <w:szCs w:val="13"/>
                <w:b w:val="1"/>
                <w:bCs w:val="1"/>
                <w:color w:val="auto"/>
                <w:w w:val="98"/>
              </w:rPr>
              <w:t>Principal</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37"/>
              <w:spacing w:after="0"/>
              <w:rPr>
                <w:sz w:val="20"/>
                <w:szCs w:val="20"/>
                <w:color w:val="auto"/>
              </w:rPr>
            </w:pPr>
            <w:r>
              <w:rPr>
                <w:rFonts w:ascii="Arial" w:cs="Arial" w:eastAsia="Arial" w:hAnsi="Arial"/>
                <w:sz w:val="13"/>
                <w:szCs w:val="13"/>
                <w:b w:val="1"/>
                <w:bCs w:val="1"/>
                <w:color w:val="auto"/>
                <w:w w:val="93"/>
              </w:rPr>
              <w:t>Cost of</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77"/>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3"/>
        </w:trPr>
        <w:tc>
          <w:tcPr>
            <w:tcW w:w="3460" w:type="dxa"/>
            <w:vAlign w:val="bottom"/>
            <w:gridSpan w:val="3"/>
          </w:tcPr>
          <w:p>
            <w:pPr>
              <w:ind w:left="20"/>
              <w:spacing w:after="0" w:line="154" w:lineRule="exact"/>
              <w:rPr>
                <w:sz w:val="20"/>
                <w:szCs w:val="20"/>
                <w:color w:val="auto"/>
              </w:rPr>
            </w:pPr>
            <w:r>
              <w:rPr>
                <w:rFonts w:ascii="Arial" w:cs="Arial" w:eastAsia="Arial" w:hAnsi="Arial"/>
                <w:sz w:val="12"/>
                <w:szCs w:val="12"/>
                <w:b w:val="1"/>
                <w:bCs w:val="1"/>
                <w:color w:val="auto"/>
              </w:rPr>
              <w:t xml:space="preserve">Portfolio Company </w:t>
            </w:r>
            <w:r>
              <w:rPr>
                <w:rFonts w:ascii="Arial" w:cs="Arial" w:eastAsia="Arial" w:hAnsi="Arial"/>
                <w:sz w:val="17"/>
                <w:szCs w:val="17"/>
                <w:b w:val="1"/>
                <w:bCs w:val="1"/>
                <w:color w:val="auto"/>
                <w:vertAlign w:val="superscript"/>
              </w:rPr>
              <w:t>(1)</w:t>
            </w:r>
          </w:p>
        </w:tc>
        <w:tc>
          <w:tcPr>
            <w:tcW w:w="1020" w:type="dxa"/>
            <w:vAlign w:val="bottom"/>
          </w:tcPr>
          <w:p>
            <w:pPr>
              <w:ind w:left="360"/>
              <w:spacing w:after="0"/>
              <w:rPr>
                <w:sz w:val="20"/>
                <w:szCs w:val="20"/>
                <w:color w:val="auto"/>
              </w:rPr>
            </w:pPr>
            <w:r>
              <w:rPr>
                <w:rFonts w:ascii="Arial" w:cs="Arial" w:eastAsia="Arial" w:hAnsi="Arial"/>
                <w:sz w:val="13"/>
                <w:szCs w:val="13"/>
                <w:b w:val="1"/>
                <w:bCs w:val="1"/>
                <w:color w:val="auto"/>
              </w:rPr>
              <w:t>Sector</w:t>
            </w:r>
          </w:p>
        </w:tc>
        <w:tc>
          <w:tcPr>
            <w:tcW w:w="2300" w:type="dxa"/>
            <w:vAlign w:val="bottom"/>
          </w:tcPr>
          <w:p>
            <w:pPr>
              <w:ind w:left="480"/>
              <w:spacing w:after="0" w:line="154" w:lineRule="exact"/>
              <w:rPr>
                <w:sz w:val="20"/>
                <w:szCs w:val="20"/>
                <w:color w:val="auto"/>
              </w:rPr>
            </w:pPr>
            <w:r>
              <w:rPr>
                <w:rFonts w:ascii="Arial" w:cs="Arial" w:eastAsia="Arial" w:hAnsi="Arial"/>
                <w:sz w:val="12"/>
                <w:szCs w:val="12"/>
                <w:b w:val="1"/>
                <w:bCs w:val="1"/>
                <w:color w:val="auto"/>
              </w:rPr>
              <w:t xml:space="preserve">Type of Investment </w:t>
            </w:r>
            <w:r>
              <w:rPr>
                <w:rFonts w:ascii="Arial" w:cs="Arial" w:eastAsia="Arial" w:hAnsi="Arial"/>
                <w:sz w:val="17"/>
                <w:szCs w:val="17"/>
                <w:b w:val="1"/>
                <w:bCs w:val="1"/>
                <w:color w:val="auto"/>
                <w:vertAlign w:val="superscript"/>
              </w:rPr>
              <w:t>(2)(3)(4)</w:t>
            </w:r>
          </w:p>
        </w:tc>
        <w:tc>
          <w:tcPr>
            <w:tcW w:w="68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840" w:type="dxa"/>
            <w:vAlign w:val="bottom"/>
            <w:gridSpan w:val="3"/>
          </w:tcPr>
          <w:p>
            <w:pPr>
              <w:ind w:left="80"/>
              <w:spacing w:after="0" w:line="154" w:lineRule="exact"/>
              <w:rPr>
                <w:sz w:val="20"/>
                <w:szCs w:val="20"/>
                <w:color w:val="auto"/>
              </w:rPr>
            </w:pPr>
            <w:r>
              <w:rPr>
                <w:rFonts w:ascii="Arial" w:cs="Arial" w:eastAsia="Arial" w:hAnsi="Arial"/>
                <w:sz w:val="12"/>
                <w:szCs w:val="12"/>
                <w:b w:val="1"/>
                <w:bCs w:val="1"/>
                <w:color w:val="auto"/>
                <w:w w:val="88"/>
              </w:rPr>
              <w:t>Investments</w:t>
            </w:r>
            <w:r>
              <w:rPr>
                <w:rFonts w:ascii="Arial" w:cs="Arial" w:eastAsia="Arial" w:hAnsi="Arial"/>
                <w:sz w:val="17"/>
                <w:szCs w:val="17"/>
                <w:b w:val="1"/>
                <w:bCs w:val="1"/>
                <w:color w:val="auto"/>
                <w:w w:val="88"/>
                <w:vertAlign w:val="superscript"/>
              </w:rPr>
              <w:t>(5)</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jc w:val="right"/>
              <w:ind w:right="37"/>
              <w:spacing w:after="0"/>
              <w:rPr>
                <w:sz w:val="20"/>
                <w:szCs w:val="20"/>
                <w:color w:val="auto"/>
              </w:rPr>
            </w:pPr>
            <w:r>
              <w:rPr>
                <w:rFonts w:ascii="Arial" w:cs="Arial" w:eastAsia="Arial" w:hAnsi="Arial"/>
                <w:sz w:val="13"/>
                <w:szCs w:val="13"/>
                <w:b w:val="1"/>
                <w:bCs w:val="1"/>
                <w:color w:val="auto"/>
                <w:w w:val="86"/>
              </w:rPr>
              <w:t>Value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3320" w:type="dxa"/>
            <w:vAlign w:val="bottom"/>
            <w:tcBorders>
              <w:top w:val="single" w:sz="8" w:color="auto"/>
            </w:tcBorders>
            <w:gridSpan w:val="2"/>
          </w:tcPr>
          <w:p>
            <w:pPr>
              <w:ind w:left="400"/>
              <w:spacing w:after="0" w:line="129" w:lineRule="exact"/>
              <w:rPr>
                <w:sz w:val="20"/>
                <w:szCs w:val="20"/>
                <w:color w:val="auto"/>
              </w:rPr>
            </w:pPr>
            <w:r>
              <w:rPr>
                <w:rFonts w:ascii="Arial" w:cs="Arial" w:eastAsia="Arial" w:hAnsi="Arial"/>
                <w:sz w:val="13"/>
                <w:szCs w:val="13"/>
                <w:b w:val="1"/>
                <w:bCs w:val="1"/>
                <w:color w:val="auto"/>
              </w:rPr>
              <w:t>(Dollars in thousands)</w:t>
            </w:r>
          </w:p>
        </w:tc>
        <w:tc>
          <w:tcPr>
            <w:tcW w:w="2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Debt Investments — Life science</w:t>
            </w:r>
          </w:p>
        </w:tc>
        <w:tc>
          <w:tcPr>
            <w:tcW w:w="102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gridSpan w:val="2"/>
          </w:tcPr>
          <w:p>
            <w:pPr>
              <w:spacing w:after="0" w:line="121" w:lineRule="exact"/>
              <w:rPr>
                <w:sz w:val="20"/>
                <w:szCs w:val="20"/>
                <w:color w:val="auto"/>
              </w:rPr>
            </w:pPr>
            <w:r>
              <w:rPr>
                <w:rFonts w:ascii="Arial" w:cs="Arial" w:eastAsia="Arial" w:hAnsi="Arial"/>
                <w:sz w:val="13"/>
                <w:szCs w:val="13"/>
                <w:color w:val="auto"/>
              </w:rPr>
              <w:t>Celsion Corporation (6)(7)(8)</w:t>
            </w:r>
          </w:p>
        </w:tc>
        <w:tc>
          <w:tcPr>
            <w:tcW w:w="1020" w:type="dxa"/>
            <w:vAlign w:val="bottom"/>
          </w:tcPr>
          <w:p>
            <w:pPr>
              <w:ind w:left="100"/>
              <w:spacing w:after="0" w:line="121" w:lineRule="exact"/>
              <w:rPr>
                <w:sz w:val="20"/>
                <w:szCs w:val="20"/>
                <w:color w:val="auto"/>
              </w:rPr>
            </w:pPr>
            <w:r>
              <w:rPr>
                <w:rFonts w:ascii="Arial" w:cs="Arial" w:eastAsia="Arial" w:hAnsi="Arial"/>
                <w:sz w:val="13"/>
                <w:szCs w:val="13"/>
                <w:color w:val="auto"/>
              </w:rPr>
              <w:t>Biotechnology</w:t>
            </w:r>
          </w:p>
        </w:tc>
        <w:tc>
          <w:tcPr>
            <w:tcW w:w="2300" w:type="dxa"/>
            <w:vAlign w:val="bottom"/>
          </w:tcPr>
          <w:p>
            <w:pPr>
              <w:ind w:left="80"/>
              <w:spacing w:after="0" w:line="121" w:lineRule="exact"/>
              <w:rPr>
                <w:sz w:val="20"/>
                <w:szCs w:val="20"/>
                <w:color w:val="auto"/>
              </w:rPr>
            </w:pPr>
            <w:r>
              <w:rPr>
                <w:rFonts w:ascii="Arial" w:cs="Arial" w:eastAsia="Arial" w:hAnsi="Arial"/>
                <w:sz w:val="13"/>
                <w:szCs w:val="13"/>
                <w:color w:val="auto"/>
                <w:w w:val="95"/>
              </w:rPr>
              <w:t>Term Loan (9.63% cash (Libor + 7.63%;</w:t>
            </w:r>
          </w:p>
        </w:tc>
        <w:tc>
          <w:tcPr>
            <w:tcW w:w="240" w:type="dxa"/>
            <w:vAlign w:val="bottom"/>
          </w:tcPr>
          <w:p>
            <w:pPr>
              <w:ind w:left="120"/>
              <w:spacing w:after="0" w:line="121" w:lineRule="exact"/>
              <w:rPr>
                <w:sz w:val="20"/>
                <w:szCs w:val="20"/>
                <w:color w:val="auto"/>
              </w:rPr>
            </w:pPr>
            <w:r>
              <w:rPr>
                <w:rFonts w:ascii="Arial" w:cs="Arial" w:eastAsia="Arial" w:hAnsi="Arial"/>
                <w:sz w:val="13"/>
                <w:szCs w:val="13"/>
                <w:color w:val="auto"/>
              </w:rPr>
              <w:t>$</w:t>
            </w:r>
          </w:p>
        </w:tc>
        <w:tc>
          <w:tcPr>
            <w:tcW w:w="440" w:type="dxa"/>
            <w:vAlign w:val="bottom"/>
          </w:tcPr>
          <w:p>
            <w:pPr>
              <w:jc w:val="right"/>
              <w:ind w:right="37"/>
              <w:spacing w:after="0" w:line="121" w:lineRule="exact"/>
              <w:rPr>
                <w:sz w:val="20"/>
                <w:szCs w:val="20"/>
                <w:color w:val="auto"/>
              </w:rPr>
            </w:pPr>
            <w:r>
              <w:rPr>
                <w:rFonts w:ascii="Arial" w:cs="Arial" w:eastAsia="Arial" w:hAnsi="Arial"/>
                <w:sz w:val="13"/>
                <w:szCs w:val="13"/>
                <w:color w:val="auto"/>
                <w:w w:val="98"/>
              </w:rPr>
              <w:t>2,500</w:t>
            </w:r>
          </w:p>
        </w:tc>
        <w:tc>
          <w:tcPr>
            <w:tcW w:w="200" w:type="dxa"/>
            <w:vAlign w:val="bottom"/>
            <w:gridSpan w:val="2"/>
          </w:tcPr>
          <w:p>
            <w:pPr>
              <w:ind w:left="80"/>
              <w:spacing w:after="0" w:line="121"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2,468</w:t>
            </w:r>
          </w:p>
        </w:tc>
        <w:tc>
          <w:tcPr>
            <w:tcW w:w="20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21" w:lineRule="exact"/>
              <w:rPr>
                <w:sz w:val="20"/>
                <w:szCs w:val="20"/>
                <w:color w:val="auto"/>
              </w:rPr>
            </w:pPr>
            <w:r>
              <w:rPr>
                <w:rFonts w:ascii="Arial" w:cs="Arial" w:eastAsia="Arial" w:hAnsi="Arial"/>
                <w:sz w:val="13"/>
                <w:szCs w:val="13"/>
                <w:color w:val="auto"/>
              </w:rPr>
              <w:t>2,468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w w:val="98"/>
              </w:rPr>
              <w:t>Floor 9.63%), 4.00% ETP, Due 7/1/22)</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30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w w:val="95"/>
              </w:rPr>
              <w:t>Term Loan (9.63% cash (Libor + 7.63%;</w:t>
            </w: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w w:val="98"/>
              </w:rPr>
              <w:t>2,500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2,468</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2,468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Floor 9.63%), 4.00% ETP, Due 7/1/22)</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gridSpan w:val="2"/>
          </w:tcPr>
          <w:p>
            <w:pPr>
              <w:spacing w:after="0" w:line="121" w:lineRule="exact"/>
              <w:rPr>
                <w:sz w:val="20"/>
                <w:szCs w:val="20"/>
                <w:color w:val="auto"/>
              </w:rPr>
            </w:pPr>
            <w:r>
              <w:rPr>
                <w:rFonts w:ascii="Arial" w:cs="Arial" w:eastAsia="Arial" w:hAnsi="Arial"/>
                <w:sz w:val="13"/>
                <w:szCs w:val="13"/>
                <w:color w:val="auto"/>
              </w:rPr>
              <w:t>Encore Dermatology, Inc. (6)(7)</w:t>
            </w:r>
          </w:p>
        </w:tc>
        <w:tc>
          <w:tcPr>
            <w:tcW w:w="1020" w:type="dxa"/>
            <w:vAlign w:val="bottom"/>
          </w:tcPr>
          <w:p>
            <w:pPr>
              <w:ind w:left="100"/>
              <w:spacing w:after="0" w:line="121" w:lineRule="exact"/>
              <w:rPr>
                <w:sz w:val="20"/>
                <w:szCs w:val="20"/>
                <w:color w:val="auto"/>
              </w:rPr>
            </w:pPr>
            <w:r>
              <w:rPr>
                <w:rFonts w:ascii="Arial" w:cs="Arial" w:eastAsia="Arial" w:hAnsi="Arial"/>
                <w:sz w:val="13"/>
                <w:szCs w:val="13"/>
                <w:color w:val="auto"/>
              </w:rPr>
              <w:t>Biotechnology</w:t>
            </w:r>
          </w:p>
        </w:tc>
        <w:tc>
          <w:tcPr>
            <w:tcW w:w="2300" w:type="dxa"/>
            <w:vAlign w:val="bottom"/>
          </w:tcPr>
          <w:p>
            <w:pPr>
              <w:ind w:left="80"/>
              <w:spacing w:after="0" w:line="121" w:lineRule="exact"/>
              <w:rPr>
                <w:sz w:val="20"/>
                <w:szCs w:val="20"/>
                <w:color w:val="auto"/>
              </w:rPr>
            </w:pPr>
            <w:r>
              <w:rPr>
                <w:rFonts w:ascii="Arial" w:cs="Arial" w:eastAsia="Arial" w:hAnsi="Arial"/>
                <w:sz w:val="13"/>
                <w:szCs w:val="13"/>
                <w:color w:val="auto"/>
                <w:w w:val="92"/>
              </w:rPr>
              <w:t>Term Loan (10.00% cash (Libor + 7.50%;</w:t>
            </w:r>
          </w:p>
        </w:tc>
        <w:tc>
          <w:tcPr>
            <w:tcW w:w="240" w:type="dxa"/>
            <w:vAlign w:val="bottom"/>
          </w:tcPr>
          <w:p>
            <w:pPr>
              <w:spacing w:after="0"/>
              <w:rPr>
                <w:sz w:val="10"/>
                <w:szCs w:val="10"/>
                <w:color w:val="auto"/>
              </w:rPr>
            </w:pPr>
          </w:p>
        </w:tc>
        <w:tc>
          <w:tcPr>
            <w:tcW w:w="440" w:type="dxa"/>
            <w:vAlign w:val="bottom"/>
          </w:tcPr>
          <w:p>
            <w:pPr>
              <w:jc w:val="right"/>
              <w:ind w:right="37"/>
              <w:spacing w:after="0" w:line="121" w:lineRule="exact"/>
              <w:rPr>
                <w:sz w:val="20"/>
                <w:szCs w:val="20"/>
                <w:color w:val="auto"/>
              </w:rPr>
            </w:pPr>
            <w:r>
              <w:rPr>
                <w:rFonts w:ascii="Arial" w:cs="Arial" w:eastAsia="Arial" w:hAnsi="Arial"/>
                <w:sz w:val="13"/>
                <w:szCs w:val="13"/>
                <w:color w:val="auto"/>
                <w:w w:val="98"/>
              </w:rPr>
              <w:t>5,000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4,934</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3"/>
                <w:szCs w:val="13"/>
                <w:color w:val="auto"/>
              </w:rPr>
              <w:t>4,638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w w:val="95"/>
              </w:rPr>
              <w:t>Floor 10.00%), 3.00% ETP, Due 4/1/23)</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Mustang Bio, Inc. (6)(7)(8)</w:t>
            </w:r>
          </w:p>
        </w:tc>
        <w:tc>
          <w:tcPr>
            <w:tcW w:w="10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Biotechnology</w:t>
            </w:r>
          </w:p>
        </w:tc>
        <w:tc>
          <w:tcPr>
            <w:tcW w:w="230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w w:val="95"/>
              </w:rPr>
              <w:t>Term Loan (9.00% cash (Libor + 6.50%;</w:t>
            </w: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w w:val="98"/>
              </w:rPr>
              <w:t>5,000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4,931</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4,931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5"/>
              </w:rPr>
              <w:t>Floor 9.00%), 5.00% ETP, Due 10/1/22)</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4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color w:val="auto"/>
              </w:rPr>
              <w:t>Total Debt Investments — Life science</w:t>
            </w:r>
          </w:p>
        </w:tc>
        <w:tc>
          <w:tcPr>
            <w:tcW w:w="1020" w:type="dxa"/>
            <w:vAlign w:val="bottom"/>
            <w:tcBorders>
              <w:bottom w:val="single" w:sz="8" w:color="CCEEFF"/>
            </w:tcBorders>
          </w:tcPr>
          <w:p>
            <w:pPr>
              <w:spacing w:after="0"/>
              <w:rPr>
                <w:sz w:val="11"/>
                <w:szCs w:val="11"/>
                <w:color w:val="auto"/>
              </w:rPr>
            </w:pPr>
          </w:p>
        </w:tc>
        <w:tc>
          <w:tcPr>
            <w:tcW w:w="23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14,801</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14,505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Debt Investments — Technology</w:t>
            </w:r>
          </w:p>
        </w:tc>
        <w:tc>
          <w:tcPr>
            <w:tcW w:w="102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gridSpan w:val="2"/>
          </w:tcPr>
          <w:p>
            <w:pPr>
              <w:spacing w:after="0" w:line="121" w:lineRule="exact"/>
              <w:rPr>
                <w:sz w:val="20"/>
                <w:szCs w:val="20"/>
                <w:color w:val="auto"/>
              </w:rPr>
            </w:pPr>
            <w:r>
              <w:rPr>
                <w:rFonts w:ascii="Arial" w:cs="Arial" w:eastAsia="Arial" w:hAnsi="Arial"/>
                <w:sz w:val="13"/>
                <w:szCs w:val="13"/>
                <w:color w:val="auto"/>
              </w:rPr>
              <w:t>New Signature US, Inc. (6)(7)(9)</w:t>
            </w:r>
          </w:p>
        </w:tc>
        <w:tc>
          <w:tcPr>
            <w:tcW w:w="1020" w:type="dxa"/>
            <w:vAlign w:val="bottom"/>
          </w:tcPr>
          <w:p>
            <w:pPr>
              <w:ind w:left="100"/>
              <w:spacing w:after="0" w:line="121" w:lineRule="exact"/>
              <w:rPr>
                <w:sz w:val="20"/>
                <w:szCs w:val="20"/>
                <w:color w:val="auto"/>
              </w:rPr>
            </w:pPr>
            <w:r>
              <w:rPr>
                <w:rFonts w:ascii="Arial" w:cs="Arial" w:eastAsia="Arial" w:hAnsi="Arial"/>
                <w:sz w:val="13"/>
                <w:szCs w:val="13"/>
                <w:color w:val="auto"/>
              </w:rPr>
              <w:t>Software</w:t>
            </w:r>
          </w:p>
        </w:tc>
        <w:tc>
          <w:tcPr>
            <w:tcW w:w="2300" w:type="dxa"/>
            <w:vAlign w:val="bottom"/>
          </w:tcPr>
          <w:p>
            <w:pPr>
              <w:ind w:left="80"/>
              <w:spacing w:after="0" w:line="121" w:lineRule="exact"/>
              <w:rPr>
                <w:sz w:val="20"/>
                <w:szCs w:val="20"/>
                <w:color w:val="auto"/>
              </w:rPr>
            </w:pPr>
            <w:r>
              <w:rPr>
                <w:rFonts w:ascii="Arial" w:cs="Arial" w:eastAsia="Arial" w:hAnsi="Arial"/>
                <w:sz w:val="13"/>
                <w:szCs w:val="13"/>
                <w:color w:val="auto"/>
                <w:w w:val="92"/>
              </w:rPr>
              <w:t>Term Loan (10.50% cash (Libor + 8.50%;</w:t>
            </w:r>
          </w:p>
        </w:tc>
        <w:tc>
          <w:tcPr>
            <w:tcW w:w="240" w:type="dxa"/>
            <w:vAlign w:val="bottom"/>
          </w:tcPr>
          <w:p>
            <w:pPr>
              <w:spacing w:after="0"/>
              <w:rPr>
                <w:sz w:val="10"/>
                <w:szCs w:val="10"/>
                <w:color w:val="auto"/>
              </w:rPr>
            </w:pPr>
          </w:p>
        </w:tc>
        <w:tc>
          <w:tcPr>
            <w:tcW w:w="440" w:type="dxa"/>
            <w:vAlign w:val="bottom"/>
          </w:tcPr>
          <w:p>
            <w:pPr>
              <w:jc w:val="right"/>
              <w:ind w:right="37"/>
              <w:spacing w:after="0" w:line="121" w:lineRule="exact"/>
              <w:rPr>
                <w:sz w:val="20"/>
                <w:szCs w:val="20"/>
                <w:color w:val="auto"/>
              </w:rPr>
            </w:pPr>
            <w:r>
              <w:rPr>
                <w:rFonts w:ascii="Arial" w:cs="Arial" w:eastAsia="Arial" w:hAnsi="Arial"/>
                <w:sz w:val="13"/>
                <w:szCs w:val="13"/>
                <w:color w:val="auto"/>
                <w:w w:val="98"/>
              </w:rPr>
              <w:t>8,250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8,171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3"/>
                <w:szCs w:val="13"/>
                <w:color w:val="auto"/>
              </w:rPr>
              <w:t>8,171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w w:val="95"/>
              </w:rPr>
              <w:t>Floor 10.50%), 3.50% ETP, Due 7/1/22)</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2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230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w w:val="92"/>
              </w:rPr>
              <w:t>Term Loan (10.50% cash (Libor + 8.50%;</w:t>
            </w: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w w:val="98"/>
              </w:rPr>
              <w:t>3,000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2,965</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2,965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5"/>
              </w:rPr>
              <w:t>Floor 10.50%), 3.50% ETP, Due 2/1/23)</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gridSpan w:val="2"/>
          </w:tcPr>
          <w:p>
            <w:pPr>
              <w:spacing w:after="0" w:line="121" w:lineRule="exact"/>
              <w:rPr>
                <w:sz w:val="20"/>
                <w:szCs w:val="20"/>
                <w:color w:val="auto"/>
              </w:rPr>
            </w:pPr>
            <w:r>
              <w:rPr>
                <w:rFonts w:ascii="Arial" w:cs="Arial" w:eastAsia="Arial" w:hAnsi="Arial"/>
                <w:sz w:val="13"/>
                <w:szCs w:val="13"/>
                <w:color w:val="auto"/>
              </w:rPr>
              <w:t>OutboundEngine, Inc. (6)(7)</w:t>
            </w:r>
          </w:p>
        </w:tc>
        <w:tc>
          <w:tcPr>
            <w:tcW w:w="1020" w:type="dxa"/>
            <w:vAlign w:val="bottom"/>
          </w:tcPr>
          <w:p>
            <w:pPr>
              <w:ind w:left="100"/>
              <w:spacing w:after="0" w:line="121" w:lineRule="exact"/>
              <w:rPr>
                <w:sz w:val="20"/>
                <w:szCs w:val="20"/>
                <w:color w:val="auto"/>
              </w:rPr>
            </w:pPr>
            <w:r>
              <w:rPr>
                <w:rFonts w:ascii="Arial" w:cs="Arial" w:eastAsia="Arial" w:hAnsi="Arial"/>
                <w:sz w:val="13"/>
                <w:szCs w:val="13"/>
                <w:color w:val="auto"/>
              </w:rPr>
              <w:t>Software</w:t>
            </w:r>
          </w:p>
        </w:tc>
        <w:tc>
          <w:tcPr>
            <w:tcW w:w="2300" w:type="dxa"/>
            <w:vAlign w:val="bottom"/>
          </w:tcPr>
          <w:p>
            <w:pPr>
              <w:ind w:left="80"/>
              <w:spacing w:after="0" w:line="121" w:lineRule="exact"/>
              <w:rPr>
                <w:sz w:val="20"/>
                <w:szCs w:val="20"/>
                <w:color w:val="auto"/>
              </w:rPr>
            </w:pPr>
            <w:r>
              <w:rPr>
                <w:rFonts w:ascii="Arial" w:cs="Arial" w:eastAsia="Arial" w:hAnsi="Arial"/>
                <w:sz w:val="13"/>
                <w:szCs w:val="13"/>
                <w:color w:val="auto"/>
                <w:w w:val="92"/>
              </w:rPr>
              <w:t>Term Loan (11.15% cash (Libor + 8.40%;</w:t>
            </w:r>
          </w:p>
        </w:tc>
        <w:tc>
          <w:tcPr>
            <w:tcW w:w="240" w:type="dxa"/>
            <w:vAlign w:val="bottom"/>
          </w:tcPr>
          <w:p>
            <w:pPr>
              <w:spacing w:after="0"/>
              <w:rPr>
                <w:sz w:val="10"/>
                <w:szCs w:val="10"/>
                <w:color w:val="auto"/>
              </w:rPr>
            </w:pPr>
          </w:p>
        </w:tc>
        <w:tc>
          <w:tcPr>
            <w:tcW w:w="440" w:type="dxa"/>
            <w:vAlign w:val="bottom"/>
          </w:tcPr>
          <w:p>
            <w:pPr>
              <w:jc w:val="right"/>
              <w:ind w:right="37"/>
              <w:spacing w:after="0" w:line="121" w:lineRule="exact"/>
              <w:rPr>
                <w:sz w:val="20"/>
                <w:szCs w:val="20"/>
                <w:color w:val="auto"/>
              </w:rPr>
            </w:pPr>
            <w:r>
              <w:rPr>
                <w:rFonts w:ascii="Arial" w:cs="Arial" w:eastAsia="Arial" w:hAnsi="Arial"/>
                <w:sz w:val="13"/>
                <w:szCs w:val="13"/>
                <w:color w:val="auto"/>
              </w:rPr>
              <w:t>500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491</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00" w:type="dxa"/>
            <w:vAlign w:val="bottom"/>
          </w:tcPr>
          <w:p>
            <w:pPr>
              <w:ind w:left="80"/>
              <w:spacing w:after="0"/>
              <w:rPr>
                <w:sz w:val="20"/>
                <w:szCs w:val="20"/>
                <w:color w:val="auto"/>
              </w:rPr>
            </w:pPr>
            <w:r>
              <w:rPr>
                <w:rFonts w:ascii="Arial" w:cs="Arial" w:eastAsia="Arial" w:hAnsi="Arial"/>
                <w:sz w:val="13"/>
                <w:szCs w:val="13"/>
                <w:color w:val="auto"/>
                <w:w w:val="95"/>
              </w:rPr>
              <w:t>Floor 11.15%), 3.00% ETP, Due 7/1/23)</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Revinate, Inc. (6)(7)</w:t>
            </w:r>
          </w:p>
        </w:tc>
        <w:tc>
          <w:tcPr>
            <w:tcW w:w="102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Software</w:t>
            </w:r>
          </w:p>
        </w:tc>
        <w:tc>
          <w:tcPr>
            <w:tcW w:w="230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w w:val="95"/>
              </w:rPr>
              <w:t>Term Loan (9.50% cash (Libor + 7.00%;</w:t>
            </w:r>
          </w:p>
        </w:tc>
        <w:tc>
          <w:tcPr>
            <w:tcW w:w="240" w:type="dxa"/>
            <w:vAlign w:val="bottom"/>
            <w:shd w:val="clear" w:color="auto" w:fill="CCEEFF"/>
          </w:tcPr>
          <w:p>
            <w:pPr>
              <w:spacing w:after="0"/>
              <w:rPr>
                <w:sz w:val="10"/>
                <w:szCs w:val="10"/>
                <w:color w:val="auto"/>
              </w:rPr>
            </w:pPr>
          </w:p>
        </w:tc>
        <w:tc>
          <w:tcPr>
            <w:tcW w:w="4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w w:val="98"/>
              </w:rPr>
              <w:t>4,000</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3,955</w:t>
            </w: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3,955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300" w:type="dxa"/>
            <w:vAlign w:val="bottom"/>
            <w:shd w:val="clear" w:color="auto" w:fill="CCEEFF"/>
          </w:tcPr>
          <w:p>
            <w:pPr>
              <w:ind w:left="80"/>
              <w:spacing w:after="0"/>
              <w:rPr>
                <w:sz w:val="20"/>
                <w:szCs w:val="20"/>
                <w:color w:val="auto"/>
              </w:rPr>
            </w:pPr>
            <w:r>
              <w:rPr>
                <w:rFonts w:ascii="Arial" w:cs="Arial" w:eastAsia="Arial" w:hAnsi="Arial"/>
                <w:sz w:val="13"/>
                <w:szCs w:val="13"/>
                <w:color w:val="auto"/>
                <w:w w:val="98"/>
              </w:rPr>
              <w:t>Floor 9.50%), 3.00% ETP, Due 6/1/23)</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4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rPr>
              <w:t>Total Debt Investments — Technology</w:t>
            </w:r>
          </w:p>
        </w:tc>
        <w:tc>
          <w:tcPr>
            <w:tcW w:w="1020" w:type="dxa"/>
            <w:vAlign w:val="bottom"/>
            <w:tcBorders>
              <w:bottom w:val="single" w:sz="8" w:color="CCEEFF"/>
            </w:tcBorders>
          </w:tcPr>
          <w:p>
            <w:pPr>
              <w:spacing w:after="0"/>
              <w:rPr>
                <w:sz w:val="11"/>
                <w:szCs w:val="11"/>
                <w:color w:val="auto"/>
              </w:rPr>
            </w:pPr>
          </w:p>
        </w:tc>
        <w:tc>
          <w:tcPr>
            <w:tcW w:w="23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15,582</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15,582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6"/>
              </w:rPr>
              <w:t>Debt Investments — Healthcare information and services</w:t>
            </w:r>
          </w:p>
        </w:tc>
        <w:tc>
          <w:tcPr>
            <w:tcW w:w="102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3440" w:type="dxa"/>
            <w:vAlign w:val="bottom"/>
            <w:gridSpan w:val="2"/>
          </w:tcPr>
          <w:p>
            <w:pPr>
              <w:spacing w:after="0" w:line="121" w:lineRule="exact"/>
              <w:rPr>
                <w:sz w:val="20"/>
                <w:szCs w:val="20"/>
                <w:color w:val="auto"/>
              </w:rPr>
            </w:pPr>
            <w:r>
              <w:rPr>
                <w:rFonts w:ascii="Arial" w:cs="Arial" w:eastAsia="Arial" w:hAnsi="Arial"/>
                <w:sz w:val="13"/>
                <w:szCs w:val="13"/>
                <w:color w:val="auto"/>
              </w:rPr>
              <w:t>HealthEdge Software, Inc. (6)(7)</w:t>
            </w:r>
          </w:p>
        </w:tc>
        <w:tc>
          <w:tcPr>
            <w:tcW w:w="1020" w:type="dxa"/>
            <w:vAlign w:val="bottom"/>
          </w:tcPr>
          <w:p>
            <w:pPr>
              <w:ind w:left="100"/>
              <w:spacing w:after="0" w:line="121" w:lineRule="exact"/>
              <w:rPr>
                <w:sz w:val="20"/>
                <w:szCs w:val="20"/>
                <w:color w:val="auto"/>
              </w:rPr>
            </w:pPr>
            <w:r>
              <w:rPr>
                <w:rFonts w:ascii="Arial" w:cs="Arial" w:eastAsia="Arial" w:hAnsi="Arial"/>
                <w:sz w:val="13"/>
                <w:szCs w:val="13"/>
                <w:color w:val="auto"/>
              </w:rPr>
              <w:t>Software</w:t>
            </w:r>
          </w:p>
        </w:tc>
        <w:tc>
          <w:tcPr>
            <w:tcW w:w="2300" w:type="dxa"/>
            <w:vAlign w:val="bottom"/>
          </w:tcPr>
          <w:p>
            <w:pPr>
              <w:ind w:left="80"/>
              <w:spacing w:after="0" w:line="121" w:lineRule="exact"/>
              <w:rPr>
                <w:sz w:val="20"/>
                <w:szCs w:val="20"/>
                <w:color w:val="auto"/>
              </w:rPr>
            </w:pPr>
            <w:r>
              <w:rPr>
                <w:rFonts w:ascii="Arial" w:cs="Arial" w:eastAsia="Arial" w:hAnsi="Arial"/>
                <w:sz w:val="13"/>
                <w:szCs w:val="13"/>
                <w:color w:val="auto"/>
                <w:w w:val="95"/>
              </w:rPr>
              <w:t>Term Loan (9.83% cash (Libor + 8.25%;</w:t>
            </w:r>
          </w:p>
        </w:tc>
        <w:tc>
          <w:tcPr>
            <w:tcW w:w="240" w:type="dxa"/>
            <w:vAlign w:val="bottom"/>
          </w:tcPr>
          <w:p>
            <w:pPr>
              <w:spacing w:after="0"/>
              <w:rPr>
                <w:sz w:val="10"/>
                <w:szCs w:val="10"/>
                <w:color w:val="auto"/>
              </w:rPr>
            </w:pPr>
          </w:p>
        </w:tc>
        <w:tc>
          <w:tcPr>
            <w:tcW w:w="440" w:type="dxa"/>
            <w:vAlign w:val="bottom"/>
          </w:tcPr>
          <w:p>
            <w:pPr>
              <w:jc w:val="right"/>
              <w:ind w:right="37"/>
              <w:spacing w:after="0" w:line="121" w:lineRule="exact"/>
              <w:rPr>
                <w:sz w:val="20"/>
                <w:szCs w:val="20"/>
                <w:color w:val="auto"/>
              </w:rPr>
            </w:pPr>
            <w:r>
              <w:rPr>
                <w:rFonts w:ascii="Arial" w:cs="Arial" w:eastAsia="Arial" w:hAnsi="Arial"/>
                <w:sz w:val="13"/>
                <w:szCs w:val="13"/>
                <w:color w:val="auto"/>
                <w:w w:val="98"/>
              </w:rPr>
              <w:t>3,750</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3,712</w:t>
            </w: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jc w:val="right"/>
              <w:spacing w:after="0" w:line="121" w:lineRule="exact"/>
              <w:rPr>
                <w:sz w:val="20"/>
                <w:szCs w:val="20"/>
                <w:color w:val="auto"/>
              </w:rPr>
            </w:pPr>
            <w:r>
              <w:rPr>
                <w:rFonts w:ascii="Arial" w:cs="Arial" w:eastAsia="Arial" w:hAnsi="Arial"/>
                <w:sz w:val="13"/>
                <w:szCs w:val="13"/>
                <w:color w:val="auto"/>
              </w:rPr>
              <w:t>3,712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w w:val="95"/>
              </w:rPr>
              <w:t>Floor 9.25%), 3.00% ETP, Due 10/1/23)</w:t>
            </w:r>
          </w:p>
        </w:tc>
        <w:tc>
          <w:tcPr>
            <w:tcW w:w="2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4"/>
              </w:rPr>
              <w:t>Total Debt Investments — Healthcare information and services</w:t>
            </w:r>
          </w:p>
        </w:tc>
        <w:tc>
          <w:tcPr>
            <w:tcW w:w="102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3,712</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3,712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4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rPr>
              <w:t>Total Debt Investments</w:t>
            </w:r>
          </w:p>
        </w:tc>
        <w:tc>
          <w:tcPr>
            <w:tcW w:w="1020" w:type="dxa"/>
            <w:vAlign w:val="bottom"/>
            <w:tcBorders>
              <w:bottom w:val="single" w:sz="8" w:color="CCEEFF"/>
            </w:tcBorders>
          </w:tcPr>
          <w:p>
            <w:pPr>
              <w:spacing w:after="0"/>
              <w:rPr>
                <w:sz w:val="11"/>
                <w:szCs w:val="11"/>
                <w:color w:val="auto"/>
              </w:rPr>
            </w:pPr>
          </w:p>
        </w:tc>
        <w:tc>
          <w:tcPr>
            <w:tcW w:w="23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34,095</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90"/>
              </w:rPr>
              <w:t>33,799</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Warrant Investments — Life science</w:t>
            </w:r>
          </w:p>
        </w:tc>
        <w:tc>
          <w:tcPr>
            <w:tcW w:w="10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Celsion Corporation (6)(7)(8)</w:t>
            </w:r>
          </w:p>
        </w:tc>
        <w:tc>
          <w:tcPr>
            <w:tcW w:w="10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Biotechnology</w:t>
            </w:r>
          </w:p>
        </w:tc>
        <w:tc>
          <w:tcPr>
            <w:tcW w:w="23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95,057 Common Stock Warrants</w:t>
            </w: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rPr>
              <w:t>Encore Dermatology, Inc. (6)(7)</w:t>
            </w:r>
          </w:p>
        </w:tc>
        <w:tc>
          <w:tcPr>
            <w:tcW w:w="1020" w:type="dxa"/>
            <w:vAlign w:val="bottom"/>
          </w:tcPr>
          <w:p>
            <w:pPr>
              <w:ind w:left="100"/>
              <w:spacing w:after="0" w:line="135" w:lineRule="exact"/>
              <w:rPr>
                <w:sz w:val="20"/>
                <w:szCs w:val="20"/>
                <w:color w:val="auto"/>
              </w:rPr>
            </w:pPr>
            <w:r>
              <w:rPr>
                <w:rFonts w:ascii="Arial" w:cs="Arial" w:eastAsia="Arial" w:hAnsi="Arial"/>
                <w:sz w:val="13"/>
                <w:szCs w:val="13"/>
                <w:color w:val="auto"/>
              </w:rPr>
              <w:t>Biotechnology</w:t>
            </w:r>
          </w:p>
        </w:tc>
        <w:tc>
          <w:tcPr>
            <w:tcW w:w="2300" w:type="dxa"/>
            <w:vAlign w:val="bottom"/>
          </w:tcPr>
          <w:p>
            <w:pPr>
              <w:ind w:left="80"/>
              <w:spacing w:after="0" w:line="135" w:lineRule="exact"/>
              <w:rPr>
                <w:sz w:val="20"/>
                <w:szCs w:val="20"/>
                <w:color w:val="auto"/>
              </w:rPr>
            </w:pPr>
            <w:r>
              <w:rPr>
                <w:rFonts w:ascii="Arial" w:cs="Arial" w:eastAsia="Arial" w:hAnsi="Arial"/>
                <w:sz w:val="13"/>
                <w:szCs w:val="13"/>
                <w:color w:val="auto"/>
              </w:rPr>
              <w:t>503,626 Preferred Stock Warrants</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Mustang Bio, Inc. (6)(7)(8)</w:t>
            </w:r>
          </w:p>
        </w:tc>
        <w:tc>
          <w:tcPr>
            <w:tcW w:w="10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Biotechnology</w:t>
            </w:r>
          </w:p>
        </w:tc>
        <w:tc>
          <w:tcPr>
            <w:tcW w:w="23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72,046 Common Stock Warrants</w:t>
            </w: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3"/>
                <w:szCs w:val="13"/>
                <w:color w:val="auto"/>
              </w:rPr>
              <w:t>CSA Medical, Inc. (6)(7)</w:t>
            </w:r>
          </w:p>
        </w:tc>
        <w:tc>
          <w:tcPr>
            <w:tcW w:w="102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Medical Device</w:t>
            </w:r>
          </w:p>
        </w:tc>
        <w:tc>
          <w:tcPr>
            <w:tcW w:w="2300" w:type="dxa"/>
            <w:vAlign w:val="bottom"/>
            <w:tcBorders>
              <w:bottom w:val="single" w:sz="8" w:color="CCEEFF"/>
            </w:tcBorders>
          </w:tcPr>
          <w:p>
            <w:pPr>
              <w:ind w:left="80"/>
              <w:spacing w:after="0" w:line="135" w:lineRule="exact"/>
              <w:rPr>
                <w:sz w:val="20"/>
                <w:szCs w:val="20"/>
                <w:color w:val="auto"/>
              </w:rPr>
            </w:pPr>
            <w:r>
              <w:rPr>
                <w:rFonts w:ascii="Arial" w:cs="Arial" w:eastAsia="Arial" w:hAnsi="Arial"/>
                <w:sz w:val="13"/>
                <w:szCs w:val="13"/>
                <w:color w:val="auto"/>
              </w:rPr>
              <w:t>17,751 Preferred Stock Warrants</w:t>
            </w:r>
          </w:p>
        </w:tc>
        <w:tc>
          <w:tcPr>
            <w:tcW w:w="24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Total Warrant Investments — Life science</w:t>
            </w:r>
          </w:p>
        </w:tc>
        <w:tc>
          <w:tcPr>
            <w:tcW w:w="102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Warrant Investments — Technology</w:t>
            </w:r>
          </w:p>
        </w:tc>
        <w:tc>
          <w:tcPr>
            <w:tcW w:w="10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Intelepeer Holdings, Inc. (6)(7)</w:t>
            </w:r>
          </w:p>
        </w:tc>
        <w:tc>
          <w:tcPr>
            <w:tcW w:w="10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2"/>
              </w:rPr>
              <w:t>Communications</w:t>
            </w:r>
          </w:p>
        </w:tc>
        <w:tc>
          <w:tcPr>
            <w:tcW w:w="23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2,081,934 Preferred Stock Warrants</w:t>
            </w: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rPr>
              <w:t>BSI Platform Holdings, LLC (6)(7)(9)</w:t>
            </w:r>
          </w:p>
        </w:tc>
        <w:tc>
          <w:tcPr>
            <w:tcW w:w="1020" w:type="dxa"/>
            <w:vAlign w:val="bottom"/>
          </w:tcPr>
          <w:p>
            <w:pPr>
              <w:ind w:left="100"/>
              <w:spacing w:after="0" w:line="135" w:lineRule="exact"/>
              <w:rPr>
                <w:sz w:val="20"/>
                <w:szCs w:val="20"/>
                <w:color w:val="auto"/>
              </w:rPr>
            </w:pPr>
            <w:r>
              <w:rPr>
                <w:rFonts w:ascii="Arial" w:cs="Arial" w:eastAsia="Arial" w:hAnsi="Arial"/>
                <w:sz w:val="13"/>
                <w:szCs w:val="13"/>
                <w:color w:val="auto"/>
              </w:rPr>
              <w:t>Software</w:t>
            </w:r>
          </w:p>
        </w:tc>
        <w:tc>
          <w:tcPr>
            <w:tcW w:w="2300" w:type="dxa"/>
            <w:vAlign w:val="bottom"/>
          </w:tcPr>
          <w:p>
            <w:pPr>
              <w:ind w:left="80"/>
              <w:spacing w:after="0" w:line="135" w:lineRule="exact"/>
              <w:rPr>
                <w:sz w:val="20"/>
                <w:szCs w:val="20"/>
                <w:color w:val="auto"/>
              </w:rPr>
            </w:pPr>
            <w:r>
              <w:rPr>
                <w:rFonts w:ascii="Arial" w:cs="Arial" w:eastAsia="Arial" w:hAnsi="Arial"/>
                <w:sz w:val="13"/>
                <w:szCs w:val="13"/>
                <w:color w:val="auto"/>
              </w:rPr>
              <w:t>562,500 Preferred Stock Warrants</w:t>
            </w: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OutboundEngine, Inc. (6)(7)</w:t>
            </w:r>
          </w:p>
        </w:tc>
        <w:tc>
          <w:tcPr>
            <w:tcW w:w="10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Software</w:t>
            </w:r>
          </w:p>
        </w:tc>
        <w:tc>
          <w:tcPr>
            <w:tcW w:w="23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40,000 Preferred Stock Warrants</w:t>
            </w: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3"/>
                <w:szCs w:val="13"/>
                <w:color w:val="auto"/>
              </w:rPr>
              <w:t>Revinate Inc. (6)(7)</w:t>
            </w:r>
          </w:p>
        </w:tc>
        <w:tc>
          <w:tcPr>
            <w:tcW w:w="102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Software</w:t>
            </w:r>
          </w:p>
        </w:tc>
        <w:tc>
          <w:tcPr>
            <w:tcW w:w="2300" w:type="dxa"/>
            <w:vAlign w:val="bottom"/>
            <w:tcBorders>
              <w:bottom w:val="single" w:sz="8" w:color="CCEEFF"/>
            </w:tcBorders>
          </w:tcPr>
          <w:p>
            <w:pPr>
              <w:ind w:left="80"/>
              <w:spacing w:after="0" w:line="135" w:lineRule="exact"/>
              <w:rPr>
                <w:sz w:val="20"/>
                <w:szCs w:val="20"/>
                <w:color w:val="auto"/>
              </w:rPr>
            </w:pPr>
            <w:r>
              <w:rPr>
                <w:rFonts w:ascii="Arial" w:cs="Arial" w:eastAsia="Arial" w:hAnsi="Arial"/>
                <w:sz w:val="13"/>
                <w:szCs w:val="13"/>
                <w:color w:val="auto"/>
              </w:rPr>
              <w:t>216,362 Preferred Stock Warrants</w:t>
            </w:r>
          </w:p>
        </w:tc>
        <w:tc>
          <w:tcPr>
            <w:tcW w:w="24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Total Warrant Investments — Technology</w:t>
            </w:r>
          </w:p>
        </w:tc>
        <w:tc>
          <w:tcPr>
            <w:tcW w:w="102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180</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w w:val="91"/>
              </w:rPr>
              <w:t>Warrant Investments — Healthcare information and services</w:t>
            </w:r>
          </w:p>
        </w:tc>
        <w:tc>
          <w:tcPr>
            <w:tcW w:w="10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HealthEdge Software, Inc. (6)(7)</w:t>
            </w:r>
          </w:p>
        </w:tc>
        <w:tc>
          <w:tcPr>
            <w:tcW w:w="102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Software</w:t>
            </w:r>
          </w:p>
        </w:tc>
        <w:tc>
          <w:tcPr>
            <w:tcW w:w="230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47,418 Preferred Stock Warrants</w:t>
            </w: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4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color w:val="auto"/>
                <w:w w:val="89"/>
              </w:rPr>
              <w:t>Total Warrant Investments — Healthcare information and services</w:t>
            </w:r>
          </w:p>
        </w:tc>
        <w:tc>
          <w:tcPr>
            <w:tcW w:w="1020" w:type="dxa"/>
            <w:vAlign w:val="bottom"/>
            <w:tcBorders>
              <w:bottom w:val="single" w:sz="8" w:color="CCEEFF"/>
            </w:tcBorders>
          </w:tcPr>
          <w:p>
            <w:pPr>
              <w:spacing w:after="0"/>
              <w:rPr>
                <w:sz w:val="11"/>
                <w:szCs w:val="11"/>
                <w:color w:val="auto"/>
              </w:rPr>
            </w:pPr>
          </w:p>
        </w:tc>
        <w:tc>
          <w:tcPr>
            <w:tcW w:w="23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Warrant Investments</w:t>
            </w:r>
          </w:p>
        </w:tc>
        <w:tc>
          <w:tcPr>
            <w:tcW w:w="102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339</w:t>
            </w:r>
          </w:p>
        </w:tc>
        <w:tc>
          <w:tcPr>
            <w:tcW w:w="140" w:type="dxa"/>
            <w:vAlign w:val="bottom"/>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Borders>
              <w:bottom w:val="single" w:sz="8" w:color="CCEEFF"/>
            </w:tcBorders>
          </w:tcPr>
          <w:p>
            <w:pPr>
              <w:spacing w:after="0"/>
              <w:rPr>
                <w:sz w:val="11"/>
                <w:szCs w:val="11"/>
                <w:color w:val="auto"/>
              </w:rPr>
            </w:pPr>
          </w:p>
        </w:tc>
        <w:tc>
          <w:tcPr>
            <w:tcW w:w="1220" w:type="dxa"/>
            <w:vAlign w:val="bottom"/>
            <w:tcBorders>
              <w:bottom w:val="single" w:sz="8" w:color="CCEEFF"/>
            </w:tcBorders>
          </w:tcPr>
          <w:p>
            <w:pPr>
              <w:spacing w:after="0"/>
              <w:rPr>
                <w:sz w:val="11"/>
                <w:szCs w:val="11"/>
                <w:color w:val="auto"/>
              </w:rPr>
            </w:pPr>
          </w:p>
        </w:tc>
        <w:tc>
          <w:tcPr>
            <w:tcW w:w="1020" w:type="dxa"/>
            <w:vAlign w:val="bottom"/>
            <w:tcBorders>
              <w:bottom w:val="single" w:sz="8" w:color="CCEEFF"/>
            </w:tcBorders>
          </w:tcPr>
          <w:p>
            <w:pPr>
              <w:spacing w:after="0"/>
              <w:rPr>
                <w:sz w:val="11"/>
                <w:szCs w:val="11"/>
                <w:color w:val="auto"/>
              </w:rPr>
            </w:pPr>
          </w:p>
        </w:tc>
        <w:tc>
          <w:tcPr>
            <w:tcW w:w="23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40" w:type="dxa"/>
            <w:vAlign w:val="bottom"/>
            <w:tcBorders>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Total Portfolio Investment Assets</w:t>
            </w:r>
          </w:p>
        </w:tc>
        <w:tc>
          <w:tcPr>
            <w:tcW w:w="1020" w:type="dxa"/>
            <w:vAlign w:val="bottom"/>
            <w:tcBorders>
              <w:bottom w:val="single" w:sz="8" w:color="CCEEFF"/>
            </w:tcBorders>
            <w:shd w:val="clear" w:color="auto" w:fill="CCEEFF"/>
          </w:tcPr>
          <w:p>
            <w:pPr>
              <w:spacing w:after="0"/>
              <w:rPr>
                <w:sz w:val="11"/>
                <w:szCs w:val="11"/>
                <w:color w:val="auto"/>
              </w:rPr>
            </w:pPr>
          </w:p>
        </w:tc>
        <w:tc>
          <w:tcPr>
            <w:tcW w:w="23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4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34,434</w:t>
            </w:r>
          </w:p>
        </w:tc>
        <w:tc>
          <w:tcPr>
            <w:tcW w:w="14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0"/>
              </w:rPr>
              <w:t>34,069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restart"/>
          </w:tcPr>
          <w:p>
            <w:pPr>
              <w:spacing w:after="0"/>
              <w:rPr>
                <w:sz w:val="10"/>
                <w:szCs w:val="10"/>
                <w:color w:val="auto"/>
              </w:rPr>
            </w:pPr>
          </w:p>
        </w:tc>
        <w:tc>
          <w:tcPr>
            <w:tcW w:w="22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Short Term Investments — Unrestricted Investments</w:t>
            </w:r>
          </w:p>
        </w:tc>
        <w:tc>
          <w:tcPr>
            <w:tcW w:w="102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440" w:type="dxa"/>
            <w:vAlign w:val="bottom"/>
            <w:gridSpan w:val="2"/>
          </w:tcPr>
          <w:p>
            <w:pPr>
              <w:spacing w:after="0" w:line="135" w:lineRule="exact"/>
              <w:rPr>
                <w:sz w:val="20"/>
                <w:szCs w:val="20"/>
                <w:color w:val="auto"/>
              </w:rPr>
            </w:pPr>
            <w:r>
              <w:rPr>
                <w:rFonts w:ascii="Arial" w:cs="Arial" w:eastAsia="Arial" w:hAnsi="Arial"/>
                <w:sz w:val="13"/>
                <w:szCs w:val="13"/>
                <w:color w:val="auto"/>
              </w:rPr>
              <w:t>US Bank Money Market Deposit Account (6)</w:t>
            </w:r>
          </w:p>
        </w:tc>
        <w:tc>
          <w:tcPr>
            <w:tcW w:w="10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gridSpan w:val="2"/>
          </w:tcPr>
          <w:p>
            <w:pPr>
              <w:ind w:left="80"/>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287</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40" w:type="dxa"/>
            <w:vAlign w:val="bottom"/>
            <w:tcBorders>
              <w:top w:val="single" w:sz="8" w:color="CCEEFF"/>
              <w:bottom w:val="single" w:sz="8" w:color="CCEEFF"/>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5"/>
              </w:rPr>
              <w:t>Total Short Term Investments — Unrestricted Investments</w:t>
            </w:r>
          </w:p>
        </w:tc>
        <w:tc>
          <w:tcPr>
            <w:tcW w:w="1020" w:type="dxa"/>
            <w:vAlign w:val="bottom"/>
            <w:tcBorders>
              <w:top w:val="single" w:sz="8" w:color="CCEEFF"/>
              <w:bottom w:val="single" w:sz="8" w:color="CCEEFF"/>
            </w:tcBorders>
            <w:shd w:val="clear" w:color="auto" w:fill="CCEEFF"/>
          </w:tcPr>
          <w:p>
            <w:pPr>
              <w:spacing w:after="0"/>
              <w:rPr>
                <w:sz w:val="11"/>
                <w:szCs w:val="11"/>
                <w:color w:val="auto"/>
              </w:rPr>
            </w:pPr>
          </w:p>
        </w:tc>
        <w:tc>
          <w:tcPr>
            <w:tcW w:w="23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44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287</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30"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All investments of HSLFI are in entities which are organized under the laws of the United States and have a principal place of business in the United States.</w:t>
      </w:r>
    </w:p>
    <w:p>
      <w:pPr>
        <w:jc w:val="both"/>
        <w:ind w:left="380" w:right="79"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March 31, 2020 is provided.</w:t>
      </w:r>
    </w:p>
    <w:p>
      <w:pPr>
        <w:spacing w:after="0" w:line="1" w:lineRule="exact"/>
        <w:rPr>
          <w:rFonts w:ascii="Arial" w:cs="Arial" w:eastAsia="Arial" w:hAnsi="Arial"/>
          <w:sz w:val="14"/>
          <w:szCs w:val="14"/>
          <w:color w:val="auto"/>
        </w:rPr>
      </w:pPr>
    </w:p>
    <w:p>
      <w:pPr>
        <w:jc w:val="both"/>
        <w:ind w:left="380" w:right="79"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ind w:left="380"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Warrants are non-income producing.</w:t>
      </w:r>
    </w:p>
    <w:p>
      <w:pPr>
        <w:ind w:left="380"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 debt investments, represents principal balance less unearned income.</w:t>
      </w:r>
    </w:p>
    <w:p>
      <w:pPr>
        <w:ind w:left="380" w:hanging="330"/>
        <w:spacing w:after="0" w:line="221" w:lineRule="auto"/>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Has been pledged as collateral under the NYL Facility.</w:t>
      </w:r>
    </w:p>
    <w:p>
      <w:pPr>
        <w:ind w:left="380" w:hanging="330"/>
        <w:spacing w:after="0"/>
        <w:tabs>
          <w:tab w:leader="none" w:pos="3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fair value of the investment was valued using significant unobservable inputs.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6" w:lineRule="exact"/>
        <w:rPr>
          <w:sz w:val="20"/>
          <w:szCs w:val="20"/>
          <w:color w:val="auto"/>
        </w:rPr>
      </w:pPr>
    </w:p>
    <w:p>
      <w:pPr>
        <w:ind w:left="380" w:hanging="330"/>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Portfolio company is a public company.</w:t>
      </w:r>
    </w:p>
    <w:p>
      <w:pPr>
        <w:ind w:left="380" w:hanging="330"/>
        <w:spacing w:after="0"/>
        <w:tabs>
          <w:tab w:leader="none" w:pos="380" w:val="left"/>
        </w:tabs>
        <w:numPr>
          <w:ilvl w:val="0"/>
          <w:numId w:val="8"/>
        </w:numPr>
        <w:rPr>
          <w:rFonts w:ascii="Arial" w:cs="Arial" w:eastAsia="Arial" w:hAnsi="Arial"/>
          <w:sz w:val="14"/>
          <w:szCs w:val="14"/>
          <w:color w:val="auto"/>
        </w:rPr>
      </w:pPr>
      <w:r>
        <w:rPr>
          <w:rFonts w:ascii="Arial" w:cs="Arial" w:eastAsia="Arial" w:hAnsi="Arial"/>
          <w:sz w:val="14"/>
          <w:szCs w:val="14"/>
          <w:color w:val="auto"/>
        </w:rPr>
        <w:t>New Signature US, Inc. is a subsidiary of BSI Platform Holdings, LLC.</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HSLFI’s investments as of December 31, 2019:</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77"/>
              <w:spacing w:after="0"/>
              <w:rPr>
                <w:sz w:val="20"/>
                <w:szCs w:val="20"/>
                <w:color w:val="auto"/>
              </w:rPr>
            </w:pPr>
            <w:r>
              <w:rPr>
                <w:rFonts w:ascii="Arial" w:cs="Arial" w:eastAsia="Arial" w:hAnsi="Arial"/>
                <w:sz w:val="13"/>
                <w:szCs w:val="13"/>
                <w:b w:val="1"/>
                <w:bCs w:val="1"/>
                <w:color w:val="auto"/>
                <w:w w:val="87"/>
              </w:rPr>
              <w:t>Principal</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4"/>
              </w:rPr>
              <w:t>Cost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77"/>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53"/>
        </w:trPr>
        <w:tc>
          <w:tcPr>
            <w:tcW w:w="2380" w:type="dxa"/>
            <w:vAlign w:val="bottom"/>
            <w:gridSpan w:val="3"/>
          </w:tcPr>
          <w:p>
            <w:pPr>
              <w:ind w:left="20"/>
              <w:spacing w:after="0" w:line="154" w:lineRule="exact"/>
              <w:rPr>
                <w:sz w:val="20"/>
                <w:szCs w:val="20"/>
                <w:color w:val="auto"/>
              </w:rPr>
            </w:pPr>
            <w:r>
              <w:rPr>
                <w:rFonts w:ascii="Arial" w:cs="Arial" w:eastAsia="Arial" w:hAnsi="Arial"/>
                <w:sz w:val="12"/>
                <w:szCs w:val="12"/>
                <w:b w:val="1"/>
                <w:bCs w:val="1"/>
                <w:color w:val="auto"/>
              </w:rPr>
              <w:t xml:space="preserve">Portfolio Company </w:t>
            </w:r>
            <w:r>
              <w:rPr>
                <w:rFonts w:ascii="Arial" w:cs="Arial" w:eastAsia="Arial" w:hAnsi="Arial"/>
                <w:sz w:val="17"/>
                <w:szCs w:val="17"/>
                <w:b w:val="1"/>
                <w:bCs w:val="1"/>
                <w:color w:val="auto"/>
                <w:vertAlign w:val="superscript"/>
              </w:rPr>
              <w:t>(1)</w:t>
            </w:r>
          </w:p>
        </w:tc>
        <w:tc>
          <w:tcPr>
            <w:tcW w:w="1100" w:type="dxa"/>
            <w:vAlign w:val="bottom"/>
          </w:tcPr>
          <w:p>
            <w:pPr>
              <w:ind w:left="420"/>
              <w:spacing w:after="0"/>
              <w:rPr>
                <w:sz w:val="20"/>
                <w:szCs w:val="20"/>
                <w:color w:val="auto"/>
              </w:rPr>
            </w:pPr>
            <w:r>
              <w:rPr>
                <w:rFonts w:ascii="Arial" w:cs="Arial" w:eastAsia="Arial" w:hAnsi="Arial"/>
                <w:sz w:val="13"/>
                <w:szCs w:val="13"/>
                <w:b w:val="1"/>
                <w:bCs w:val="1"/>
                <w:color w:val="auto"/>
              </w:rPr>
              <w:t>Sector</w:t>
            </w:r>
          </w:p>
        </w:tc>
        <w:tc>
          <w:tcPr>
            <w:tcW w:w="2800" w:type="dxa"/>
            <w:vAlign w:val="bottom"/>
          </w:tcPr>
          <w:p>
            <w:pPr>
              <w:ind w:left="820"/>
              <w:spacing w:after="0" w:line="154" w:lineRule="exact"/>
              <w:rPr>
                <w:sz w:val="20"/>
                <w:szCs w:val="20"/>
                <w:color w:val="auto"/>
              </w:rPr>
            </w:pPr>
            <w:r>
              <w:rPr>
                <w:rFonts w:ascii="Arial" w:cs="Arial" w:eastAsia="Arial" w:hAnsi="Arial"/>
                <w:sz w:val="12"/>
                <w:szCs w:val="12"/>
                <w:b w:val="1"/>
                <w:bCs w:val="1"/>
                <w:color w:val="auto"/>
              </w:rPr>
              <w:t xml:space="preserve">Type of Investment </w:t>
            </w:r>
            <w:r>
              <w:rPr>
                <w:rFonts w:ascii="Arial" w:cs="Arial" w:eastAsia="Arial" w:hAnsi="Arial"/>
                <w:sz w:val="17"/>
                <w:szCs w:val="17"/>
                <w:b w:val="1"/>
                <w:bCs w:val="1"/>
                <w:color w:val="auto"/>
                <w:vertAlign w:val="superscript"/>
              </w:rPr>
              <w:t>(2)(3)(4)</w:t>
            </w:r>
          </w:p>
        </w:tc>
        <w:tc>
          <w:tcPr>
            <w:tcW w:w="3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1000" w:type="dxa"/>
            <w:vAlign w:val="bottom"/>
            <w:gridSpan w:val="4"/>
          </w:tcPr>
          <w:p>
            <w:pPr>
              <w:jc w:val="center"/>
              <w:ind w:right="40"/>
              <w:spacing w:after="0" w:line="154" w:lineRule="exact"/>
              <w:rPr>
                <w:sz w:val="20"/>
                <w:szCs w:val="20"/>
                <w:color w:val="auto"/>
              </w:rPr>
            </w:pPr>
            <w:r>
              <w:rPr>
                <w:rFonts w:ascii="Arial" w:cs="Arial" w:eastAsia="Arial" w:hAnsi="Arial"/>
                <w:sz w:val="12"/>
                <w:szCs w:val="12"/>
                <w:b w:val="1"/>
                <w:bCs w:val="1"/>
                <w:color w:val="auto"/>
                <w:w w:val="90"/>
              </w:rPr>
              <w:t>Investments</w:t>
            </w:r>
            <w:r>
              <w:rPr>
                <w:rFonts w:ascii="Arial" w:cs="Arial" w:eastAsia="Arial" w:hAnsi="Arial"/>
                <w:sz w:val="17"/>
                <w:szCs w:val="17"/>
                <w:b w:val="1"/>
                <w:bCs w:val="1"/>
                <w:color w:val="auto"/>
                <w:w w:val="90"/>
                <w:vertAlign w:val="superscript"/>
              </w:rPr>
              <w:t>(5)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137"/>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2800" w:type="dxa"/>
            <w:vAlign w:val="bottom"/>
            <w:tcBorders>
              <w:top w:val="single" w:sz="8" w:color="auto"/>
            </w:tcBorders>
            <w:shd w:val="clear" w:color="auto" w:fill="CCEEFF"/>
          </w:tcPr>
          <w:p>
            <w:pPr>
              <w:ind w:left="380"/>
              <w:spacing w:after="0" w:line="129" w:lineRule="exact"/>
              <w:rPr>
                <w:sz w:val="20"/>
                <w:szCs w:val="20"/>
                <w:color w:val="auto"/>
              </w:rPr>
            </w:pPr>
            <w:r>
              <w:rPr>
                <w:rFonts w:ascii="Arial" w:cs="Arial" w:eastAsia="Arial" w:hAnsi="Arial"/>
                <w:sz w:val="13"/>
                <w:szCs w:val="13"/>
                <w:b w:val="1"/>
                <w:bCs w:val="1"/>
                <w:color w:val="auto"/>
              </w:rPr>
              <w:t>(Dollars in thousands)</w:t>
            </w:r>
          </w:p>
        </w:tc>
        <w:tc>
          <w:tcPr>
            <w:tcW w:w="3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Debt Investments — Life science</w:t>
            </w:r>
          </w:p>
        </w:tc>
        <w:tc>
          <w:tcPr>
            <w:tcW w:w="1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Celsion Corporation (6)(7)(8)</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Biotechnology</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9"/>
              </w:rPr>
              <w:t>Term Loan (9.63% cash (Libor + 7.63%; Floor</w:t>
            </w:r>
          </w:p>
        </w:tc>
        <w:tc>
          <w:tcPr>
            <w:tcW w:w="3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2,500</w:t>
            </w:r>
          </w:p>
        </w:tc>
        <w:tc>
          <w:tcPr>
            <w:tcW w:w="220" w:type="dxa"/>
            <w:vAlign w:val="bottom"/>
            <w:gridSpan w:val="2"/>
            <w:shd w:val="clear" w:color="auto" w:fill="CCEEFF"/>
          </w:tcPr>
          <w:p>
            <w:pPr>
              <w:jc w:val="right"/>
              <w:ind w:right="54"/>
              <w:spacing w:after="0" w:line="121"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2,464</w:t>
            </w:r>
          </w:p>
        </w:tc>
        <w:tc>
          <w:tcPr>
            <w:tcW w:w="140" w:type="dxa"/>
            <w:vAlign w:val="bottom"/>
            <w:shd w:val="clear" w:color="auto" w:fill="CCEEFF"/>
          </w:tcPr>
          <w:p>
            <w:pPr>
              <w:spacing w:after="0"/>
              <w:rPr>
                <w:sz w:val="10"/>
                <w:szCs w:val="10"/>
                <w:color w:val="auto"/>
              </w:rPr>
            </w:pP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9.63%), 4.00% ETP, Due 7/1/22)</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9"/>
              </w:rPr>
              <w:t>Term Loan (9.63% cash (Libor + 7.63%; Floor</w:t>
            </w:r>
          </w:p>
        </w:tc>
        <w:tc>
          <w:tcPr>
            <w:tcW w:w="30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2,500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2,464</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3"/>
                <w:szCs w:val="13"/>
                <w:color w:val="auto"/>
              </w:rPr>
              <w:t>2,464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9.63%), 4.00% ETP, Due 7/1/22)</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Encore Dermatology, Inc. (6)(7)</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Biotechnology</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7"/>
              </w:rPr>
              <w:t>Term Loan (10.00% cash (Libor + 7.50%; Floor</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5,000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4,929</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4,929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10.00%), 3.00% ETP, Due 4/1/23)</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tcPr>
          <w:p>
            <w:pPr>
              <w:spacing w:after="0" w:line="121" w:lineRule="exact"/>
              <w:rPr>
                <w:sz w:val="20"/>
                <w:szCs w:val="20"/>
                <w:color w:val="auto"/>
              </w:rPr>
            </w:pPr>
            <w:r>
              <w:rPr>
                <w:rFonts w:ascii="Arial" w:cs="Arial" w:eastAsia="Arial" w:hAnsi="Arial"/>
                <w:sz w:val="13"/>
                <w:szCs w:val="13"/>
                <w:color w:val="auto"/>
              </w:rPr>
              <w:t>Mustang Bio, Inc. (6)(7)(8)</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Biotechnology</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9"/>
              </w:rPr>
              <w:t>Term Loan (9.00% cash (Libor + 6.50%; Floor</w:t>
            </w:r>
          </w:p>
        </w:tc>
        <w:tc>
          <w:tcPr>
            <w:tcW w:w="30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4,924</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3"/>
                <w:szCs w:val="13"/>
                <w:color w:val="auto"/>
              </w:rPr>
              <w:t>4,924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9.00%), 5.00% ETP, Due 10/1/22)</w:t>
            </w:r>
          </w:p>
        </w:tc>
        <w:tc>
          <w:tcPr>
            <w:tcW w:w="30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rPr>
              <w:t>Total Debt Investments — Life science</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14,781</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14,781</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Debt Investments — Technology</w:t>
            </w:r>
          </w:p>
        </w:tc>
        <w:tc>
          <w:tcPr>
            <w:tcW w:w="1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Bridge2 Solutions, LLC (6)(7)</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9"/>
              </w:rPr>
              <w:t>Term Loan (11.00% cash (Libor + 8.4%; Floor</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500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481</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11.00%), 2.00% ETP, Due 9/1/23)</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tcPr>
          <w:p>
            <w:pPr>
              <w:spacing w:after="0" w:line="121" w:lineRule="exact"/>
              <w:rPr>
                <w:sz w:val="20"/>
                <w:szCs w:val="20"/>
                <w:color w:val="auto"/>
              </w:rPr>
            </w:pPr>
            <w:r>
              <w:rPr>
                <w:rFonts w:ascii="Arial" w:cs="Arial" w:eastAsia="Arial" w:hAnsi="Arial"/>
                <w:sz w:val="13"/>
                <w:szCs w:val="13"/>
                <w:color w:val="auto"/>
              </w:rPr>
              <w:t>New Signature US, Inc. (6)(7)(9)</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7"/>
              </w:rPr>
              <w:t>Term Loan (10.50% cash (Libor + 8.50%; Floor</w:t>
            </w:r>
          </w:p>
        </w:tc>
        <w:tc>
          <w:tcPr>
            <w:tcW w:w="30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8,250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8,163</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3"/>
                <w:szCs w:val="13"/>
                <w:color w:val="auto"/>
              </w:rPr>
              <w:t>8,163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10.50%), 3.50% ETP, Due 7/1/22)</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2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7"/>
              </w:rPr>
              <w:t>Term Loan (10.50% cash (Libor + 8.50%; Floor</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3,000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2,961</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2,961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10.50%), 3.50% ETP, Due 2/1/23)</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tcPr>
          <w:p>
            <w:pPr>
              <w:spacing w:after="0" w:line="121" w:lineRule="exact"/>
              <w:rPr>
                <w:sz w:val="20"/>
                <w:szCs w:val="20"/>
                <w:color w:val="auto"/>
              </w:rPr>
            </w:pPr>
            <w:r>
              <w:rPr>
                <w:rFonts w:ascii="Arial" w:cs="Arial" w:eastAsia="Arial" w:hAnsi="Arial"/>
                <w:sz w:val="13"/>
                <w:szCs w:val="13"/>
                <w:color w:val="auto"/>
              </w:rPr>
              <w:t>OutboundEngine, Inc. (6)(7)</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7"/>
              </w:rPr>
              <w:t>Term Loan (11.15% cash (Libor + 8.40%; Floor</w:t>
            </w:r>
          </w:p>
        </w:tc>
        <w:tc>
          <w:tcPr>
            <w:tcW w:w="30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500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491</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3"/>
                <w:szCs w:val="13"/>
                <w:color w:val="auto"/>
              </w:rPr>
              <w:t>491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11.15%), 3.00% ETP, Due 7/1/23)</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Revinate, Inc. (6)(7)</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9"/>
              </w:rPr>
              <w:t>Term Loan (9.50% cash (Libor + 7.00%; Floor</w:t>
            </w:r>
          </w:p>
        </w:tc>
        <w:tc>
          <w:tcPr>
            <w:tcW w:w="300" w:type="dxa"/>
            <w:vAlign w:val="bottom"/>
            <w:shd w:val="clear" w:color="auto" w:fill="CCEEFF"/>
          </w:tcPr>
          <w:p>
            <w:pPr>
              <w:spacing w:after="0"/>
              <w:rPr>
                <w:sz w:val="10"/>
                <w:szCs w:val="10"/>
                <w:color w:val="auto"/>
              </w:rPr>
            </w:pPr>
          </w:p>
        </w:tc>
        <w:tc>
          <w:tcPr>
            <w:tcW w:w="64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4,000</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3,952</w:t>
            </w:r>
          </w:p>
        </w:tc>
        <w:tc>
          <w:tcPr>
            <w:tcW w:w="1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3,952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9.50%), 3.00% ETP, Due 6/1/23)</w:t>
            </w: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w w:val="99"/>
              </w:rPr>
              <w:t>Total Debt Investments — Technology</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16,048</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16,048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6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7"/>
              </w:rPr>
              <w:t>Debt Investments — Healthcare information and services</w:t>
            </w: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360" w:type="dxa"/>
            <w:vAlign w:val="bottom"/>
            <w:gridSpan w:val="2"/>
          </w:tcPr>
          <w:p>
            <w:pPr>
              <w:spacing w:after="0" w:line="121" w:lineRule="exact"/>
              <w:rPr>
                <w:sz w:val="20"/>
                <w:szCs w:val="20"/>
                <w:color w:val="auto"/>
              </w:rPr>
            </w:pPr>
            <w:r>
              <w:rPr>
                <w:rFonts w:ascii="Arial" w:cs="Arial" w:eastAsia="Arial" w:hAnsi="Arial"/>
                <w:sz w:val="13"/>
                <w:szCs w:val="13"/>
                <w:color w:val="auto"/>
              </w:rPr>
              <w:t>HealthEdge Software, Inc. (6)(7)</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9"/>
              </w:rPr>
              <w:t>Term Loan (9.94% cash (Libor + 8.25%; Floor</w:t>
            </w:r>
          </w:p>
        </w:tc>
        <w:tc>
          <w:tcPr>
            <w:tcW w:w="300" w:type="dxa"/>
            <w:vAlign w:val="bottom"/>
          </w:tcPr>
          <w:p>
            <w:pPr>
              <w:spacing w:after="0"/>
              <w:rPr>
                <w:sz w:val="10"/>
                <w:szCs w:val="10"/>
                <w:color w:val="auto"/>
              </w:rPr>
            </w:pPr>
          </w:p>
        </w:tc>
        <w:tc>
          <w:tcPr>
            <w:tcW w:w="640" w:type="dxa"/>
            <w:vAlign w:val="bottom"/>
          </w:tcPr>
          <w:p>
            <w:pPr>
              <w:jc w:val="right"/>
              <w:ind w:right="17"/>
              <w:spacing w:after="0" w:line="121" w:lineRule="exact"/>
              <w:rPr>
                <w:sz w:val="20"/>
                <w:szCs w:val="20"/>
                <w:color w:val="auto"/>
              </w:rPr>
            </w:pPr>
            <w:r>
              <w:rPr>
                <w:rFonts w:ascii="Arial" w:cs="Arial" w:eastAsia="Arial" w:hAnsi="Arial"/>
                <w:sz w:val="13"/>
                <w:szCs w:val="13"/>
                <w:color w:val="auto"/>
              </w:rPr>
              <w:t>3,750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3,709</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right"/>
              <w:spacing w:after="0" w:line="121" w:lineRule="exact"/>
              <w:rPr>
                <w:sz w:val="20"/>
                <w:szCs w:val="20"/>
                <w:color w:val="auto"/>
              </w:rPr>
            </w:pPr>
            <w:r>
              <w:rPr>
                <w:rFonts w:ascii="Arial" w:cs="Arial" w:eastAsia="Arial" w:hAnsi="Arial"/>
                <w:sz w:val="13"/>
                <w:szCs w:val="13"/>
                <w:color w:val="auto"/>
              </w:rPr>
              <w:t>3,709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9.25%), 3.00% ETP, Due 10/1/23)</w:t>
            </w:r>
          </w:p>
        </w:tc>
        <w:tc>
          <w:tcPr>
            <w:tcW w:w="30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w w:val="95"/>
              </w:rPr>
              <w:t>Total Debt Investments — Healthcare information and services</w:t>
            </w: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3,709</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3,709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rPr>
              <w:t>Total Debt Investments</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34,538</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34,538</w:t>
            </w: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Warrant Investments — Life science</w:t>
            </w:r>
          </w:p>
        </w:tc>
        <w:tc>
          <w:tcPr>
            <w:tcW w:w="1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Celsion Corporation (6)(7)(8)</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Biotechnology</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95,057 Common Stock Warrants</w:t>
            </w: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3"/>
                <w:szCs w:val="13"/>
                <w:color w:val="auto"/>
              </w:rPr>
              <w:t>Encore Dermatology, Inc. (6)(7)</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Biotechnology</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503,626 Preferred Stock Warrants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Mustang Bio, Inc. (6)(7)(8)</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Biotechnology</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72,046 Common Stock Warrants</w:t>
            </w: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3"/>
                <w:szCs w:val="13"/>
                <w:color w:val="auto"/>
              </w:rPr>
              <w:t>CSA Medical, Inc. (6)(7)</w:t>
            </w:r>
          </w:p>
        </w:tc>
        <w:tc>
          <w:tcPr>
            <w:tcW w:w="1100" w:type="dxa"/>
            <w:vAlign w:val="bottom"/>
            <w:tcBorders>
              <w:bottom w:val="single" w:sz="8" w:color="CCEEFF"/>
            </w:tcBorders>
          </w:tcPr>
          <w:p>
            <w:pPr>
              <w:ind w:left="60"/>
              <w:spacing w:after="0" w:line="135" w:lineRule="exact"/>
              <w:rPr>
                <w:sz w:val="20"/>
                <w:szCs w:val="20"/>
                <w:color w:val="auto"/>
              </w:rPr>
            </w:pPr>
            <w:r>
              <w:rPr>
                <w:rFonts w:ascii="Arial" w:cs="Arial" w:eastAsia="Arial" w:hAnsi="Arial"/>
                <w:sz w:val="13"/>
                <w:szCs w:val="13"/>
                <w:color w:val="auto"/>
              </w:rPr>
              <w:t>Medical Device</w:t>
            </w:r>
          </w:p>
        </w:tc>
        <w:tc>
          <w:tcPr>
            <w:tcW w:w="2800" w:type="dxa"/>
            <w:vAlign w:val="bottom"/>
            <w:tcBorders>
              <w:bottom w:val="single" w:sz="8" w:color="CCEEFF"/>
            </w:tcBorders>
          </w:tcPr>
          <w:p>
            <w:pPr>
              <w:ind w:left="140"/>
              <w:spacing w:after="0" w:line="135" w:lineRule="exact"/>
              <w:rPr>
                <w:sz w:val="20"/>
                <w:szCs w:val="20"/>
                <w:color w:val="auto"/>
              </w:rPr>
            </w:pPr>
            <w:r>
              <w:rPr>
                <w:rFonts w:ascii="Arial" w:cs="Arial" w:eastAsia="Arial" w:hAnsi="Arial"/>
                <w:sz w:val="13"/>
                <w:szCs w:val="13"/>
                <w:color w:val="auto"/>
              </w:rPr>
              <w:t>17,751 Preferred Stock Warrants</w:t>
            </w: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6"/>
              </w:rPr>
              <w:t>Total Warrant Investments — Life science</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gridSpan w:val="2"/>
          </w:tcPr>
          <w:p>
            <w:pPr>
              <w:spacing w:after="0" w:line="129" w:lineRule="exact"/>
              <w:rPr>
                <w:sz w:val="20"/>
                <w:szCs w:val="20"/>
                <w:color w:val="auto"/>
              </w:rPr>
            </w:pPr>
            <w:r>
              <w:rPr>
                <w:rFonts w:ascii="Arial" w:cs="Arial" w:eastAsia="Arial" w:hAnsi="Arial"/>
                <w:sz w:val="13"/>
                <w:szCs w:val="13"/>
                <w:b w:val="1"/>
                <w:bCs w:val="1"/>
                <w:color w:val="auto"/>
              </w:rPr>
              <w:t>Warrant Investments — Technology</w:t>
            </w:r>
          </w:p>
        </w:tc>
        <w:tc>
          <w:tcPr>
            <w:tcW w:w="1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Intelepeer Holdings, Inc.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Communications</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2,081,934 Preferred Stock Warrants</w:t>
            </w: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3"/>
                <w:szCs w:val="13"/>
                <w:color w:val="auto"/>
              </w:rPr>
              <w:t>Bridge2 Solutions, LLC (6)(7)</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2,500 Common Stock Warrants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BSI Platform Holdings, LLC (6)(7)(9)</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562,500 Preferred Stock Warrants</w:t>
            </w: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3"/>
                <w:szCs w:val="13"/>
                <w:color w:val="auto"/>
              </w:rPr>
              <w:t>OutboundEngine, Inc. (6)(7)</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40,000 Preferred Stock Warrants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Revinate Inc.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216,362 Preferred Stock Warrants</w:t>
            </w: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color w:val="auto"/>
                <w:w w:val="97"/>
              </w:rPr>
              <w:t>Total Warrant Investments — Technology</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198</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192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6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2"/>
              </w:rPr>
              <w:t>Warrant Investments — Healthcare information and services</w:t>
            </w: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tcBorders>
              <w:bottom w:val="single" w:sz="8" w:color="CCEEFF"/>
            </w:tcBorders>
            <w:gridSpan w:val="2"/>
          </w:tcPr>
          <w:p>
            <w:pPr>
              <w:spacing w:after="0" w:line="135" w:lineRule="exact"/>
              <w:rPr>
                <w:sz w:val="20"/>
                <w:szCs w:val="20"/>
                <w:color w:val="auto"/>
              </w:rPr>
            </w:pPr>
            <w:r>
              <w:rPr>
                <w:rFonts w:ascii="Arial" w:cs="Arial" w:eastAsia="Arial" w:hAnsi="Arial"/>
                <w:sz w:val="13"/>
                <w:szCs w:val="13"/>
                <w:color w:val="auto"/>
              </w:rPr>
              <w:t>HealthEdge Software, Inc. (6)(7)</w:t>
            </w:r>
          </w:p>
        </w:tc>
        <w:tc>
          <w:tcPr>
            <w:tcW w:w="1100" w:type="dxa"/>
            <w:vAlign w:val="bottom"/>
            <w:tcBorders>
              <w:bottom w:val="single" w:sz="8" w:color="CCEEFF"/>
            </w:tcBorders>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tcBorders>
              <w:bottom w:val="single" w:sz="8" w:color="CCEEFF"/>
            </w:tcBorders>
          </w:tcPr>
          <w:p>
            <w:pPr>
              <w:ind w:left="140"/>
              <w:spacing w:after="0" w:line="135" w:lineRule="exact"/>
              <w:rPr>
                <w:sz w:val="20"/>
                <w:szCs w:val="20"/>
                <w:color w:val="auto"/>
              </w:rPr>
            </w:pPr>
            <w:r>
              <w:rPr>
                <w:rFonts w:ascii="Arial" w:cs="Arial" w:eastAsia="Arial" w:hAnsi="Arial"/>
                <w:sz w:val="13"/>
                <w:szCs w:val="13"/>
                <w:color w:val="auto"/>
              </w:rPr>
              <w:t>47,418 Preferred Stock Warrants</w:t>
            </w: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460" w:type="dxa"/>
            <w:vAlign w:val="bottom"/>
            <w:gridSpan w:val="3"/>
            <w:shd w:val="clear" w:color="auto" w:fill="CCEEFF"/>
          </w:tcPr>
          <w:p>
            <w:pPr>
              <w:spacing w:after="0" w:line="129" w:lineRule="exact"/>
              <w:rPr>
                <w:sz w:val="20"/>
                <w:szCs w:val="20"/>
                <w:color w:val="auto"/>
              </w:rPr>
            </w:pPr>
            <w:r>
              <w:rPr>
                <w:rFonts w:ascii="Arial" w:cs="Arial" w:eastAsia="Arial" w:hAnsi="Arial"/>
                <w:sz w:val="13"/>
                <w:szCs w:val="13"/>
                <w:color w:val="auto"/>
                <w:w w:val="90"/>
              </w:rPr>
              <w:t>Total Warrant Investments — Healthcare information and services</w:t>
            </w: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360" w:type="dxa"/>
            <w:vAlign w:val="bottom"/>
            <w:tcBorders>
              <w:bottom w:val="single" w:sz="8" w:color="CCEEFF"/>
            </w:tcBorders>
            <w:gridSpan w:val="2"/>
          </w:tcPr>
          <w:p>
            <w:pPr>
              <w:spacing w:after="0" w:line="129" w:lineRule="exact"/>
              <w:rPr>
                <w:sz w:val="20"/>
                <w:szCs w:val="20"/>
                <w:color w:val="auto"/>
              </w:rPr>
            </w:pPr>
            <w:r>
              <w:rPr>
                <w:rFonts w:ascii="Arial" w:cs="Arial" w:eastAsia="Arial" w:hAnsi="Arial"/>
                <w:sz w:val="13"/>
                <w:szCs w:val="13"/>
                <w:b w:val="1"/>
                <w:bCs w:val="1"/>
                <w:color w:val="auto"/>
              </w:rPr>
              <w:t>Total Warrant Investments</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64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357</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291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38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rPr>
              <w:t>Total Portfolio Investment Assets</w:t>
            </w:r>
          </w:p>
        </w:tc>
        <w:tc>
          <w:tcPr>
            <w:tcW w:w="11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34,895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34,829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CCEEFF"/>
            </w:tcBorders>
            <w:shd w:val="clear" w:color="auto" w:fill="CCEEFF"/>
          </w:tcPr>
          <w:p>
            <w:pPr>
              <w:spacing w:after="0"/>
              <w:rPr>
                <w:sz w:val="10"/>
                <w:szCs w:val="10"/>
                <w:color w:val="auto"/>
              </w:rPr>
            </w:pPr>
          </w:p>
        </w:tc>
        <w:tc>
          <w:tcPr>
            <w:tcW w:w="28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Short Term Investments — Unrestricted Investments</w:t>
            </w: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1"/>
              </w:rPr>
              <w:t>US Bank Money Market Deposit Account (6)</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54"/>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11,201</w:t>
            </w:r>
          </w:p>
        </w:tc>
        <w:tc>
          <w:tcPr>
            <w:tcW w:w="1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11,201</w:t>
            </w:r>
          </w:p>
        </w:tc>
        <w:tc>
          <w:tcPr>
            <w:tcW w:w="0" w:type="dxa"/>
            <w:vAlign w:val="bottom"/>
          </w:tcPr>
          <w:p>
            <w:pPr>
              <w:spacing w:after="0"/>
              <w:rPr>
                <w:sz w:val="1"/>
                <w:szCs w:val="1"/>
                <w:color w:val="auto"/>
              </w:rPr>
            </w:pPr>
          </w:p>
        </w:tc>
      </w:tr>
      <w:tr>
        <w:trPr>
          <w:trHeight w:val="169"/>
        </w:trPr>
        <w:tc>
          <w:tcPr>
            <w:tcW w:w="3480" w:type="dxa"/>
            <w:vAlign w:val="bottom"/>
            <w:gridSpan w:val="4"/>
          </w:tcPr>
          <w:p>
            <w:pPr>
              <w:ind w:left="20"/>
              <w:spacing w:after="0" w:line="129" w:lineRule="exact"/>
              <w:rPr>
                <w:sz w:val="20"/>
                <w:szCs w:val="20"/>
                <w:color w:val="auto"/>
              </w:rPr>
            </w:pPr>
            <w:r>
              <w:rPr>
                <w:rFonts w:ascii="Arial" w:cs="Arial" w:eastAsia="Arial" w:hAnsi="Arial"/>
                <w:sz w:val="13"/>
                <w:szCs w:val="13"/>
                <w:b w:val="1"/>
                <w:bCs w:val="1"/>
                <w:color w:val="auto"/>
                <w:w w:val="95"/>
              </w:rPr>
              <w:t>Total Short Term Investments — Unrestricted Investments</w:t>
            </w:r>
          </w:p>
        </w:tc>
        <w:tc>
          <w:tcPr>
            <w:tcW w:w="2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11,201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11,201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2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100" w:type="dxa"/>
            <w:vAlign w:val="bottom"/>
            <w:tcBorders>
              <w:top w:val="single" w:sz="8" w:color="CCEEFF"/>
            </w:tcBorders>
            <w:shd w:val="clear" w:color="auto" w:fill="CCEEFF"/>
          </w:tcPr>
          <w:p>
            <w:pPr>
              <w:spacing w:after="0"/>
              <w:rPr>
                <w:sz w:val="10"/>
                <w:szCs w:val="10"/>
                <w:color w:val="auto"/>
              </w:rPr>
            </w:pPr>
          </w:p>
        </w:tc>
        <w:tc>
          <w:tcPr>
            <w:tcW w:w="28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4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4"/>
              </w:rPr>
              <w:t>Short Term Investments — Restricted Money Market Funds</w:t>
            </w: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1"/>
              </w:rPr>
              <w:t>US Bank Money Market Deposit Account (6)</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54"/>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w:t>
            </w:r>
          </w:p>
        </w:tc>
        <w:tc>
          <w:tcPr>
            <w:tcW w:w="14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ind w:right="34"/>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128"/>
        </w:trPr>
        <w:tc>
          <w:tcPr>
            <w:tcW w:w="3480" w:type="dxa"/>
            <w:vAlign w:val="bottom"/>
            <w:gridSpan w:val="4"/>
          </w:tcPr>
          <w:p>
            <w:pPr>
              <w:ind w:left="20"/>
              <w:spacing w:after="0" w:line="129" w:lineRule="exact"/>
              <w:rPr>
                <w:sz w:val="20"/>
                <w:szCs w:val="20"/>
                <w:color w:val="auto"/>
              </w:rPr>
            </w:pPr>
            <w:r>
              <w:rPr>
                <w:rFonts w:ascii="Arial" w:cs="Arial" w:eastAsia="Arial" w:hAnsi="Arial"/>
                <w:sz w:val="13"/>
                <w:szCs w:val="13"/>
                <w:color w:val="auto"/>
                <w:w w:val="91"/>
              </w:rPr>
              <w:t>Total Short Term Investments — Restricted Money Market Funds</w:t>
            </w: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5"/>
                <w:szCs w:val="5"/>
                <w:color w:val="auto"/>
                <w:w w:val="70"/>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138</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9" w:hanging="330"/>
        <w:spacing w:after="0" w:line="230"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All investments of HSLFI are in entities which are organized under the laws of the United States and have a principal place of business in the United States.</w:t>
      </w:r>
    </w:p>
    <w:p>
      <w:pPr>
        <w:ind w:left="380" w:right="79" w:hanging="330"/>
        <w:spacing w:after="0" w:line="271" w:lineRule="auto"/>
        <w:tabs>
          <w:tab w:leader="none" w:pos="3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6" w:lineRule="exact"/>
        <w:rPr>
          <w:sz w:val="20"/>
          <w:szCs w:val="20"/>
          <w:color w:val="auto"/>
        </w:rPr>
      </w:pPr>
    </w:p>
    <w:p>
      <w:pPr>
        <w:jc w:val="both"/>
        <w:ind w:left="380" w:right="79"/>
        <w:spacing w:after="0" w:line="227" w:lineRule="auto"/>
        <w:rPr>
          <w:sz w:val="20"/>
          <w:szCs w:val="20"/>
          <w:color w:val="auto"/>
        </w:rPr>
      </w:pPr>
      <w:r>
        <w:rPr>
          <w:rFonts w:ascii="Arial" w:cs="Arial" w:eastAsia="Arial" w:hAnsi="Arial"/>
          <w:sz w:val="14"/>
          <w:szCs w:val="14"/>
          <w:color w:val="auto"/>
        </w:rPr>
        <w:t>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2019 is provided.</w:t>
      </w:r>
    </w:p>
    <w:p>
      <w:pPr>
        <w:spacing w:after="0" w:line="1" w:lineRule="exact"/>
        <w:rPr>
          <w:sz w:val="20"/>
          <w:szCs w:val="20"/>
          <w:color w:val="auto"/>
        </w:rPr>
      </w:pPr>
    </w:p>
    <w:p>
      <w:pPr>
        <w:jc w:val="both"/>
        <w:ind w:left="380" w:right="79" w:hanging="330"/>
        <w:spacing w:after="0" w:line="221"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ind w:left="380" w:hanging="330"/>
        <w:spacing w:after="0" w:line="221"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Warrants are non-income producing.</w:t>
      </w:r>
    </w:p>
    <w:p>
      <w:pPr>
        <w:ind w:left="380" w:hanging="330"/>
        <w:spacing w:after="0" w:line="221"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debt investments, represents principal balance less unearned income.</w:t>
      </w:r>
    </w:p>
    <w:p>
      <w:pPr>
        <w:ind w:left="380" w:hanging="330"/>
        <w:spacing w:after="0" w:line="221"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Has been pledged as collateral under the NYL Facility.</w:t>
      </w:r>
    </w:p>
    <w:p>
      <w:pPr>
        <w:ind w:left="380" w:hanging="330"/>
        <w:spacing w:after="0" w:line="221"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fair value of the investment was valued using significant unobservable inputs.</w:t>
      </w:r>
    </w:p>
    <w:p>
      <w:pPr>
        <w:ind w:left="380" w:hanging="330"/>
        <w:spacing w:after="0" w:line="221" w:lineRule="auto"/>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Portfolio company is a public company.</w:t>
      </w:r>
    </w:p>
    <w:p>
      <w:pPr>
        <w:ind w:left="380" w:hanging="330"/>
        <w:spacing w:after="0"/>
        <w:tabs>
          <w:tab w:leader="none" w:pos="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New Signature US, Inc. is a subsidiary of BSI Platform Holdings, LLC.</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tables show certain summarized financial information for HSLFI as of March 31, 2020 and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2019:</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w w:val="96"/>
              </w:rPr>
              <w:t>2019</w:t>
            </w:r>
          </w:p>
        </w:tc>
        <w:tc>
          <w:tcPr>
            <w:tcW w:w="20" w:type="dxa"/>
            <w:vAlign w:val="bottom"/>
          </w:tcPr>
          <w:p>
            <w:pPr>
              <w:spacing w:after="0"/>
              <w:rPr>
                <w:sz w:val="14"/>
                <w:szCs w:val="14"/>
                <w:color w:val="auto"/>
              </w:rPr>
            </w:pPr>
          </w:p>
        </w:tc>
      </w:tr>
      <w:tr>
        <w:trPr>
          <w:trHeight w:val="142"/>
        </w:trPr>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Selected Statement of Assets and Liabilities Information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Total investments at fair value (cost of $34,434 and $34,895, respectively)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34,069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34,829</w:t>
            </w:r>
          </w:p>
        </w:tc>
        <w:tc>
          <w:tcPr>
            <w:tcW w:w="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20" w:type="dxa"/>
            <w:vAlign w:val="bottom"/>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Investments in money market funds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11,201</w:t>
            </w:r>
          </w:p>
        </w:tc>
        <w:tc>
          <w:tcPr>
            <w:tcW w:w="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investments in money market funds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 w:type="dxa"/>
            <w:vAlign w:val="bottom"/>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20" w:type="dxa"/>
            <w:vAlign w:val="bottom"/>
          </w:tcPr>
          <w:p>
            <w:pPr>
              <w:spacing w:after="0"/>
              <w:rPr>
                <w:sz w:val="18"/>
                <w:szCs w:val="18"/>
                <w:color w:val="auto"/>
              </w:rPr>
            </w:pPr>
          </w:p>
        </w:tc>
      </w:tr>
      <w:tr>
        <w:trPr>
          <w:trHeight w:val="249"/>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36,465</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48,257</w:t>
            </w:r>
          </w:p>
        </w:tc>
        <w:tc>
          <w:tcPr>
            <w:tcW w:w="20" w:type="dxa"/>
            <w:vAlign w:val="bottom"/>
          </w:tcPr>
          <w:p>
            <w:pPr>
              <w:spacing w:after="0"/>
              <w:rPr>
                <w:sz w:val="21"/>
                <w:szCs w:val="21"/>
                <w:color w:val="auto"/>
              </w:rPr>
            </w:pPr>
          </w:p>
        </w:tc>
      </w:tr>
      <w:tr>
        <w:trPr>
          <w:trHeight w:val="197"/>
        </w:trPr>
        <w:tc>
          <w:tcPr>
            <w:tcW w:w="6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2,648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14,955</w:t>
            </w:r>
          </w:p>
        </w:tc>
        <w:tc>
          <w:tcPr>
            <w:tcW w:w="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tcPr>
          <w:p>
            <w:pPr>
              <w:spacing w:after="0"/>
              <w:rPr>
                <w:sz w:val="18"/>
                <w:szCs w:val="18"/>
                <w:color w:val="auto"/>
              </w:rPr>
            </w:pPr>
          </w:p>
        </w:tc>
      </w:tr>
      <w:tr>
        <w:trPr>
          <w:trHeight w:val="210"/>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15,081</w:t>
            </w:r>
          </w:p>
        </w:tc>
        <w:tc>
          <w:tcPr>
            <w:tcW w:w="20" w:type="dxa"/>
            <w:vAlign w:val="bottom"/>
          </w:tcPr>
          <w:p>
            <w:pPr>
              <w:spacing w:after="0"/>
              <w:rPr>
                <w:sz w:val="18"/>
                <w:szCs w:val="18"/>
                <w:color w:val="auto"/>
              </w:rPr>
            </w:pP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Members’ equity</w:t>
            </w:r>
          </w:p>
        </w:tc>
        <w:tc>
          <w:tcPr>
            <w:tcW w:w="1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33,176</w:t>
            </w:r>
          </w:p>
        </w:tc>
        <w:tc>
          <w:tcPr>
            <w:tcW w:w="20" w:type="dxa"/>
            <w:vAlign w:val="bottom"/>
          </w:tcPr>
          <w:p>
            <w:pPr>
              <w:spacing w:after="0"/>
              <w:rPr>
                <w:sz w:val="18"/>
                <w:szCs w:val="18"/>
                <w:color w:val="auto"/>
              </w:rPr>
            </w:pPr>
          </w:p>
        </w:tc>
      </w:tr>
      <w:tr>
        <w:trPr>
          <w:trHeight w:val="210"/>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36,465</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48,257</w:t>
            </w:r>
          </w:p>
        </w:tc>
        <w:tc>
          <w:tcPr>
            <w:tcW w:w="20" w:type="dxa"/>
            <w:vAlign w:val="bottom"/>
          </w:tcPr>
          <w:p>
            <w:pPr>
              <w:spacing w:after="0"/>
              <w:rPr>
                <w:sz w:val="18"/>
                <w:szCs w:val="18"/>
                <w:color w:val="auto"/>
              </w:rPr>
            </w:pPr>
          </w:p>
        </w:tc>
      </w:tr>
      <w:tr>
        <w:trPr>
          <w:trHeight w:val="20"/>
        </w:trPr>
        <w:tc>
          <w:tcPr>
            <w:tcW w:w="6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6"/>
        </w:trPr>
        <w:tc>
          <w:tcPr>
            <w:tcW w:w="6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71"/>
        </w:trPr>
        <w:tc>
          <w:tcPr>
            <w:tcW w:w="6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415"/>
              <w:spacing w:after="0"/>
              <w:rPr>
                <w:sz w:val="20"/>
                <w:szCs w:val="20"/>
                <w:color w:val="auto"/>
              </w:rPr>
            </w:pPr>
            <w:r>
              <w:rPr>
                <w:rFonts w:ascii="Arial" w:cs="Arial" w:eastAsia="Arial" w:hAnsi="Arial"/>
                <w:sz w:val="14"/>
                <w:szCs w:val="14"/>
                <w:b w:val="1"/>
                <w:bCs w:val="1"/>
                <w:color w:val="auto"/>
                <w:w w:val="95"/>
              </w:rPr>
              <w:t>March 31,</w:t>
            </w: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r>
      <w:tr>
        <w:trPr>
          <w:trHeight w:val="142"/>
        </w:trPr>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r>
      <w:tr>
        <w:trPr>
          <w:trHeight w:val="142"/>
        </w:trPr>
        <w:tc>
          <w:tcPr>
            <w:tcW w:w="6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6"/>
          </w:tcPr>
          <w:p>
            <w:pPr>
              <w:jc w:val="center"/>
              <w:ind w:right="180"/>
              <w:spacing w:after="0" w:line="142" w:lineRule="exact"/>
              <w:rPr>
                <w:sz w:val="20"/>
                <w:szCs w:val="20"/>
                <w:color w:val="auto"/>
              </w:rPr>
            </w:pPr>
            <w:r>
              <w:rPr>
                <w:rFonts w:ascii="Arial" w:cs="Arial" w:eastAsia="Arial" w:hAnsi="Arial"/>
                <w:sz w:val="14"/>
                <w:szCs w:val="14"/>
                <w:b w:val="1"/>
                <w:bCs w:val="1"/>
                <w:color w:val="auto"/>
                <w:w w:val="93"/>
              </w:rPr>
              <w:t>(In thousands)</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Selected Statements of Operations Information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Interest income on investments</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8"/>
                <w:szCs w:val="18"/>
                <w:color w:val="auto"/>
              </w:rPr>
            </w:pPr>
          </w:p>
        </w:tc>
        <w:tc>
          <w:tcPr>
            <w:tcW w:w="2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860</w:t>
            </w:r>
          </w:p>
        </w:tc>
        <w:tc>
          <w:tcPr>
            <w:tcW w:w="100" w:type="dxa"/>
            <w:vAlign w:val="bottom"/>
          </w:tcPr>
          <w:p>
            <w:pPr>
              <w:spacing w:after="0"/>
              <w:rPr>
                <w:sz w:val="18"/>
                <w:szCs w:val="18"/>
                <w:color w:val="auto"/>
              </w:rPr>
            </w:pPr>
          </w:p>
        </w:tc>
        <w:tc>
          <w:tcPr>
            <w:tcW w:w="2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662</w:t>
            </w:r>
          </w:p>
        </w:tc>
        <w:tc>
          <w:tcPr>
            <w:tcW w:w="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 on investments</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Net unrealized (depreciation) appreciation on investments</w:t>
            </w:r>
          </w:p>
        </w:tc>
        <w:tc>
          <w:tcPr>
            <w:tcW w:w="30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8"/>
                <w:szCs w:val="18"/>
                <w:color w:val="auto"/>
              </w:rPr>
            </w:pPr>
          </w:p>
        </w:tc>
        <w:tc>
          <w:tcPr>
            <w:tcW w:w="28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net assets resulting from operations</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0" w:type="dxa"/>
            <w:vAlign w:val="bottom"/>
            <w:shd w:val="clear" w:color="auto" w:fill="CCEEFF"/>
          </w:tcPr>
          <w:p>
            <w:pPr>
              <w:spacing w:after="0"/>
              <w:rPr>
                <w:sz w:val="18"/>
                <w:szCs w:val="18"/>
                <w:color w:val="auto"/>
              </w:rPr>
            </w:pPr>
          </w:p>
        </w:tc>
      </w:tr>
      <w:tr>
        <w:trPr>
          <w:trHeight w:val="891"/>
        </w:trPr>
        <w:tc>
          <w:tcPr>
            <w:tcW w:w="6580" w:type="dxa"/>
            <w:vAlign w:val="bottom"/>
          </w:tcPr>
          <w:p>
            <w:pPr>
              <w:ind w:left="438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6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Transactions with affiliated companies</w:t>
      </w:r>
    </w:p>
    <w:p>
      <w:pPr>
        <w:spacing w:after="0" w:line="229" w:lineRule="exact"/>
        <w:rPr>
          <w:sz w:val="20"/>
          <w:szCs w:val="20"/>
          <w:color w:val="auto"/>
        </w:rPr>
      </w:pPr>
    </w:p>
    <w:p>
      <w:pPr>
        <w:ind w:left="60" w:right="59" w:firstLine="324"/>
        <w:spacing w:after="0" w:line="308" w:lineRule="auto"/>
        <w:rPr>
          <w:sz w:val="20"/>
          <w:szCs w:val="20"/>
          <w:color w:val="auto"/>
        </w:rPr>
      </w:pPr>
      <w:r>
        <w:rPr>
          <w:rFonts w:ascii="Arial" w:cs="Arial" w:eastAsia="Arial" w:hAnsi="Arial"/>
          <w:sz w:val="17"/>
          <w:szCs w:val="17"/>
          <w:color w:val="auto"/>
        </w:rPr>
        <w:t>A non-controlled affiliated company is generally a portfolio company in which the Company owns 5% or more of such portfolio company’s voting securities but not more than 25% of such portfolio company’s voting securities.</w:t>
      </w:r>
    </w:p>
    <w:p>
      <w:pPr>
        <w:spacing w:after="0" w:line="146"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Transactions related to investments in non-controlled affiliated companies for the three months ended March 31, 2020 were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7"/>
              </w:rPr>
              <w:t>Fair value at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10"/>
          </w:tcPr>
          <w:p>
            <w:pPr>
              <w:jc w:val="right"/>
              <w:ind w:right="232"/>
              <w:spacing w:after="0"/>
              <w:rPr>
                <w:sz w:val="20"/>
                <w:szCs w:val="20"/>
                <w:color w:val="auto"/>
              </w:rPr>
            </w:pPr>
            <w:r>
              <w:rPr>
                <w:rFonts w:ascii="Arial" w:cs="Arial" w:eastAsia="Arial" w:hAnsi="Arial"/>
                <w:sz w:val="14"/>
                <w:szCs w:val="14"/>
                <w:b w:val="1"/>
                <w:bCs w:val="1"/>
                <w:color w:val="auto"/>
                <w:w w:val="97"/>
              </w:rPr>
              <w:t>Three months ended March 31, 2020</w:t>
            </w:r>
          </w:p>
        </w:tc>
        <w:tc>
          <w:tcPr>
            <w:tcW w:w="1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Fair value at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20" w:type="dxa"/>
            <w:vAlign w:val="bottom"/>
            <w:vMerge w:val="restart"/>
          </w:tcPr>
          <w:p>
            <w:pPr>
              <w:spacing w:after="0"/>
              <w:rPr>
                <w:sz w:val="20"/>
                <w:szCs w:val="20"/>
                <w:color w:val="auto"/>
              </w:rPr>
            </w:pPr>
            <w:r>
              <w:rPr>
                <w:rFonts w:ascii="Arial" w:cs="Arial" w:eastAsia="Arial" w:hAnsi="Arial"/>
                <w:sz w:val="14"/>
                <w:szCs w:val="14"/>
                <w:b w:val="1"/>
                <w:bCs w:val="1"/>
                <w:color w:val="auto"/>
              </w:rPr>
              <w:t>Portfolio</w:t>
            </w:r>
          </w:p>
        </w:tc>
        <w:tc>
          <w:tcPr>
            <w:tcW w:w="1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Principal</w:t>
            </w:r>
          </w:p>
        </w:tc>
        <w:tc>
          <w:tcPr>
            <w:tcW w:w="160" w:type="dxa"/>
            <w:vAlign w:val="bottom"/>
          </w:tcPr>
          <w:p>
            <w:pPr>
              <w:spacing w:after="0"/>
              <w:rPr>
                <w:sz w:val="10"/>
                <w:szCs w:val="10"/>
                <w:color w:val="auto"/>
              </w:rPr>
            </w:pPr>
          </w:p>
        </w:tc>
        <w:tc>
          <w:tcPr>
            <w:tcW w:w="6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Transfers</w:t>
            </w:r>
          </w:p>
        </w:tc>
        <w:tc>
          <w:tcPr>
            <w:tcW w:w="160" w:type="dxa"/>
            <w:vAlign w:val="bottom"/>
          </w:tcPr>
          <w:p>
            <w:pPr>
              <w:spacing w:after="0"/>
              <w:rPr>
                <w:sz w:val="10"/>
                <w:szCs w:val="10"/>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Discount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ind w:right="132"/>
              <w:spacing w:after="0" w:line="119" w:lineRule="exact"/>
              <w:rPr>
                <w:sz w:val="20"/>
                <w:szCs w:val="20"/>
                <w:color w:val="auto"/>
              </w:rPr>
            </w:pPr>
            <w:r>
              <w:rPr>
                <w:rFonts w:ascii="Arial" w:cs="Arial" w:eastAsia="Arial" w:hAnsi="Arial"/>
                <w:sz w:val="13"/>
                <w:szCs w:val="13"/>
                <w:b w:val="1"/>
                <w:bCs w:val="1"/>
                <w:color w:val="auto"/>
              </w:rPr>
              <w:t>Net</w:t>
            </w:r>
          </w:p>
        </w:tc>
        <w:tc>
          <w:tcPr>
            <w:tcW w:w="1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Net realized</w:t>
            </w:r>
          </w:p>
        </w:tc>
        <w:tc>
          <w:tcPr>
            <w:tcW w:w="140" w:type="dxa"/>
            <w:vAlign w:val="bottom"/>
          </w:tcPr>
          <w:p>
            <w:pPr>
              <w:spacing w:after="0"/>
              <w:rPr>
                <w:sz w:val="10"/>
                <w:szCs w:val="10"/>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48"/>
        </w:trPr>
        <w:tc>
          <w:tcPr>
            <w:tcW w:w="1520" w:type="dxa"/>
            <w:vAlign w:val="bottom"/>
            <w:vMerge w:val="continue"/>
          </w:tcPr>
          <w:p>
            <w:pPr>
              <w:spacing w:after="0"/>
              <w:rPr>
                <w:sz w:val="12"/>
                <w:szCs w:val="12"/>
                <w:color w:val="auto"/>
              </w:rPr>
            </w:pPr>
          </w:p>
        </w:tc>
        <w:tc>
          <w:tcPr>
            <w:tcW w:w="1040" w:type="dxa"/>
            <w:vAlign w:val="bottom"/>
            <w:gridSpan w:val="3"/>
          </w:tcPr>
          <w:p>
            <w:pPr>
              <w:ind w:left="160"/>
              <w:spacing w:after="0" w:line="149" w:lineRule="exact"/>
              <w:rPr>
                <w:sz w:val="20"/>
                <w:szCs w:val="20"/>
                <w:color w:val="auto"/>
              </w:rPr>
            </w:pPr>
            <w:r>
              <w:rPr>
                <w:rFonts w:ascii="Arial" w:cs="Arial" w:eastAsia="Arial" w:hAnsi="Arial"/>
                <w:sz w:val="14"/>
                <w:szCs w:val="14"/>
                <w:b w:val="1"/>
                <w:bCs w:val="1"/>
                <w:color w:val="auto"/>
                <w:w w:val="94"/>
              </w:rPr>
              <w:t>December 31,</w:t>
            </w:r>
          </w:p>
        </w:tc>
        <w:tc>
          <w:tcPr>
            <w:tcW w:w="7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84"/>
              </w:rPr>
              <w:t>Purchases</w:t>
            </w:r>
          </w:p>
        </w:tc>
        <w:tc>
          <w:tcPr>
            <w:tcW w:w="1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76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4"/>
              </w:rPr>
              <w:t>in/(out) at</w:t>
            </w:r>
          </w:p>
        </w:tc>
        <w:tc>
          <w:tcPr>
            <w:tcW w:w="16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unrealized</w:t>
            </w:r>
          </w:p>
        </w:tc>
        <w:tc>
          <w:tcPr>
            <w:tcW w:w="160" w:type="dxa"/>
            <w:vAlign w:val="bottom"/>
          </w:tcPr>
          <w:p>
            <w:pPr>
              <w:spacing w:after="0"/>
              <w:rPr>
                <w:sz w:val="12"/>
                <w:szCs w:val="12"/>
                <w:color w:val="auto"/>
              </w:rPr>
            </w:pPr>
          </w:p>
        </w:tc>
        <w:tc>
          <w:tcPr>
            <w:tcW w:w="80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Company</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760" w:type="dxa"/>
            <w:vAlign w:val="bottom"/>
            <w:tcBorders>
              <w:bottom w:val="single" w:sz="8" w:color="auto"/>
            </w:tcBorders>
            <w:gridSpan w:val="3"/>
            <w:vMerge w:val="continue"/>
          </w:tcPr>
          <w:p>
            <w:pPr>
              <w:spacing w:after="0"/>
              <w:rPr>
                <w:sz w:val="14"/>
                <w:szCs w:val="14"/>
                <w:color w:val="auto"/>
              </w:rPr>
            </w:pPr>
          </w:p>
        </w:tc>
        <w:tc>
          <w:tcPr>
            <w:tcW w:w="7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87"/>
              </w:rPr>
              <w:t>Payments</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fair value</w:t>
            </w:r>
          </w:p>
        </w:tc>
        <w:tc>
          <w:tcPr>
            <w:tcW w:w="72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89"/>
              </w:rPr>
              <w:t>accretion</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gain/(loss)</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9"/>
              </w:rPr>
              <w:t>gain/(loss)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2"/>
        </w:trPr>
        <w:tc>
          <w:tcPr>
            <w:tcW w:w="1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5"/>
          </w:tcPr>
          <w:p>
            <w:pPr>
              <w:ind w:left="20"/>
              <w:spacing w:after="0" w:line="142"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Decisyon, Inc.</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StereoVision, Inc.</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15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2,653</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15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Total non-controlled</w:t>
            </w:r>
          </w:p>
        </w:tc>
        <w:tc>
          <w:tcPr>
            <w:tcW w:w="3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8,597</w:t>
            </w: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(543)</w:t>
            </w:r>
          </w:p>
        </w:tc>
        <w:tc>
          <w:tcPr>
            <w:tcW w:w="32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44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7"/>
        </w:trPr>
        <w:tc>
          <w:tcPr>
            <w:tcW w:w="1520" w:type="dxa"/>
            <w:vAlign w:val="bottom"/>
            <w:shd w:val="clear" w:color="auto" w:fill="CCEEFF"/>
          </w:tcPr>
          <w:p>
            <w:pPr>
              <w:spacing w:after="0"/>
              <w:rPr>
                <w:sz w:val="20"/>
                <w:szCs w:val="20"/>
                <w:color w:val="auto"/>
              </w:rPr>
            </w:pPr>
            <w:r>
              <w:rPr>
                <w:rFonts w:ascii="Arial" w:cs="Arial" w:eastAsia="Arial" w:hAnsi="Arial"/>
                <w:sz w:val="18"/>
                <w:szCs w:val="18"/>
                <w:color w:val="auto"/>
              </w:rPr>
              <w:t>affiliates</w:t>
            </w:r>
          </w:p>
        </w:tc>
        <w:tc>
          <w:tcPr>
            <w:tcW w:w="340" w:type="dxa"/>
            <w:vAlign w:val="bottom"/>
            <w:gridSpan w:val="2"/>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380" w:type="dxa"/>
            <w:vAlign w:val="bottom"/>
            <w:gridSpan w:val="2"/>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Transactions related to investments in non-controlled affiliated companies for the year ended December 31, 2019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 at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10"/>
          </w:tcPr>
          <w:p>
            <w:pPr>
              <w:ind w:left="420"/>
              <w:spacing w:after="0"/>
              <w:rPr>
                <w:sz w:val="20"/>
                <w:szCs w:val="20"/>
                <w:color w:val="auto"/>
              </w:rPr>
            </w:pPr>
            <w:r>
              <w:rPr>
                <w:rFonts w:ascii="Arial" w:cs="Arial" w:eastAsia="Arial" w:hAnsi="Arial"/>
                <w:sz w:val="14"/>
                <w:szCs w:val="14"/>
                <w:b w:val="1"/>
                <w:bCs w:val="1"/>
                <w:color w:val="auto"/>
                <w:w w:val="92"/>
              </w:rPr>
              <w:t>Year ended December 31, 2019</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Fair value at</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w:t>
            </w:r>
          </w:p>
        </w:tc>
        <w:tc>
          <w:tcPr>
            <w:tcW w:w="102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Principal</w:t>
            </w:r>
          </w:p>
        </w:tc>
        <w:tc>
          <w:tcPr>
            <w:tcW w:w="64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Transfers</w:t>
            </w:r>
          </w:p>
        </w:tc>
        <w:tc>
          <w:tcPr>
            <w:tcW w:w="120" w:type="dxa"/>
            <w:vAlign w:val="bottom"/>
          </w:tcPr>
          <w:p>
            <w:pPr>
              <w:spacing w:after="0"/>
              <w:rPr>
                <w:sz w:val="10"/>
                <w:szCs w:val="10"/>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Discount</w:t>
            </w:r>
          </w:p>
        </w:tc>
        <w:tc>
          <w:tcPr>
            <w:tcW w:w="160" w:type="dxa"/>
            <w:vAlign w:val="bottom"/>
          </w:tcPr>
          <w:p>
            <w:pPr>
              <w:spacing w:after="0"/>
              <w:rPr>
                <w:sz w:val="10"/>
                <w:szCs w:val="10"/>
                <w:color w:val="auto"/>
              </w:rPr>
            </w:pPr>
          </w:p>
        </w:tc>
        <w:tc>
          <w:tcPr>
            <w:tcW w:w="500" w:type="dxa"/>
            <w:vAlign w:val="bottom"/>
          </w:tcPr>
          <w:p>
            <w:pPr>
              <w:jc w:val="right"/>
              <w:ind w:right="132"/>
              <w:spacing w:after="0" w:line="119" w:lineRule="exact"/>
              <w:rPr>
                <w:sz w:val="20"/>
                <w:szCs w:val="20"/>
                <w:color w:val="auto"/>
              </w:rPr>
            </w:pPr>
            <w:r>
              <w:rPr>
                <w:rFonts w:ascii="Arial" w:cs="Arial" w:eastAsia="Arial" w:hAnsi="Arial"/>
                <w:sz w:val="13"/>
                <w:szCs w:val="13"/>
                <w:b w:val="1"/>
                <w:bCs w:val="1"/>
                <w:color w:val="auto"/>
              </w:rPr>
              <w:t>Net</w:t>
            </w:r>
          </w:p>
        </w:tc>
        <w:tc>
          <w:tcPr>
            <w:tcW w:w="140" w:type="dxa"/>
            <w:vAlign w:val="bottom"/>
          </w:tcPr>
          <w:p>
            <w:pPr>
              <w:spacing w:after="0"/>
              <w:rPr>
                <w:sz w:val="10"/>
                <w:szCs w:val="10"/>
                <w:color w:val="auto"/>
              </w:rPr>
            </w:pPr>
          </w:p>
        </w:tc>
        <w:tc>
          <w:tcPr>
            <w:tcW w:w="1040" w:type="dxa"/>
            <w:vAlign w:val="bottom"/>
            <w:gridSpan w:val="3"/>
            <w:vMerge w:val="continue"/>
          </w:tcPr>
          <w:p>
            <w:pPr>
              <w:spacing w:after="0"/>
              <w:rPr>
                <w:sz w:val="10"/>
                <w:szCs w:val="10"/>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realized</w:t>
            </w:r>
          </w:p>
        </w:tc>
        <w:tc>
          <w:tcPr>
            <w:tcW w:w="5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Interest</w:t>
            </w:r>
          </w:p>
        </w:tc>
        <w:tc>
          <w:tcPr>
            <w:tcW w:w="0" w:type="dxa"/>
            <w:vAlign w:val="bottom"/>
          </w:tcPr>
          <w:p>
            <w:pPr>
              <w:spacing w:after="0"/>
              <w:rPr>
                <w:sz w:val="1"/>
                <w:szCs w:val="1"/>
                <w:color w:val="auto"/>
              </w:rPr>
            </w:pPr>
          </w:p>
        </w:tc>
      </w:tr>
      <w:tr>
        <w:trPr>
          <w:trHeight w:val="148"/>
        </w:trPr>
        <w:tc>
          <w:tcPr>
            <w:tcW w:w="1520" w:type="dxa"/>
            <w:vAlign w:val="bottom"/>
            <w:gridSpan w:val="2"/>
            <w:vMerge w:val="continue"/>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Purchases</w:t>
            </w:r>
          </w:p>
        </w:tc>
        <w:tc>
          <w:tcPr>
            <w:tcW w:w="820" w:type="dxa"/>
            <w:vAlign w:val="bottom"/>
            <w:gridSpan w:val="3"/>
            <w:vMerge w:val="continue"/>
          </w:tcPr>
          <w:p>
            <w:pPr>
              <w:spacing w:after="0"/>
              <w:rPr>
                <w:sz w:val="12"/>
                <w:szCs w:val="12"/>
                <w:color w:val="auto"/>
              </w:rPr>
            </w:pP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in/(out) at</w:t>
            </w:r>
          </w:p>
        </w:tc>
        <w:tc>
          <w:tcPr>
            <w:tcW w:w="1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900" w:type="dxa"/>
            <w:vAlign w:val="bottom"/>
            <w:gridSpan w:val="3"/>
            <w:vMerge w:val="continue"/>
          </w:tcPr>
          <w:p>
            <w:pPr>
              <w:spacing w:after="0"/>
              <w:rPr>
                <w:sz w:val="12"/>
                <w:szCs w:val="12"/>
                <w:color w:val="auto"/>
              </w:rPr>
            </w:pPr>
          </w:p>
        </w:tc>
        <w:tc>
          <w:tcPr>
            <w:tcW w:w="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4"/>
                <w:szCs w:val="14"/>
                <w:color w:val="auto"/>
              </w:rPr>
            </w:pPr>
          </w:p>
        </w:tc>
        <w:tc>
          <w:tcPr>
            <w:tcW w:w="680" w:type="dxa"/>
            <w:vAlign w:val="bottom"/>
          </w:tcPr>
          <w:p>
            <w:pPr>
              <w:jc w:val="right"/>
              <w:ind w:right="212"/>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Payments</w:t>
            </w:r>
          </w:p>
        </w:tc>
        <w:tc>
          <w:tcPr>
            <w:tcW w:w="64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fair value</w:t>
            </w:r>
          </w:p>
        </w:tc>
        <w:tc>
          <w:tcPr>
            <w:tcW w:w="12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accretion</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200" w:type="dxa"/>
            <w:vAlign w:val="bottom"/>
          </w:tcPr>
          <w:p>
            <w:pPr>
              <w:spacing w:after="0"/>
              <w:rPr>
                <w:sz w:val="14"/>
                <w:szCs w:val="14"/>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4"/>
                <w:szCs w:val="14"/>
                <w:b w:val="1"/>
                <w:bCs w:val="1"/>
                <w:color w:val="auto"/>
              </w:rPr>
              <w:t>gain/(loss)</w:t>
            </w:r>
          </w:p>
        </w:tc>
        <w:tc>
          <w:tcPr>
            <w:tcW w:w="56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income</w:t>
            </w:r>
          </w:p>
        </w:tc>
        <w:tc>
          <w:tcPr>
            <w:tcW w:w="0" w:type="dxa"/>
            <w:vAlign w:val="bottom"/>
          </w:tcPr>
          <w:p>
            <w:pPr>
              <w:spacing w:after="0"/>
              <w:rPr>
                <w:sz w:val="1"/>
                <w:szCs w:val="1"/>
                <w:color w:val="auto"/>
              </w:rPr>
            </w:pPr>
          </w:p>
        </w:tc>
      </w:tr>
      <w:tr>
        <w:trPr>
          <w:trHeight w:val="142"/>
        </w:trPr>
        <w:tc>
          <w:tcPr>
            <w:tcW w:w="13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5"/>
          </w:tcPr>
          <w:p>
            <w:pPr>
              <w:ind w:left="20"/>
              <w:spacing w:after="0" w:line="142" w:lineRule="exact"/>
              <w:rPr>
                <w:sz w:val="20"/>
                <w:szCs w:val="20"/>
                <w:color w:val="auto"/>
              </w:rPr>
            </w:pPr>
            <w:r>
              <w:rPr>
                <w:rFonts w:ascii="Arial" w:cs="Arial" w:eastAsia="Arial" w:hAnsi="Arial"/>
                <w:sz w:val="14"/>
                <w:szCs w:val="14"/>
                <w:color w:val="auto"/>
              </w:rPr>
              <w:t>(In thousands)</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Decisyon, Inc.</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(173)</w:t>
            </w:r>
          </w:p>
        </w:tc>
        <w:tc>
          <w:tcPr>
            <w:tcW w:w="16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Arial" w:cs="Arial" w:eastAsia="Arial" w:hAnsi="Arial"/>
                <w:sz w:val="18"/>
                <w:szCs w:val="18"/>
                <w:color w:val="auto"/>
                <w:w w:val="99"/>
              </w:rPr>
              <w:t>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StereoVision, Inc.</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(416)</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791</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1,862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2,653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520" w:type="dxa"/>
            <w:vAlign w:val="bottom"/>
            <w:tcBorders>
              <w:top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Total non-</w:t>
            </w: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controlled</w:t>
            </w: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4"/>
              </w:rPr>
              <w:t>(1,013)</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17</w:t>
            </w:r>
          </w:p>
        </w:tc>
        <w:tc>
          <w:tcPr>
            <w:tcW w:w="16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2,019</w:t>
            </w:r>
          </w:p>
        </w:tc>
        <w:tc>
          <w:tcPr>
            <w:tcW w:w="140" w:type="dxa"/>
            <w:vAlign w:val="bottom"/>
            <w:shd w:val="clear" w:color="auto" w:fill="CCEEFF"/>
          </w:tcPr>
          <w:p>
            <w:pPr>
              <w:spacing w:after="0"/>
              <w:rPr>
                <w:sz w:val="18"/>
                <w:szCs w:val="18"/>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8,597</w:t>
            </w:r>
          </w:p>
        </w:tc>
        <w:tc>
          <w:tcPr>
            <w:tcW w:w="14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affiliates</w:t>
            </w:r>
          </w:p>
        </w:tc>
        <w:tc>
          <w:tcPr>
            <w:tcW w:w="200" w:type="dxa"/>
            <w:vAlign w:val="bottom"/>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40" w:type="dxa"/>
            <w:vAlign w:val="bottom"/>
            <w:gridSpan w:val="2"/>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5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A controlled affiliated company is generally a portfolio company in which the Company owns more than 25% of such portfolio company’s voting securities or has the power to exercise control over management or policies of such portfolio company (including through a management agreement). Transactions related to investments in controlled affiliated companies for the three months ended March 31, 2020 were as follows: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10"/>
          </w:tcPr>
          <w:p>
            <w:pPr>
              <w:ind w:left="180"/>
              <w:spacing w:after="0"/>
              <w:rPr>
                <w:sz w:val="20"/>
                <w:szCs w:val="20"/>
                <w:color w:val="auto"/>
              </w:rPr>
            </w:pPr>
            <w:r>
              <w:rPr>
                <w:rFonts w:ascii="Arial" w:cs="Arial" w:eastAsia="Arial" w:hAnsi="Arial"/>
                <w:sz w:val="14"/>
                <w:szCs w:val="14"/>
                <w:b w:val="1"/>
                <w:bCs w:val="1"/>
                <w:color w:val="auto"/>
                <w:w w:val="92"/>
              </w:rPr>
              <w:t>Three months ended March 31, 2020</w:t>
            </w:r>
          </w:p>
        </w:tc>
        <w:tc>
          <w:tcPr>
            <w:tcW w:w="4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w:t>
            </w:r>
          </w:p>
        </w:tc>
        <w:tc>
          <w:tcPr>
            <w:tcW w:w="14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Fair value at</w:t>
            </w: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0"/>
              </w:rPr>
              <w:t>Transfers</w:t>
            </w:r>
          </w:p>
        </w:tc>
        <w:tc>
          <w:tcPr>
            <w:tcW w:w="88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Dividends</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jc w:val="right"/>
              <w:ind w:right="156"/>
              <w:spacing w:after="0"/>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23"/>
                <w:szCs w:val="23"/>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Net realized</w:t>
            </w:r>
          </w:p>
        </w:tc>
        <w:tc>
          <w:tcPr>
            <w:tcW w:w="140" w:type="dxa"/>
            <w:vAlign w:val="bottom"/>
          </w:tcPr>
          <w:p>
            <w:pPr>
              <w:spacing w:after="0"/>
              <w:rPr>
                <w:sz w:val="23"/>
                <w:szCs w:val="23"/>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at</w:t>
            </w: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Dividend</w:t>
            </w:r>
          </w:p>
        </w:tc>
        <w:tc>
          <w:tcPr>
            <w:tcW w:w="0" w:type="dxa"/>
            <w:vAlign w:val="bottom"/>
          </w:tcPr>
          <w:p>
            <w:pPr>
              <w:spacing w:after="0"/>
              <w:rPr>
                <w:sz w:val="1"/>
                <w:szCs w:val="1"/>
                <w:color w:val="auto"/>
              </w:rPr>
            </w:pPr>
          </w:p>
        </w:tc>
      </w:tr>
      <w:tr>
        <w:trPr>
          <w:trHeight w:val="148"/>
        </w:trPr>
        <w:tc>
          <w:tcPr>
            <w:tcW w:w="1240" w:type="dxa"/>
            <w:vAlign w:val="bottom"/>
            <w:gridSpan w:val="2"/>
            <w:vMerge w:val="continue"/>
          </w:tcPr>
          <w:p>
            <w:pPr>
              <w:spacing w:after="0"/>
              <w:rPr>
                <w:sz w:val="12"/>
                <w:szCs w:val="12"/>
                <w:color w:val="auto"/>
              </w:rPr>
            </w:pPr>
          </w:p>
        </w:tc>
        <w:tc>
          <w:tcPr>
            <w:tcW w:w="102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8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87"/>
              </w:rPr>
              <w:t>Purchases</w:t>
            </w:r>
          </w:p>
        </w:tc>
        <w:tc>
          <w:tcPr>
            <w:tcW w:w="96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2"/>
              </w:rPr>
              <w:t>Distributions</w:t>
            </w:r>
          </w:p>
        </w:tc>
        <w:tc>
          <w:tcPr>
            <w:tcW w:w="740" w:type="dxa"/>
            <w:vAlign w:val="bottom"/>
            <w:gridSpan w:val="3"/>
          </w:tcPr>
          <w:p>
            <w:pPr>
              <w:ind w:left="140"/>
              <w:spacing w:after="0" w:line="149" w:lineRule="exact"/>
              <w:rPr>
                <w:sz w:val="20"/>
                <w:szCs w:val="20"/>
                <w:color w:val="auto"/>
              </w:rPr>
            </w:pPr>
            <w:r>
              <w:rPr>
                <w:rFonts w:ascii="Arial" w:cs="Arial" w:eastAsia="Arial" w:hAnsi="Arial"/>
                <w:sz w:val="14"/>
                <w:szCs w:val="14"/>
                <w:b w:val="1"/>
                <w:bCs w:val="1"/>
                <w:color w:val="auto"/>
                <w:w w:val="90"/>
              </w:rPr>
              <w:t>in/(out) at</w:t>
            </w:r>
          </w:p>
        </w:tc>
        <w:tc>
          <w:tcPr>
            <w:tcW w:w="88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March 31,</w:t>
            </w: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780" w:type="dxa"/>
            <w:vAlign w:val="bottom"/>
            <w:gridSpan w:val="3"/>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4"/>
              </w:rPr>
              <w:t>fair value</w:t>
            </w:r>
          </w:p>
        </w:tc>
        <w:tc>
          <w:tcPr>
            <w:tcW w:w="16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rPr>
              <w:t>declared</w:t>
            </w:r>
          </w:p>
        </w:tc>
        <w:tc>
          <w:tcPr>
            <w:tcW w:w="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1"/>
              </w:rPr>
              <w:t>gain/(loss)</w:t>
            </w:r>
          </w:p>
        </w:tc>
        <w:tc>
          <w:tcPr>
            <w:tcW w:w="14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gain/(loss)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ind w:left="16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5"/>
          </w:tcPr>
          <w:p>
            <w:pPr>
              <w:ind w:left="3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HSLFI</w:t>
            </w:r>
            <w:r>
              <w:rPr>
                <w:rFonts w:ascii="Arial" w:cs="Arial" w:eastAsia="Arial" w:hAnsi="Arial"/>
                <w:sz w:val="25"/>
                <w:szCs w:val="25"/>
                <w:color w:val="auto"/>
                <w:vertAlign w:val="superscript"/>
              </w:rPr>
              <w:t>(1)</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(149)</w:t>
            </w:r>
          </w:p>
        </w:tc>
        <w:tc>
          <w:tcPr>
            <w:tcW w:w="4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16,944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vMerge w:val="restart"/>
          </w:tcPr>
          <w:p>
            <w:pPr>
              <w:spacing w:after="0" w:line="201" w:lineRule="exact"/>
              <w:rPr>
                <w:sz w:val="20"/>
                <w:szCs w:val="20"/>
                <w:color w:val="auto"/>
              </w:rPr>
            </w:pPr>
            <w:r>
              <w:rPr>
                <w:rFonts w:ascii="Arial" w:cs="Arial" w:eastAsia="Arial" w:hAnsi="Arial"/>
                <w:sz w:val="18"/>
                <w:szCs w:val="18"/>
                <w:color w:val="auto"/>
                <w:w w:val="97"/>
              </w:rPr>
              <w:t>Total controlled</w:t>
            </w: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34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16,650</w:t>
            </w:r>
          </w:p>
        </w:tc>
        <w:tc>
          <w:tcPr>
            <w:tcW w:w="3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auto"/>
              </w:rPr>
              <w:t>—</w:t>
            </w:r>
          </w:p>
        </w:tc>
        <w:tc>
          <w:tcPr>
            <w:tcW w:w="40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36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5"/>
                <w:szCs w:val="15"/>
                <w:color w:val="auto"/>
              </w:rPr>
            </w:pPr>
          </w:p>
        </w:tc>
        <w:tc>
          <w:tcPr>
            <w:tcW w:w="240" w:type="dxa"/>
            <w:vAlign w:val="bottom"/>
            <w:gridSpan w:val="2"/>
            <w:vMerge w:val="restart"/>
          </w:tcPr>
          <w:p>
            <w:pPr>
              <w:ind w:left="2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w w:val="99"/>
              </w:rPr>
              <w:t>(149)</w:t>
            </w:r>
          </w:p>
        </w:tc>
        <w:tc>
          <w:tcPr>
            <w:tcW w:w="44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13</w:t>
            </w:r>
          </w:p>
        </w:tc>
        <w:tc>
          <w:tcPr>
            <w:tcW w:w="240" w:type="dxa"/>
            <w:vAlign w:val="bottom"/>
            <w:gridSpan w:val="2"/>
            <w:vMerge w:val="restart"/>
          </w:tcPr>
          <w:p>
            <w:pPr>
              <w:ind w:left="140"/>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ind w:left="160"/>
              <w:spacing w:after="0"/>
              <w:rPr>
                <w:sz w:val="20"/>
                <w:szCs w:val="20"/>
                <w:color w:val="auto"/>
              </w:rPr>
            </w:pPr>
            <w:r>
              <w:rPr>
                <w:rFonts w:ascii="Arial" w:cs="Arial" w:eastAsia="Arial" w:hAnsi="Arial"/>
                <w:sz w:val="18"/>
                <w:szCs w:val="18"/>
                <w:color w:val="auto"/>
                <w:w w:val="98"/>
              </w:rPr>
              <w:t>16,944</w:t>
            </w:r>
          </w:p>
        </w:tc>
        <w:tc>
          <w:tcPr>
            <w:tcW w:w="140" w:type="dxa"/>
            <w:vAlign w:val="bottom"/>
          </w:tcPr>
          <w:p>
            <w:pPr>
              <w:spacing w:after="0"/>
              <w:rPr>
                <w:sz w:val="15"/>
                <w:szCs w:val="15"/>
                <w:color w:val="auto"/>
              </w:rPr>
            </w:pP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7"/>
        </w:trPr>
        <w:tc>
          <w:tcPr>
            <w:tcW w:w="1240" w:type="dxa"/>
            <w:vAlign w:val="bottom"/>
            <w:gridSpan w:val="2"/>
          </w:tcPr>
          <w:p>
            <w:pPr>
              <w:ind w:left="20"/>
              <w:spacing w:after="0"/>
              <w:rPr>
                <w:sz w:val="20"/>
                <w:szCs w:val="20"/>
                <w:color w:val="auto"/>
              </w:rPr>
            </w:pPr>
            <w:r>
              <w:rPr>
                <w:rFonts w:ascii="Arial" w:cs="Arial" w:eastAsia="Arial" w:hAnsi="Arial"/>
                <w:sz w:val="18"/>
                <w:szCs w:val="18"/>
                <w:color w:val="auto"/>
              </w:rPr>
              <w:t>affiliates</w:t>
            </w:r>
          </w:p>
        </w:tc>
        <w:tc>
          <w:tcPr>
            <w:tcW w:w="34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40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80" w:right="79" w:hanging="330"/>
        <w:spacing w:after="0" w:line="251" w:lineRule="auto"/>
        <w:tabs>
          <w:tab w:leader="none" w:pos="38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Company and Arena are the members of HSLFI, a joint venture formed as a Delaware limited liability company that is not consolidated by either member for financial reporting purposes. The members provide cash or securities in portfolio companies to HSLFI in exchange for limited liability company equity interests. All HSLFI investment decisions require unanimous approval of a quorum of HSLFI’s board of managers, which consists of two representatives of the Company and Arena. Because management of HSLFI is shared equally between the Company and Arena, the Company does not have sole control over significant actions of HSLFI for purposes of the 1940 Act or otherwise.</w:t>
      </w:r>
    </w:p>
    <w:p>
      <w:pPr>
        <w:spacing w:after="0" w:line="181"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Transactions related to investments in controlled affiliated companies for the year ended December 31, 2019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w w:val="97"/>
              </w:rPr>
              <w:t>Year ended December 31, 2019</w:t>
            </w: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Portfolio</w:t>
            </w:r>
          </w:p>
        </w:tc>
        <w:tc>
          <w:tcPr>
            <w:tcW w:w="10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7"/>
              </w:rPr>
              <w:t>Fair value at</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0"/>
              </w:rPr>
              <w:t>Transfers</w:t>
            </w:r>
          </w:p>
        </w:tc>
        <w:tc>
          <w:tcPr>
            <w:tcW w:w="140" w:type="dxa"/>
            <w:vAlign w:val="bottom"/>
          </w:tcPr>
          <w:p>
            <w:pPr>
              <w:spacing w:after="0"/>
              <w:rPr>
                <w:sz w:val="23"/>
                <w:szCs w:val="23"/>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Dividends</w:t>
            </w:r>
          </w:p>
        </w:tc>
        <w:tc>
          <w:tcPr>
            <w:tcW w:w="160" w:type="dxa"/>
            <w:vAlign w:val="bottom"/>
          </w:tcPr>
          <w:p>
            <w:pPr>
              <w:spacing w:after="0"/>
              <w:rPr>
                <w:sz w:val="23"/>
                <w:szCs w:val="23"/>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Net</w:t>
            </w: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Net realized</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 at</w:t>
            </w: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Dividend</w:t>
            </w:r>
          </w:p>
        </w:tc>
        <w:tc>
          <w:tcPr>
            <w:tcW w:w="0" w:type="dxa"/>
            <w:vAlign w:val="bottom"/>
          </w:tcPr>
          <w:p>
            <w:pPr>
              <w:spacing w:after="0"/>
              <w:rPr>
                <w:sz w:val="1"/>
                <w:szCs w:val="1"/>
                <w:color w:val="auto"/>
              </w:rPr>
            </w:pPr>
          </w:p>
        </w:tc>
      </w:tr>
      <w:tr>
        <w:trPr>
          <w:trHeight w:val="148"/>
        </w:trPr>
        <w:tc>
          <w:tcPr>
            <w:tcW w:w="1280" w:type="dxa"/>
            <w:vAlign w:val="bottom"/>
            <w:gridSpan w:val="2"/>
            <w:vMerge w:val="continue"/>
          </w:tcPr>
          <w:p>
            <w:pPr>
              <w:spacing w:after="0"/>
              <w:rPr>
                <w:sz w:val="12"/>
                <w:szCs w:val="12"/>
                <w:color w:val="auto"/>
              </w:rPr>
            </w:pPr>
          </w:p>
        </w:tc>
        <w:tc>
          <w:tcPr>
            <w:tcW w:w="1020" w:type="dxa"/>
            <w:vAlign w:val="bottom"/>
            <w:gridSpan w:val="4"/>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Purchases</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Distributions</w:t>
            </w: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0"/>
              </w:rPr>
              <w:t>in/(out) at</w:t>
            </w: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920" w:type="dxa"/>
            <w:vAlign w:val="bottom"/>
            <w:gridSpan w:val="3"/>
            <w:vMerge w:val="continue"/>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w w:val="94"/>
              </w:rPr>
              <w:t>fair value</w:t>
            </w:r>
          </w:p>
        </w:tc>
        <w:tc>
          <w:tcPr>
            <w:tcW w:w="14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declared</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gain/(loss)</w:t>
            </w: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gain/(loss)</w:t>
            </w:r>
          </w:p>
        </w:tc>
        <w:tc>
          <w:tcPr>
            <w:tcW w:w="180" w:type="dxa"/>
            <w:vAlign w:val="bottom"/>
          </w:tcPr>
          <w:p>
            <w:pPr>
              <w:spacing w:after="0"/>
              <w:rPr>
                <w:sz w:val="14"/>
                <w:szCs w:val="14"/>
                <w:color w:val="auto"/>
              </w:rPr>
            </w:pPr>
          </w:p>
        </w:tc>
        <w:tc>
          <w:tcPr>
            <w:tcW w:w="680" w:type="dxa"/>
            <w:vAlign w:val="bottom"/>
          </w:tcPr>
          <w:p>
            <w:pPr>
              <w:jc w:val="right"/>
              <w:ind w:right="216"/>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42"/>
        </w:trPr>
        <w:tc>
          <w:tcPr>
            <w:tcW w:w="1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2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HSLFI</w:t>
            </w:r>
            <w:r>
              <w:rPr>
                <w:rFonts w:ascii="Arial" w:cs="Arial" w:eastAsia="Arial" w:hAnsi="Arial"/>
                <w:sz w:val="25"/>
                <w:szCs w:val="25"/>
                <w:color w:val="auto"/>
                <w:vertAlign w:val="superscript"/>
              </w:rPr>
              <w:t>(1)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Arial" w:cs="Arial" w:eastAsia="Arial" w:hAnsi="Arial"/>
                <w:sz w:val="18"/>
                <w:szCs w:val="18"/>
                <w:color w:val="auto"/>
                <w:w w:val="99"/>
              </w:rPr>
              <w:t>$ 1,900</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96"/>
              </w:rPr>
              <w:t>$ 2,236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$ 2,236</w:t>
            </w:r>
          </w:p>
        </w:tc>
        <w:tc>
          <w:tcPr>
            <w:tcW w:w="0" w:type="dxa"/>
            <w:vAlign w:val="bottom"/>
          </w:tcPr>
          <w:p>
            <w:pPr>
              <w:spacing w:after="0"/>
              <w:rPr>
                <w:sz w:val="1"/>
                <w:szCs w:val="1"/>
                <w:color w:val="auto"/>
              </w:rPr>
            </w:pPr>
          </w:p>
        </w:tc>
      </w:tr>
      <w:tr>
        <w:trPr>
          <w:trHeight w:val="182"/>
        </w:trPr>
        <w:tc>
          <w:tcPr>
            <w:tcW w:w="128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controlled</w:t>
            </w:r>
          </w:p>
        </w:tc>
        <w:tc>
          <w:tcPr>
            <w:tcW w:w="200" w:type="dxa"/>
            <w:vAlign w:val="bottom"/>
            <w:vMerge w:val="restart"/>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13,243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vMerge w:val="restart"/>
          </w:tcPr>
          <w:p>
            <w:pPr>
              <w:spacing w:after="0"/>
              <w:rPr>
                <w:sz w:val="20"/>
                <w:szCs w:val="20"/>
                <w:color w:val="auto"/>
              </w:rPr>
            </w:pPr>
            <w:r>
              <w:rPr>
                <w:rFonts w:ascii="Arial" w:cs="Arial" w:eastAsia="Arial" w:hAnsi="Arial"/>
                <w:sz w:val="18"/>
                <w:szCs w:val="18"/>
                <w:color w:val="auto"/>
                <w:w w:val="99"/>
              </w:rPr>
              <w:t>$ 1,900</w:t>
            </w:r>
          </w:p>
        </w:tc>
        <w:tc>
          <w:tcPr>
            <w:tcW w:w="160" w:type="dxa"/>
            <w:vAlign w:val="bottom"/>
          </w:tcPr>
          <w:p>
            <w:pPr>
              <w:spacing w:after="0"/>
              <w:rPr>
                <w:sz w:val="18"/>
                <w:szCs w:val="18"/>
                <w:color w:val="auto"/>
              </w:rPr>
            </w:pPr>
          </w:p>
        </w:tc>
        <w:tc>
          <w:tcPr>
            <w:tcW w:w="260" w:type="dxa"/>
            <w:vAlign w:val="bottom"/>
            <w:vMerge w:val="restart"/>
          </w:tcPr>
          <w:p>
            <w:pPr>
              <w:spacing w:after="0"/>
              <w:rPr>
                <w:sz w:val="20"/>
                <w:szCs w:val="20"/>
                <w:color w:val="auto"/>
              </w:rPr>
            </w:pPr>
            <w:r>
              <w:rPr>
                <w:rFonts w:ascii="Arial" w:cs="Arial" w:eastAsia="Arial" w:hAnsi="Arial"/>
                <w:sz w:val="18"/>
                <w:szCs w:val="18"/>
                <w:color w:val="auto"/>
              </w:rPr>
              <w:t>$</w:t>
            </w: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(715)</w:t>
            </w:r>
          </w:p>
        </w:tc>
        <w:tc>
          <w:tcPr>
            <w:tcW w:w="220" w:type="dxa"/>
            <w:vAlign w:val="bottom"/>
            <w:vMerge w:val="restart"/>
          </w:tcPr>
          <w:p>
            <w:pPr>
              <w:spacing w:after="0"/>
              <w:rPr>
                <w:sz w:val="20"/>
                <w:szCs w:val="20"/>
                <w:color w:val="auto"/>
              </w:rPr>
            </w:pPr>
            <w:r>
              <w:rPr>
                <w:rFonts w:ascii="Arial" w:cs="Arial" w:eastAsia="Arial" w:hAnsi="Arial"/>
                <w:sz w:val="18"/>
                <w:szCs w:val="18"/>
                <w:color w:val="auto"/>
              </w:rPr>
              <w:t>$</w:t>
            </w:r>
          </w:p>
        </w:tc>
        <w:tc>
          <w:tcPr>
            <w:tcW w:w="380" w:type="dxa"/>
            <w:vAlign w:val="bottom"/>
            <w:vMerge w:val="restart"/>
          </w:tcPr>
          <w:p>
            <w:pPr>
              <w:ind w:left="140"/>
              <w:spacing w:after="0"/>
              <w:rPr>
                <w:sz w:val="20"/>
                <w:szCs w:val="20"/>
                <w:color w:val="auto"/>
              </w:rPr>
            </w:pPr>
            <w:r>
              <w:rPr>
                <w:rFonts w:ascii="Arial" w:cs="Arial" w:eastAsia="Arial" w:hAnsi="Arial"/>
                <w:sz w:val="18"/>
                <w:szCs w:val="18"/>
                <w:color w:val="auto"/>
              </w:rPr>
              <w:t>—</w:t>
            </w:r>
          </w:p>
        </w:tc>
        <w:tc>
          <w:tcPr>
            <w:tcW w:w="760" w:type="dxa"/>
            <w:vAlign w:val="bottom"/>
            <w:gridSpan w:val="2"/>
            <w:vMerge w:val="restart"/>
          </w:tcPr>
          <w:p>
            <w:pPr>
              <w:jc w:val="center"/>
              <w:ind w:left="16"/>
              <w:spacing w:after="0"/>
              <w:rPr>
                <w:sz w:val="20"/>
                <w:szCs w:val="20"/>
                <w:color w:val="auto"/>
              </w:rPr>
            </w:pPr>
            <w:r>
              <w:rPr>
                <w:rFonts w:ascii="Arial" w:cs="Arial" w:eastAsia="Arial" w:hAnsi="Arial"/>
                <w:sz w:val="18"/>
                <w:szCs w:val="18"/>
                <w:color w:val="auto"/>
                <w:w w:val="96"/>
              </w:rPr>
              <w:t>$ 2,236</w:t>
            </w:r>
          </w:p>
        </w:tc>
        <w:tc>
          <w:tcPr>
            <w:tcW w:w="160" w:type="dxa"/>
            <w:vAlign w:val="bottom"/>
          </w:tcPr>
          <w:p>
            <w:pPr>
              <w:spacing w:after="0"/>
              <w:rPr>
                <w:sz w:val="18"/>
                <w:szCs w:val="18"/>
                <w:color w:val="auto"/>
              </w:rPr>
            </w:pP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(14)</w:t>
            </w:r>
          </w:p>
        </w:tc>
        <w:tc>
          <w:tcPr>
            <w:tcW w:w="320" w:type="dxa"/>
            <w:vAlign w:val="bottom"/>
            <w:vMerge w:val="restart"/>
          </w:tcPr>
          <w:p>
            <w:pPr>
              <w:spacing w:after="0"/>
              <w:rPr>
                <w:sz w:val="20"/>
                <w:szCs w:val="20"/>
                <w:color w:val="auto"/>
              </w:rPr>
            </w:pPr>
            <w:r>
              <w:rPr>
                <w:rFonts w:ascii="Arial" w:cs="Arial" w:eastAsia="Arial" w:hAnsi="Arial"/>
                <w:sz w:val="18"/>
                <w:szCs w:val="18"/>
                <w:color w:val="auto"/>
              </w:rPr>
              <w:t>$</w:t>
            </w:r>
          </w:p>
        </w:tc>
        <w:tc>
          <w:tcPr>
            <w:tcW w:w="60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180" w:type="dxa"/>
            <w:vAlign w:val="bottom"/>
            <w:vMerge w:val="restart"/>
          </w:tcPr>
          <w:p>
            <w:pPr>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16,650</w:t>
            </w:r>
          </w:p>
        </w:tc>
        <w:tc>
          <w:tcPr>
            <w:tcW w:w="14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3"/>
              </w:rPr>
              <w:t>$ 2,236</w:t>
            </w:r>
          </w:p>
        </w:tc>
        <w:tc>
          <w:tcPr>
            <w:tcW w:w="0" w:type="dxa"/>
            <w:vAlign w:val="bottom"/>
          </w:tcPr>
          <w:p>
            <w:pPr>
              <w:spacing w:after="0"/>
              <w:rPr>
                <w:sz w:val="1"/>
                <w:szCs w:val="1"/>
                <w:color w:val="auto"/>
              </w:rPr>
            </w:pPr>
          </w:p>
        </w:tc>
      </w:tr>
      <w:tr>
        <w:trPr>
          <w:trHeight w:val="217"/>
        </w:trPr>
        <w:tc>
          <w:tcPr>
            <w:tcW w:w="1280" w:type="dxa"/>
            <w:vAlign w:val="bottom"/>
            <w:gridSpan w:val="2"/>
          </w:tcPr>
          <w:p>
            <w:pPr>
              <w:ind w:left="20"/>
              <w:spacing w:after="0"/>
              <w:rPr>
                <w:sz w:val="20"/>
                <w:szCs w:val="20"/>
                <w:color w:val="auto"/>
              </w:rPr>
            </w:pPr>
            <w:r>
              <w:rPr>
                <w:rFonts w:ascii="Arial" w:cs="Arial" w:eastAsia="Arial" w:hAnsi="Arial"/>
                <w:sz w:val="18"/>
                <w:szCs w:val="18"/>
                <w:color w:val="auto"/>
              </w:rPr>
              <w:t>affiliates</w:t>
            </w:r>
          </w:p>
        </w:tc>
        <w:tc>
          <w:tcPr>
            <w:tcW w:w="20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700" w:type="dxa"/>
            <w:vAlign w:val="bottom"/>
            <w:gridSpan w:val="2"/>
            <w:vMerge w:val="continue"/>
          </w:tcPr>
          <w:p>
            <w:pPr>
              <w:spacing w:after="0"/>
              <w:rPr>
                <w:sz w:val="18"/>
                <w:szCs w:val="18"/>
                <w:color w:val="auto"/>
              </w:rPr>
            </w:pPr>
          </w:p>
        </w:tc>
        <w:tc>
          <w:tcPr>
            <w:tcW w:w="22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60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jc w:val="both"/>
        <w:ind w:left="380" w:right="79" w:hanging="330"/>
        <w:spacing w:after="0" w:line="251" w:lineRule="auto"/>
        <w:tabs>
          <w:tab w:leader="none" w:pos="38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Company and Arena are the members of HSLFI, a joint venture formed as a Delaware limited liability company that is not consolidated by either member for financial reporting purposes. The members provide cash or securities in portfolio companies to HSLFI in exchange for limited liability company equity interests. All HSLFI investment decisions require unanimous approval of a quorum of HSLFI’s board of managers, which consists of two representatives of the Company and Arena. Because management of HSLFI is shared equally between the Company and Arena, the Company does have sole control over significant actions of HSLFI for purposes of the 1940 Act or otherwise.</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Fair value</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The Company uses fair value measurements to record fair value adjustments to certain assets and liabilities and to determine fair value disclosures. Fair value is the price that would be received to sell an asset or paid to transfer a liability in an orderly transaction between market participants at the measurement date. Fair value is best determined based upon quoted market prices. However, in certain instances, there are no quoted market prices for certain assets or liabilities.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asset or liability.</w:t>
      </w:r>
    </w:p>
    <w:p>
      <w:pPr>
        <w:spacing w:after="0" w:line="192" w:lineRule="exact"/>
        <w:rPr>
          <w:sz w:val="20"/>
          <w:szCs w:val="20"/>
          <w:color w:val="auto"/>
        </w:rPr>
      </w:pPr>
    </w:p>
    <w:p>
      <w:pPr>
        <w:jc w:val="both"/>
        <w:ind w:left="60" w:right="59" w:firstLine="324"/>
        <w:spacing w:after="0" w:line="342" w:lineRule="auto"/>
        <w:rPr>
          <w:sz w:val="20"/>
          <w:szCs w:val="20"/>
          <w:color w:val="auto"/>
        </w:rPr>
      </w:pPr>
      <w:r>
        <w:rPr>
          <w:rFonts w:ascii="Arial" w:cs="Arial" w:eastAsia="Arial" w:hAnsi="Arial"/>
          <w:sz w:val="16"/>
          <w:szCs w:val="16"/>
          <w:color w:val="auto"/>
        </w:rPr>
        <w:t>Fair value measurements focus on exit prices in an orderly transaction (that is, not a forced liquidation or distressed sale) between market participants at the measurement date under current market conditions. If there has been a significant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w:t>
      </w:r>
    </w:p>
    <w:p>
      <w:pPr>
        <w:spacing w:after="0" w:line="187"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 xml:space="preserve">The Company’s fair value measurements are classified into a fair value hierarchy in accordance with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based on the markets in which the assets and liabilities are traded and the reliability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assumptions used to determine fair value. The three categories within the hierarchy are as follows:</w:t>
      </w:r>
    </w:p>
    <w:p>
      <w:pPr>
        <w:spacing w:after="0" w:line="16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Quoted prices in active markets for identical assets and liabilities.</w:t>
      </w:r>
    </w:p>
    <w:p>
      <w:pPr>
        <w:spacing w:after="0" w:line="225" w:lineRule="exact"/>
        <w:rPr>
          <w:sz w:val="20"/>
          <w:szCs w:val="20"/>
          <w:color w:val="auto"/>
        </w:rPr>
      </w:pPr>
    </w:p>
    <w:p>
      <w:pPr>
        <w:jc w:val="both"/>
        <w:ind w:left="1040" w:right="79" w:hanging="661"/>
        <w:spacing w:after="0" w:line="261" w:lineRule="auto"/>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Observable inputs other than Level 1 prices such as quoted prices for similar assets or liabilities in active</w:t>
      </w:r>
      <w:r>
        <w:rPr>
          <w:rFonts w:ascii="Arial" w:cs="Arial" w:eastAsia="Arial" w:hAnsi="Arial"/>
          <w:sz w:val="18"/>
          <w:szCs w:val="18"/>
          <w:b w:val="1"/>
          <w:bCs w:val="1"/>
          <w:color w:val="auto"/>
        </w:rPr>
        <w:t xml:space="preserve"> </w:t>
      </w:r>
      <w:r>
        <w:rPr>
          <w:rFonts w:ascii="Arial" w:cs="Arial" w:eastAsia="Arial" w:hAnsi="Arial"/>
          <w:sz w:val="18"/>
          <w:szCs w:val="18"/>
          <w:color w:val="auto"/>
        </w:rPr>
        <w:t>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180" w:lineRule="exact"/>
        <w:rPr>
          <w:sz w:val="20"/>
          <w:szCs w:val="20"/>
          <w:color w:val="auto"/>
        </w:rPr>
      </w:pPr>
    </w:p>
    <w:p>
      <w:pPr>
        <w:jc w:val="both"/>
        <w:ind w:left="1040" w:right="79" w:hanging="661"/>
        <w:spacing w:after="0" w:line="258"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Unobservable inputs that are supported by little or no market activity and that are significant to the fair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87"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Investments are valued at fair value as determined in good faith by the Board, based on input of management, the audit committee and independent valuation firms which are engaged at the direction of the Board to assist in the valuation of each portfolio investment lacking a readily available market quotation at least once during a trailing twelve-month period under a valuation policy and a consistently applied valuation process. This valuation process is conducted at the end of each fiscal quarter, with at least 25% (based on fair value) of the Company’s valuation of portfolio companies lacking readily available market quotations subject to review by an independent valuation firm.</w:t>
      </w:r>
    </w:p>
    <w:p>
      <w:pPr>
        <w:spacing w:after="0" w:line="178"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Because there is not a readily available market value for most of the investments in its portfolio, the Company values substantially all of its portfolio investments at fair value as determined in good faith by the Board, as described herein. Due to the inherent uncertainty of determining the fair value of investments that do not have a readily available market value, the fair value of the Company’s investments may fluctuate from period to period. Additionally, the fair value of the Company’s investments may differ significantly from the values that would have been used had a ready market existed for such investments and may differ materially from the values that the Company may ultimately realize. Further, such investments are generally subject to legal and other restrictions on resale or otherwise are less liquid than publicly traded securities. If the Company was required to liquidate a portfolio investment in a forced or liquidation sale, the Company could realize significantly less than the value at which the Company has recorded such portfolio investment.</w:t>
      </w:r>
    </w:p>
    <w:p>
      <w:pPr>
        <w:spacing w:after="0" w:line="166"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i w:val="1"/>
          <w:iCs w:val="1"/>
          <w:color w:val="auto"/>
        </w:rPr>
        <w:t xml:space="preserve">Cash and interest receivable: </w:t>
      </w:r>
      <w:r>
        <w:rPr>
          <w:rFonts w:ascii="Arial" w:cs="Arial" w:eastAsia="Arial" w:hAnsi="Arial"/>
          <w:sz w:val="18"/>
          <w:szCs w:val="18"/>
          <w:color w:val="auto"/>
        </w:rPr>
        <w:t>The carrying amount is a reasonable estimate of fair value. These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are not recorded at fair value on a recurring basis and are categorized as Level 1 within the fair value hierarchy described above.</w:t>
      </w:r>
    </w:p>
    <w:p>
      <w:pPr>
        <w:spacing w:after="0" w:line="184" w:lineRule="exact"/>
        <w:rPr>
          <w:sz w:val="20"/>
          <w:szCs w:val="20"/>
          <w:color w:val="auto"/>
        </w:rPr>
      </w:pPr>
    </w:p>
    <w:p>
      <w:pPr>
        <w:jc w:val="both"/>
        <w:ind w:left="60" w:right="59" w:firstLine="401"/>
        <w:spacing w:after="0" w:line="263" w:lineRule="auto"/>
        <w:rPr>
          <w:sz w:val="20"/>
          <w:szCs w:val="20"/>
          <w:color w:val="auto"/>
        </w:rPr>
      </w:pPr>
      <w:r>
        <w:rPr>
          <w:rFonts w:ascii="Arial" w:cs="Arial" w:eastAsia="Arial" w:hAnsi="Arial"/>
          <w:sz w:val="18"/>
          <w:szCs w:val="18"/>
          <w:i w:val="1"/>
          <w:iCs w:val="1"/>
          <w:color w:val="auto"/>
        </w:rPr>
        <w:t xml:space="preserve">Money market funds: </w:t>
      </w:r>
      <w:r>
        <w:rPr>
          <w:rFonts w:ascii="Arial" w:cs="Arial" w:eastAsia="Arial" w:hAnsi="Arial"/>
          <w:sz w:val="18"/>
          <w:szCs w:val="18"/>
          <w:color w:val="auto"/>
        </w:rPr>
        <w:t>The carrying amounts are valued at their net asset value as of the close of business on the day</w:t>
      </w:r>
      <w:r>
        <w:rPr>
          <w:rFonts w:ascii="Arial" w:cs="Arial" w:eastAsia="Arial" w:hAnsi="Arial"/>
          <w:sz w:val="18"/>
          <w:szCs w:val="18"/>
          <w:i w:val="1"/>
          <w:iCs w:val="1"/>
          <w:color w:val="auto"/>
        </w:rPr>
        <w:t xml:space="preserve"> </w:t>
      </w:r>
      <w:r>
        <w:rPr>
          <w:rFonts w:ascii="Arial" w:cs="Arial" w:eastAsia="Arial" w:hAnsi="Arial"/>
          <w:sz w:val="18"/>
          <w:szCs w:val="18"/>
          <w:color w:val="auto"/>
        </w:rPr>
        <w:t>of valuation. These financial instruments are recorded at fair value on a recurring basis and are categorized as Level 2 within the fair value hierarchy described above as these funds can be redeemed daily.</w:t>
      </w:r>
    </w:p>
    <w:p>
      <w:pPr>
        <w:spacing w:after="0" w:line="184"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i w:val="1"/>
          <w:iCs w:val="1"/>
          <w:color w:val="auto"/>
        </w:rPr>
        <w:t xml:space="preserve">Debt investments: </w:t>
      </w:r>
      <w:r>
        <w:rPr>
          <w:rFonts w:ascii="Arial" w:cs="Arial" w:eastAsia="Arial" w:hAnsi="Arial"/>
          <w:sz w:val="16"/>
          <w:szCs w:val="16"/>
          <w:color w:val="auto"/>
        </w:rPr>
        <w:t>The fair value of debt investments is estimated by discounting the expected future cash flows using</w:t>
      </w:r>
      <w:r>
        <w:rPr>
          <w:rFonts w:ascii="Arial" w:cs="Arial" w:eastAsia="Arial" w:hAnsi="Arial"/>
          <w:sz w:val="16"/>
          <w:szCs w:val="16"/>
          <w:i w:val="1"/>
          <w:iCs w:val="1"/>
          <w:color w:val="auto"/>
        </w:rPr>
        <w:t xml:space="preserve"> </w:t>
      </w:r>
      <w:r>
        <w:rPr>
          <w:rFonts w:ascii="Arial" w:cs="Arial" w:eastAsia="Arial" w:hAnsi="Arial"/>
          <w:sz w:val="16"/>
          <w:szCs w:val="16"/>
          <w:color w:val="auto"/>
        </w:rPr>
        <w:t>the period end rates at which similar debt investments would be made to borrowers with similar credit ratings and for the same remaining maturities. At March 31, 2020 and December 31, 2019, the hypothetical market yields used ranged from 10% to 29% and 10% to 16%, respectively. Significant increases (decreases) in this unobservable input would result in a</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significantly lower (higher) fair value measurement. These assets are recorded at fair value on a recurring basis and are categorized as Level 3 within the fair value hierarchy described above.</w:t>
      </w:r>
    </w:p>
    <w:p>
      <w:pPr>
        <w:spacing w:after="0" w:line="170"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Under certain circumstances, the Company may use an alternative technique to value debt investments that better reflects its fair value such as the use of multiple probability weighted cash flow models when the expected future cash flows contain elements of variability.</w:t>
      </w:r>
    </w:p>
    <w:p>
      <w:pPr>
        <w:spacing w:after="0" w:line="18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i w:val="1"/>
          <w:iCs w:val="1"/>
          <w:color w:val="auto"/>
        </w:rPr>
        <w:t xml:space="preserve">Warrant investments: </w:t>
      </w:r>
      <w:r>
        <w:rPr>
          <w:rFonts w:ascii="Arial" w:cs="Arial" w:eastAsia="Arial" w:hAnsi="Arial"/>
          <w:sz w:val="18"/>
          <w:szCs w:val="18"/>
          <w:color w:val="auto"/>
        </w:rPr>
        <w:t>The Company values its warrants using the Black-Scholes valuation model incorporating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material assumptions:</w:t>
      </w:r>
    </w:p>
    <w:p>
      <w:pPr>
        <w:spacing w:after="0" w:line="170" w:lineRule="exact"/>
        <w:rPr>
          <w:sz w:val="20"/>
          <w:szCs w:val="20"/>
          <w:color w:val="auto"/>
        </w:rPr>
      </w:pPr>
    </w:p>
    <w:p>
      <w:pPr>
        <w:jc w:val="both"/>
        <w:ind w:left="700" w:right="79" w:hanging="326"/>
        <w:spacing w:after="0" w:line="263"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Underlying asset value of the issuer is estimated based on information available, including any information regarding the most recent rounds of borrower funding. Significant increases (decreases) in this unobservable input would result in a significantly higher (lower) fair value measurement.</w:t>
      </w:r>
    </w:p>
    <w:p>
      <w:pPr>
        <w:spacing w:after="0" w:line="183" w:lineRule="exact"/>
        <w:rPr>
          <w:rFonts w:ascii="Arial" w:cs="Arial" w:eastAsia="Arial" w:hAnsi="Arial"/>
          <w:sz w:val="18"/>
          <w:szCs w:val="18"/>
          <w:color w:val="auto"/>
        </w:rPr>
      </w:pPr>
    </w:p>
    <w:p>
      <w:pPr>
        <w:jc w:val="both"/>
        <w:ind w:left="700" w:right="79" w:hanging="326"/>
        <w:spacing w:after="0" w:line="259"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indices of publicly traded companies similar in nature to the underlying company issuing the warrant. A total of seven such indices are used. Significant increases (decreases) in this unobservable input would result in a significantly higher (lower) fair value measurement.</w:t>
      </w:r>
    </w:p>
    <w:p>
      <w:pPr>
        <w:spacing w:after="0" w:line="186" w:lineRule="exact"/>
        <w:rPr>
          <w:rFonts w:ascii="Arial" w:cs="Arial" w:eastAsia="Arial" w:hAnsi="Arial"/>
          <w:sz w:val="18"/>
          <w:szCs w:val="18"/>
          <w:color w:val="auto"/>
        </w:rPr>
      </w:pPr>
    </w:p>
    <w:p>
      <w:pPr>
        <w:jc w:val="both"/>
        <w:ind w:left="700" w:right="79" w:hanging="326"/>
        <w:spacing w:after="0" w:line="263"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w:t>
      </w:r>
    </w:p>
    <w:p>
      <w:pPr>
        <w:spacing w:after="0" w:line="183"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management’s judgment about the general industry environment.</w:t>
      </w:r>
    </w:p>
    <w:p>
      <w:pPr>
        <w:spacing w:after="0" w:line="170" w:lineRule="exact"/>
        <w:rPr>
          <w:rFonts w:ascii="Arial" w:cs="Arial" w:eastAsia="Arial" w:hAnsi="Arial"/>
          <w:sz w:val="18"/>
          <w:szCs w:val="18"/>
          <w:color w:val="auto"/>
        </w:rPr>
      </w:pPr>
    </w:p>
    <w:p>
      <w:pPr>
        <w:jc w:val="both"/>
        <w:ind w:left="700" w:right="79" w:hanging="326"/>
        <w:spacing w:after="0" w:line="273" w:lineRule="auto"/>
        <w:tabs>
          <w:tab w:leader="none" w:pos="7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the Company’s warrants are utilized as the basis for determining the estimated time to exit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would result in significantly higher (lower) fair value measurement.</w:t>
      </w:r>
    </w:p>
    <w:p>
      <w:pPr>
        <w:spacing w:after="0" w:line="178" w:lineRule="exact"/>
        <w:rPr>
          <w:sz w:val="20"/>
          <w:szCs w:val="20"/>
          <w:color w:val="auto"/>
        </w:rPr>
      </w:pPr>
    </w:p>
    <w:p>
      <w:pPr>
        <w:jc w:val="both"/>
        <w:ind w:left="60" w:right="59" w:firstLine="324"/>
        <w:spacing w:after="0" w:line="279" w:lineRule="auto"/>
        <w:rPr>
          <w:sz w:val="20"/>
          <w:szCs w:val="20"/>
          <w:color w:val="auto"/>
        </w:rPr>
      </w:pPr>
      <w:r>
        <w:rPr>
          <w:rFonts w:ascii="Arial" w:cs="Arial" w:eastAsia="Arial" w:hAnsi="Arial"/>
          <w:sz w:val="17"/>
          <w:szCs w:val="17"/>
          <w:color w:val="auto"/>
        </w:rPr>
        <w:t>Under certain circumstances the Company may use an alternative technique to value warrants that better reflects the warrants’ fair value, such as an expected settlement of a warrant in the near term or a model that incorporates a put feature associated with the warrant. The fair value may be determined based on the expected proceeds to be received from such settlement or based on the net present value of the expected proceeds from the put option.</w:t>
      </w:r>
    </w:p>
    <w:p>
      <w:pPr>
        <w:spacing w:after="0" w:line="17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fair value of the Company’s warrants held in publicly traded companies is determined based on inputs that are readily available in public markets or can be derived from information available in public markets. Therefore, the Company has categorized these warrants as Level 2 within the fair value hierarchy described above. The fair value of the Company’s warrants held in private companies is determined using both observable and unobservable inputs and represents management’s best estimate of what market participants would use in pricing the warrants at the measurement date. Therefore, the Company has categorized these warrants as Level 3 within the fair value hierarchy described above. These assets are recorded at fair value on a recurring basis.</w:t>
      </w:r>
    </w:p>
    <w:p>
      <w:pPr>
        <w:spacing w:after="0" w:line="177"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The fair value of an equity investment in a privately held company is initially the face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invested. The Company adjusts the fair value of equity investments in private companies upon the completion of a new third-party round of equity financing. The Company may make adjustments to fair value, absent a new equity financing event, based upon positive or negative changes in a portfolio company’s financial or operational performance. Significant increases (decreases) in this unobservable input would result in a significantly higher (lower) fair value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measurement. The Company has categorized these equity investments as Level 3 within the fair value hierarchy described above. The fair value of an equity investment in a publicly traded company is based upon the closing public share price on the date of measurement. Therefore, the Company has categorized these equity investments as Level 1 within the fair value hierarchy described above. These assets are recorded at fair value on a recurring basis.</w:t>
      </w:r>
    </w:p>
    <w:p>
      <w:pPr>
        <w:spacing w:after="0" w:line="171"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i w:val="1"/>
          <w:iCs w:val="1"/>
          <w:color w:val="auto"/>
        </w:rPr>
        <w:t xml:space="preserve">Other investments: </w:t>
      </w:r>
      <w:r>
        <w:rPr>
          <w:rFonts w:ascii="Arial" w:cs="Arial" w:eastAsia="Arial" w:hAnsi="Arial"/>
          <w:sz w:val="18"/>
          <w:szCs w:val="18"/>
          <w:color w:val="auto"/>
        </w:rPr>
        <w:t>Other investments are valued based on the facts and circumstances of the underlying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The Company currently values these contractual agreements using a multiple probability weighted cash flow model as the contractual future cash flows contain elements of variability. Significant changes in the estimated cash flows and probability weightings would result in a significantly higher or lower fair value measurement. The Company has categorized these other investments as Level 3 within the fair value hierarchy described above. These other investments are recorded at fair value on a recurring basis.</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following tables provide a summary of quantitative information about the Company’s Level 3 fair value measurements of its investments as of March 31, 2020 and December 31, 2019. In addition to the techniques and inputs noted in the table below, according to the Company’s valuation policy, the Company may also use other valuation techniques and methodologies when determining its fair value measurements.</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March 31, 2020:</w:t>
      </w:r>
    </w:p>
    <w:p>
      <w:pPr>
        <w:spacing w:after="0" w:line="180" w:lineRule="exact"/>
        <w:rPr>
          <w:sz w:val="20"/>
          <w:szCs w:val="20"/>
          <w:color w:val="auto"/>
        </w:rPr>
      </w:pPr>
    </w:p>
    <w:p>
      <w:pPr>
        <w:jc w:val="center"/>
        <w:ind w:right="279"/>
        <w:spacing w:after="0"/>
        <w:rPr>
          <w:sz w:val="20"/>
          <w:szCs w:val="20"/>
          <w:color w:val="auto"/>
        </w:rPr>
      </w:pPr>
      <w:r>
        <w:rPr>
          <w:rFonts w:ascii="Arial" w:cs="Arial" w:eastAsia="Arial" w:hAnsi="Arial"/>
          <w:sz w:val="13"/>
          <w:szCs w:val="13"/>
          <w:b w:val="1"/>
          <w:bCs w:val="1"/>
          <w:color w:val="auto"/>
        </w:rPr>
        <w:t>March 31, 2020</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10"/>
        </w:trPr>
        <w:tc>
          <w:tcPr>
            <w:tcW w:w="20" w:type="dxa"/>
            <w:vAlign w:val="bottom"/>
          </w:tcPr>
          <w:p>
            <w:pPr>
              <w:spacing w:after="0"/>
              <w:rPr>
                <w:sz w:val="9"/>
                <w:szCs w:val="9"/>
                <w:color w:val="auto"/>
              </w:rPr>
            </w:pPr>
          </w:p>
        </w:tc>
        <w:tc>
          <w:tcPr>
            <w:tcW w:w="1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rPr>
              <w:t>Fair</w:t>
            </w:r>
          </w:p>
        </w:tc>
        <w:tc>
          <w:tcPr>
            <w:tcW w:w="140" w:type="dxa"/>
            <w:vAlign w:val="bottom"/>
            <w:tcBorders>
              <w:top w:val="single" w:sz="8" w:color="auto"/>
            </w:tcBorders>
          </w:tcPr>
          <w:p>
            <w:pPr>
              <w:spacing w:after="0"/>
              <w:rPr>
                <w:sz w:val="9"/>
                <w:szCs w:val="9"/>
                <w:color w:val="auto"/>
              </w:rPr>
            </w:pPr>
          </w:p>
        </w:tc>
        <w:tc>
          <w:tcPr>
            <w:tcW w:w="256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4"/>
              </w:rPr>
              <w:t>Valuation Techniques/</w:t>
            </w:r>
          </w:p>
        </w:tc>
        <w:tc>
          <w:tcPr>
            <w:tcW w:w="1860" w:type="dxa"/>
            <w:vAlign w:val="bottom"/>
            <w:tcBorders>
              <w:top w:val="single" w:sz="8" w:color="auto"/>
            </w:tcBorders>
            <w:gridSpan w:val="2"/>
          </w:tcPr>
          <w:p>
            <w:pPr>
              <w:ind w:left="540"/>
              <w:spacing w:after="0" w:line="110" w:lineRule="exact"/>
              <w:rPr>
                <w:sz w:val="20"/>
                <w:szCs w:val="20"/>
                <w:color w:val="auto"/>
              </w:rPr>
            </w:pPr>
            <w:r>
              <w:rPr>
                <w:rFonts w:ascii="Arial" w:cs="Arial" w:eastAsia="Arial" w:hAnsi="Arial"/>
                <w:sz w:val="12"/>
                <w:szCs w:val="12"/>
                <w:b w:val="1"/>
                <w:bCs w:val="1"/>
                <w:color w:val="auto"/>
              </w:rPr>
              <w:t>Unobservable</w:t>
            </w:r>
          </w:p>
        </w:tc>
        <w:tc>
          <w:tcPr>
            <w:tcW w:w="9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ind w:right="38"/>
              <w:spacing w:after="0" w:line="110" w:lineRule="exact"/>
              <w:rPr>
                <w:sz w:val="20"/>
                <w:szCs w:val="20"/>
                <w:color w:val="auto"/>
              </w:rPr>
            </w:pPr>
            <w:r>
              <w:rPr>
                <w:rFonts w:ascii="Arial" w:cs="Arial" w:eastAsia="Arial" w:hAnsi="Arial"/>
                <w:sz w:val="12"/>
                <w:szCs w:val="12"/>
                <w:b w:val="1"/>
                <w:bCs w:val="1"/>
                <w:color w:val="auto"/>
                <w:w w:val="96"/>
              </w:rPr>
              <w:t>Weighted</w:t>
            </w:r>
          </w:p>
        </w:tc>
        <w:tc>
          <w:tcPr>
            <w:tcW w:w="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1600" w:type="dxa"/>
            <w:vAlign w:val="bottom"/>
            <w:gridSpan w:val="3"/>
          </w:tcPr>
          <w:p>
            <w:pPr>
              <w:ind w:left="20"/>
              <w:spacing w:after="0"/>
              <w:rPr>
                <w:sz w:val="20"/>
                <w:szCs w:val="20"/>
                <w:color w:val="auto"/>
              </w:rPr>
            </w:pPr>
            <w:r>
              <w:rPr>
                <w:rFonts w:ascii="Arial" w:cs="Arial" w:eastAsia="Arial" w:hAnsi="Arial"/>
                <w:sz w:val="13"/>
                <w:szCs w:val="13"/>
                <w:b w:val="1"/>
                <w:bCs w:val="1"/>
                <w:color w:val="auto"/>
              </w:rPr>
              <w:t>Investment Type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Value</w:t>
            </w:r>
          </w:p>
        </w:tc>
        <w:tc>
          <w:tcPr>
            <w:tcW w:w="140" w:type="dxa"/>
            <w:vAlign w:val="bottom"/>
          </w:tcPr>
          <w:p>
            <w:pPr>
              <w:spacing w:after="0"/>
              <w:rPr>
                <w:sz w:val="13"/>
                <w:szCs w:val="13"/>
                <w:color w:val="auto"/>
              </w:rPr>
            </w:pPr>
          </w:p>
        </w:tc>
        <w:tc>
          <w:tcPr>
            <w:tcW w:w="2560" w:type="dxa"/>
            <w:vAlign w:val="bottom"/>
          </w:tcPr>
          <w:p>
            <w:pPr>
              <w:jc w:val="center"/>
              <w:spacing w:after="0"/>
              <w:rPr>
                <w:sz w:val="20"/>
                <w:szCs w:val="20"/>
                <w:color w:val="auto"/>
              </w:rPr>
            </w:pPr>
            <w:r>
              <w:rPr>
                <w:rFonts w:ascii="Arial" w:cs="Arial" w:eastAsia="Arial" w:hAnsi="Arial"/>
                <w:sz w:val="13"/>
                <w:szCs w:val="13"/>
                <w:b w:val="1"/>
                <w:bCs w:val="1"/>
                <w:color w:val="auto"/>
                <w:w w:val="84"/>
              </w:rPr>
              <w:t>Methodologies</w:t>
            </w:r>
          </w:p>
        </w:tc>
        <w:tc>
          <w:tcPr>
            <w:tcW w:w="1860" w:type="dxa"/>
            <w:vAlign w:val="bottom"/>
            <w:gridSpan w:val="2"/>
          </w:tcPr>
          <w:p>
            <w:pPr>
              <w:ind w:left="760"/>
              <w:spacing w:after="0"/>
              <w:rPr>
                <w:sz w:val="20"/>
                <w:szCs w:val="20"/>
                <w:color w:val="auto"/>
              </w:rPr>
            </w:pPr>
            <w:r>
              <w:rPr>
                <w:rFonts w:ascii="Arial" w:cs="Arial" w:eastAsia="Arial" w:hAnsi="Arial"/>
                <w:sz w:val="13"/>
                <w:szCs w:val="13"/>
                <w:b w:val="1"/>
                <w:bCs w:val="1"/>
                <w:color w:val="auto"/>
              </w:rPr>
              <w:t>Input</w:t>
            </w:r>
          </w:p>
        </w:tc>
        <w:tc>
          <w:tcPr>
            <w:tcW w:w="900" w:type="dxa"/>
            <w:vAlign w:val="bottom"/>
          </w:tcPr>
          <w:p>
            <w:pPr>
              <w:ind w:left="280"/>
              <w:spacing w:after="0"/>
              <w:rPr>
                <w:sz w:val="20"/>
                <w:szCs w:val="20"/>
                <w:color w:val="auto"/>
              </w:rPr>
            </w:pPr>
            <w:r>
              <w:rPr>
                <w:rFonts w:ascii="Arial" w:cs="Arial" w:eastAsia="Arial" w:hAnsi="Arial"/>
                <w:sz w:val="13"/>
                <w:szCs w:val="13"/>
                <w:b w:val="1"/>
                <w:bCs w:val="1"/>
                <w:color w:val="auto"/>
              </w:rPr>
              <w:t>Range</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right"/>
              <w:ind w:right="360"/>
              <w:spacing w:after="0" w:line="154" w:lineRule="exact"/>
              <w:rPr>
                <w:sz w:val="20"/>
                <w:szCs w:val="20"/>
                <w:color w:val="auto"/>
              </w:rPr>
            </w:pPr>
            <w:r>
              <w:rPr>
                <w:rFonts w:ascii="Arial" w:cs="Arial" w:eastAsia="Arial" w:hAnsi="Arial"/>
                <w:sz w:val="12"/>
                <w:szCs w:val="12"/>
                <w:b w:val="1"/>
                <w:bCs w:val="1"/>
                <w:color w:val="auto"/>
                <w:w w:val="88"/>
              </w:rPr>
              <w:t>Average</w:t>
            </w:r>
            <w:r>
              <w:rPr>
                <w:rFonts w:ascii="Arial" w:cs="Arial" w:eastAsia="Arial" w:hAnsi="Arial"/>
                <w:sz w:val="17"/>
                <w:szCs w:val="17"/>
                <w:b w:val="1"/>
                <w:bCs w:val="1"/>
                <w:color w:val="auto"/>
                <w:w w:val="88"/>
                <w:vertAlign w:val="superscript"/>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300" w:type="dxa"/>
            <w:vAlign w:val="bottom"/>
            <w:tcBorders>
              <w:top w:val="single" w:sz="8" w:color="auto"/>
            </w:tcBorders>
            <w:gridSpan w:val="2"/>
          </w:tcPr>
          <w:p>
            <w:pPr>
              <w:ind w:left="940"/>
              <w:spacing w:after="0" w:line="129" w:lineRule="exact"/>
              <w:rPr>
                <w:sz w:val="20"/>
                <w:szCs w:val="20"/>
                <w:color w:val="auto"/>
              </w:rPr>
            </w:pPr>
            <w:r>
              <w:rPr>
                <w:rFonts w:ascii="Arial" w:cs="Arial" w:eastAsia="Arial" w:hAnsi="Arial"/>
                <w:sz w:val="13"/>
                <w:szCs w:val="13"/>
                <w:b w:val="1"/>
                <w:bCs w:val="1"/>
                <w:color w:val="auto"/>
              </w:rPr>
              <w:t>(Dollars in thousands, except per share data)</w:t>
            </w:r>
          </w:p>
        </w:tc>
        <w:tc>
          <w:tcPr>
            <w:tcW w:w="12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Debt investments</w:t>
            </w:r>
          </w:p>
        </w:tc>
        <w:tc>
          <w:tcPr>
            <w:tcW w:w="140" w:type="dxa"/>
            <w:vAlign w:val="bottom"/>
            <w:gridSpan w:val="2"/>
            <w:shd w:val="clear" w:color="auto" w:fill="CCEEFF"/>
          </w:tcPr>
          <w:p>
            <w:pPr>
              <w:jc w:val="right"/>
              <w:ind w:right="8"/>
              <w:spacing w:after="0" w:line="135" w:lineRule="exact"/>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290,985</w:t>
            </w:r>
          </w:p>
        </w:tc>
        <w:tc>
          <w:tcPr>
            <w:tcW w:w="27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Discounted Expected Future Cash Flows</w:t>
            </w: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Hypothetical Market Yield</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10% – 29%</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13 %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7,072</w:t>
            </w:r>
          </w:p>
        </w:tc>
        <w:tc>
          <w:tcPr>
            <w:tcW w:w="27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Liquidation Scenario</w:t>
            </w:r>
          </w:p>
        </w:tc>
        <w:tc>
          <w:tcPr>
            <w:tcW w:w="18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Probability Weighting</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84"/>
              </w:rPr>
              <w:t>100%</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9,500</w:t>
            </w:r>
          </w:p>
        </w:tc>
        <w:tc>
          <w:tcPr>
            <w:tcW w:w="27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w w:val="93"/>
              </w:rPr>
              <w:t>Multiple Probability Weighted Cash Flow Model</w:t>
            </w: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Probability Weighting</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20% – 50%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38 %</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Warrant investments</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5,603</w:t>
            </w:r>
          </w:p>
        </w:tc>
        <w:tc>
          <w:tcPr>
            <w:tcW w:w="27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Black-Scholes Valuation Model</w:t>
            </w: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Price Per Share</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$0.00 – $980.00</w:t>
            </w:r>
          </w:p>
        </w:tc>
        <w:tc>
          <w:tcPr>
            <w:tcW w:w="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21.69</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Average Industry Volatility</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2"/>
              </w:rPr>
              <w:t>22%</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Marketability Discount</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20%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8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Estimated Time to Exit</w:t>
            </w:r>
          </w:p>
        </w:tc>
        <w:tc>
          <w:tcPr>
            <w:tcW w:w="900" w:type="dxa"/>
            <w:vAlign w:val="bottom"/>
          </w:tcPr>
          <w:p>
            <w:pPr>
              <w:ind w:left="180"/>
              <w:spacing w:after="0" w:line="135" w:lineRule="exact"/>
              <w:rPr>
                <w:sz w:val="20"/>
                <w:szCs w:val="20"/>
                <w:color w:val="auto"/>
              </w:rPr>
            </w:pPr>
            <w:r>
              <w:rPr>
                <w:rFonts w:ascii="Arial" w:cs="Arial" w:eastAsia="Arial" w:hAnsi="Arial"/>
                <w:sz w:val="13"/>
                <w:szCs w:val="13"/>
                <w:color w:val="auto"/>
              </w:rPr>
              <w:t>1 to 4 years</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 years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477</w:t>
            </w:r>
          </w:p>
        </w:tc>
        <w:tc>
          <w:tcPr>
            <w:tcW w:w="2700" w:type="dxa"/>
            <w:vAlign w:val="bottom"/>
            <w:gridSpan w:val="2"/>
          </w:tcPr>
          <w:p>
            <w:pPr>
              <w:ind w:left="140"/>
              <w:spacing w:after="0" w:line="135" w:lineRule="exact"/>
              <w:rPr>
                <w:sz w:val="20"/>
                <w:szCs w:val="20"/>
                <w:color w:val="auto"/>
              </w:rPr>
            </w:pPr>
            <w:r>
              <w:rPr>
                <w:rFonts w:ascii="Arial" w:cs="Arial" w:eastAsia="Arial" w:hAnsi="Arial"/>
                <w:sz w:val="13"/>
                <w:szCs w:val="13"/>
                <w:color w:val="auto"/>
              </w:rPr>
              <w:t>Estimated Proceeds</w:t>
            </w:r>
          </w:p>
        </w:tc>
        <w:tc>
          <w:tcPr>
            <w:tcW w:w="18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Price Per Share</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85"/>
              </w:rPr>
              <w:t>$2.32</w:t>
            </w:r>
          </w:p>
        </w:tc>
        <w:tc>
          <w:tcPr>
            <w:tcW w:w="20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2.32</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580" w:type="dxa"/>
            <w:vAlign w:val="bottom"/>
            <w:gridSpan w:val="2"/>
          </w:tcPr>
          <w:p>
            <w:pPr>
              <w:spacing w:after="0" w:line="135" w:lineRule="exact"/>
              <w:rPr>
                <w:sz w:val="20"/>
                <w:szCs w:val="20"/>
                <w:color w:val="auto"/>
              </w:rPr>
            </w:pPr>
            <w:r>
              <w:rPr>
                <w:rFonts w:ascii="Arial" w:cs="Arial" w:eastAsia="Arial" w:hAnsi="Arial"/>
                <w:sz w:val="13"/>
                <w:szCs w:val="13"/>
                <w:color w:val="auto"/>
              </w:rPr>
              <w:t>Other investments</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500</w:t>
            </w:r>
          </w:p>
        </w:tc>
        <w:tc>
          <w:tcPr>
            <w:tcW w:w="2700" w:type="dxa"/>
            <w:vAlign w:val="bottom"/>
            <w:gridSpan w:val="2"/>
          </w:tcPr>
          <w:p>
            <w:pPr>
              <w:ind w:left="140"/>
              <w:spacing w:after="0" w:line="135" w:lineRule="exact"/>
              <w:rPr>
                <w:sz w:val="20"/>
                <w:szCs w:val="20"/>
                <w:color w:val="auto"/>
              </w:rPr>
            </w:pPr>
            <w:r>
              <w:rPr>
                <w:rFonts w:ascii="Arial" w:cs="Arial" w:eastAsia="Arial" w:hAnsi="Arial"/>
                <w:sz w:val="13"/>
                <w:szCs w:val="13"/>
                <w:color w:val="auto"/>
                <w:w w:val="93"/>
              </w:rPr>
              <w:t>Multiple Probability Weighted Cash Flow Model</w:t>
            </w:r>
          </w:p>
        </w:tc>
        <w:tc>
          <w:tcPr>
            <w:tcW w:w="18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Discount Rate</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2"/>
              </w:rPr>
              <w:t>25%</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25 %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56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Probability Weighting</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100%</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Equity investments</w:t>
            </w:r>
          </w:p>
        </w:tc>
        <w:tc>
          <w:tcPr>
            <w:tcW w:w="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3,125</w:t>
            </w:r>
          </w:p>
        </w:tc>
        <w:tc>
          <w:tcPr>
            <w:tcW w:w="2700" w:type="dxa"/>
            <w:vAlign w:val="bottom"/>
            <w:gridSpan w:val="2"/>
            <w:shd w:val="clear" w:color="auto" w:fill="CCEEFF"/>
          </w:tcPr>
          <w:p>
            <w:pPr>
              <w:ind w:left="140"/>
              <w:spacing w:after="0" w:line="135" w:lineRule="exact"/>
              <w:rPr>
                <w:sz w:val="20"/>
                <w:szCs w:val="20"/>
                <w:color w:val="auto"/>
              </w:rPr>
            </w:pPr>
            <w:r>
              <w:rPr>
                <w:rFonts w:ascii="Arial" w:cs="Arial" w:eastAsia="Arial" w:hAnsi="Arial"/>
                <w:sz w:val="13"/>
                <w:szCs w:val="13"/>
                <w:color w:val="auto"/>
              </w:rPr>
              <w:t>Last Equity Financing</w:t>
            </w: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Price Per Share</w:t>
            </w:r>
          </w:p>
        </w:tc>
        <w:tc>
          <w:tcPr>
            <w:tcW w:w="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$0.00 – $13.04</w:t>
            </w:r>
          </w:p>
        </w:tc>
        <w:tc>
          <w:tcPr>
            <w:tcW w:w="20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2.71</w:t>
            </w: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600" w:type="dxa"/>
            <w:vAlign w:val="bottom"/>
            <w:gridSpan w:val="3"/>
          </w:tcPr>
          <w:p>
            <w:pPr>
              <w:ind w:left="20"/>
              <w:spacing w:after="0" w:line="129" w:lineRule="exact"/>
              <w:rPr>
                <w:sz w:val="20"/>
                <w:szCs w:val="20"/>
                <w:color w:val="auto"/>
              </w:rPr>
            </w:pPr>
            <w:r>
              <w:rPr>
                <w:rFonts w:ascii="Arial" w:cs="Arial" w:eastAsia="Arial" w:hAnsi="Arial"/>
                <w:sz w:val="13"/>
                <w:szCs w:val="13"/>
                <w:color w:val="auto"/>
              </w:rPr>
              <w:t>Total Level 3 investments</w:t>
            </w: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jc w:val="right"/>
              <w:ind w:right="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gridSpan w:val="2"/>
          </w:tcPr>
          <w:p>
            <w:pPr>
              <w:jc w:val="right"/>
              <w:ind w:right="40"/>
              <w:spacing w:after="0" w:line="129" w:lineRule="exact"/>
              <w:rPr>
                <w:sz w:val="20"/>
                <w:szCs w:val="20"/>
                <w:color w:val="auto"/>
              </w:rPr>
            </w:pPr>
            <w:r>
              <w:rPr>
                <w:rFonts w:ascii="Arial" w:cs="Arial" w:eastAsia="Arial" w:hAnsi="Arial"/>
                <w:sz w:val="13"/>
                <w:szCs w:val="13"/>
                <w:color w:val="auto"/>
              </w:rPr>
              <w:t>317,262</w:t>
            </w:r>
          </w:p>
        </w:tc>
        <w:tc>
          <w:tcPr>
            <w:tcW w:w="1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56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80" w:right="79" w:hanging="330"/>
        <w:spacing w:after="0" w:line="263" w:lineRule="auto"/>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Weighted average is calculated by multiplying (a) the unobservable input for each investment in the investment type by (b) (1) the fair value of the related investment in the investment type divided by (2) the total fair value of the investment type.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59" w:firstLine="324"/>
        <w:spacing w:after="0" w:line="277" w:lineRule="auto"/>
        <w:rPr>
          <w:sz w:val="20"/>
          <w:szCs w:val="20"/>
          <w:color w:val="auto"/>
        </w:rPr>
      </w:pPr>
      <w:r>
        <w:rPr>
          <w:rFonts w:ascii="Arial" w:cs="Arial" w:eastAsia="Arial" w:hAnsi="Arial"/>
          <w:sz w:val="18"/>
          <w:szCs w:val="18"/>
          <w:color w:val="auto"/>
        </w:rPr>
        <w:t>The following table is not intended to be all-inclusive, but rather provides information on the significant Level 3 inputs as they relate to the Company’s fair value measurements as of December 31, 2019:</w:t>
      </w:r>
    </w:p>
    <w:p>
      <w:pPr>
        <w:spacing w:after="0" w:line="180" w:lineRule="exact"/>
        <w:rPr>
          <w:sz w:val="20"/>
          <w:szCs w:val="20"/>
          <w:color w:val="auto"/>
        </w:rPr>
      </w:pPr>
    </w:p>
    <w:p>
      <w:pPr>
        <w:jc w:val="center"/>
        <w:ind w:right="299"/>
        <w:spacing w:after="0"/>
        <w:rPr>
          <w:sz w:val="20"/>
          <w:szCs w:val="20"/>
          <w:color w:val="auto"/>
        </w:rPr>
      </w:pPr>
      <w:r>
        <w:rPr>
          <w:rFonts w:ascii="Arial" w:cs="Arial" w:eastAsia="Arial" w:hAnsi="Arial"/>
          <w:sz w:val="13"/>
          <w:szCs w:val="13"/>
          <w:b w:val="1"/>
          <w:bCs w:val="1"/>
          <w:color w:val="auto"/>
        </w:rPr>
        <w:t>December 31, 2019</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10"/>
        </w:trPr>
        <w:tc>
          <w:tcPr>
            <w:tcW w:w="146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0" w:type="dxa"/>
            <w:vAlign w:val="bottom"/>
            <w:tcBorders>
              <w:top w:val="single" w:sz="8" w:color="auto"/>
            </w:tcBorders>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rPr>
              <w:t>Fair</w:t>
            </w:r>
          </w:p>
        </w:tc>
        <w:tc>
          <w:tcPr>
            <w:tcW w:w="120" w:type="dxa"/>
            <w:vAlign w:val="bottom"/>
            <w:tcBorders>
              <w:top w:val="single" w:sz="8" w:color="auto"/>
            </w:tcBorders>
          </w:tcPr>
          <w:p>
            <w:pPr>
              <w:spacing w:after="0"/>
              <w:rPr>
                <w:sz w:val="9"/>
                <w:szCs w:val="9"/>
                <w:color w:val="auto"/>
              </w:rPr>
            </w:pPr>
          </w:p>
        </w:tc>
        <w:tc>
          <w:tcPr>
            <w:tcW w:w="2580" w:type="dxa"/>
            <w:vAlign w:val="bottom"/>
            <w:tcBorders>
              <w:top w:val="single" w:sz="8" w:color="auto"/>
            </w:tcBorders>
          </w:tcPr>
          <w:p>
            <w:pPr>
              <w:ind w:left="680"/>
              <w:spacing w:after="0" w:line="110" w:lineRule="exact"/>
              <w:rPr>
                <w:sz w:val="20"/>
                <w:szCs w:val="20"/>
                <w:color w:val="auto"/>
              </w:rPr>
            </w:pPr>
            <w:r>
              <w:rPr>
                <w:rFonts w:ascii="Arial" w:cs="Arial" w:eastAsia="Arial" w:hAnsi="Arial"/>
                <w:sz w:val="12"/>
                <w:szCs w:val="12"/>
                <w:b w:val="1"/>
                <w:bCs w:val="1"/>
                <w:color w:val="auto"/>
              </w:rPr>
              <w:t>Valuation Techniques/</w:t>
            </w:r>
          </w:p>
        </w:tc>
        <w:tc>
          <w:tcPr>
            <w:tcW w:w="1860" w:type="dxa"/>
            <w:vAlign w:val="bottom"/>
            <w:tcBorders>
              <w:top w:val="single" w:sz="8" w:color="auto"/>
            </w:tcBorders>
            <w:gridSpan w:val="2"/>
          </w:tcPr>
          <w:p>
            <w:pPr>
              <w:ind w:left="540"/>
              <w:spacing w:after="0" w:line="110" w:lineRule="exact"/>
              <w:rPr>
                <w:sz w:val="20"/>
                <w:szCs w:val="20"/>
                <w:color w:val="auto"/>
              </w:rPr>
            </w:pPr>
            <w:r>
              <w:rPr>
                <w:rFonts w:ascii="Arial" w:cs="Arial" w:eastAsia="Arial" w:hAnsi="Arial"/>
                <w:sz w:val="12"/>
                <w:szCs w:val="12"/>
                <w:b w:val="1"/>
                <w:bCs w:val="1"/>
                <w:color w:val="auto"/>
              </w:rPr>
              <w:t>Unobservable</w:t>
            </w:r>
          </w:p>
        </w:tc>
        <w:tc>
          <w:tcPr>
            <w:tcW w:w="4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ind w:right="38"/>
              <w:spacing w:after="0" w:line="110" w:lineRule="exact"/>
              <w:rPr>
                <w:sz w:val="20"/>
                <w:szCs w:val="20"/>
                <w:color w:val="auto"/>
              </w:rPr>
            </w:pPr>
            <w:r>
              <w:rPr>
                <w:rFonts w:ascii="Arial" w:cs="Arial" w:eastAsia="Arial" w:hAnsi="Arial"/>
                <w:sz w:val="12"/>
                <w:szCs w:val="12"/>
                <w:b w:val="1"/>
                <w:bCs w:val="1"/>
                <w:color w:val="auto"/>
                <w:w w:val="96"/>
              </w:rPr>
              <w:t>Weighted</w:t>
            </w:r>
          </w:p>
        </w:tc>
        <w:tc>
          <w:tcPr>
            <w:tcW w:w="260" w:type="dxa"/>
            <w:vAlign w:val="bottom"/>
          </w:tcPr>
          <w:p>
            <w:pPr>
              <w:spacing w:after="0"/>
              <w:rPr>
                <w:sz w:val="9"/>
                <w:szCs w:val="9"/>
                <w:color w:val="auto"/>
              </w:rPr>
            </w:pPr>
          </w:p>
        </w:tc>
      </w:tr>
      <w:tr>
        <w:trPr>
          <w:trHeight w:val="153"/>
        </w:trPr>
        <w:tc>
          <w:tcPr>
            <w:tcW w:w="1600" w:type="dxa"/>
            <w:vAlign w:val="bottom"/>
            <w:gridSpan w:val="2"/>
          </w:tcPr>
          <w:p>
            <w:pPr>
              <w:ind w:left="20"/>
              <w:spacing w:after="0"/>
              <w:rPr>
                <w:sz w:val="20"/>
                <w:szCs w:val="20"/>
                <w:color w:val="auto"/>
              </w:rPr>
            </w:pPr>
            <w:r>
              <w:rPr>
                <w:rFonts w:ascii="Arial" w:cs="Arial" w:eastAsia="Arial" w:hAnsi="Arial"/>
                <w:sz w:val="13"/>
                <w:szCs w:val="13"/>
                <w:b w:val="1"/>
                <w:bCs w:val="1"/>
                <w:color w:val="auto"/>
              </w:rPr>
              <w:t>Investment Type</w:t>
            </w:r>
          </w:p>
        </w:tc>
        <w:tc>
          <w:tcPr>
            <w:tcW w:w="140" w:type="dxa"/>
            <w:vAlign w:val="bottom"/>
          </w:tcPr>
          <w:p>
            <w:pPr>
              <w:spacing w:after="0"/>
              <w:rPr>
                <w:sz w:val="13"/>
                <w:szCs w:val="13"/>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Value</w:t>
            </w:r>
          </w:p>
        </w:tc>
        <w:tc>
          <w:tcPr>
            <w:tcW w:w="120" w:type="dxa"/>
            <w:vAlign w:val="bottom"/>
          </w:tcPr>
          <w:p>
            <w:pPr>
              <w:spacing w:after="0"/>
              <w:rPr>
                <w:sz w:val="13"/>
                <w:szCs w:val="13"/>
                <w:color w:val="auto"/>
              </w:rPr>
            </w:pPr>
          </w:p>
        </w:tc>
        <w:tc>
          <w:tcPr>
            <w:tcW w:w="2580" w:type="dxa"/>
            <w:vAlign w:val="bottom"/>
          </w:tcPr>
          <w:p>
            <w:pPr>
              <w:ind w:left="880"/>
              <w:spacing w:after="0"/>
              <w:rPr>
                <w:sz w:val="20"/>
                <w:szCs w:val="20"/>
                <w:color w:val="auto"/>
              </w:rPr>
            </w:pPr>
            <w:r>
              <w:rPr>
                <w:rFonts w:ascii="Arial" w:cs="Arial" w:eastAsia="Arial" w:hAnsi="Arial"/>
                <w:sz w:val="13"/>
                <w:szCs w:val="13"/>
                <w:b w:val="1"/>
                <w:bCs w:val="1"/>
                <w:color w:val="auto"/>
              </w:rPr>
              <w:t>Methodologies</w:t>
            </w:r>
          </w:p>
        </w:tc>
        <w:tc>
          <w:tcPr>
            <w:tcW w:w="1860" w:type="dxa"/>
            <w:vAlign w:val="bottom"/>
            <w:gridSpan w:val="2"/>
          </w:tcPr>
          <w:p>
            <w:pPr>
              <w:ind w:left="760"/>
              <w:spacing w:after="0"/>
              <w:rPr>
                <w:sz w:val="20"/>
                <w:szCs w:val="20"/>
                <w:color w:val="auto"/>
              </w:rPr>
            </w:pPr>
            <w:r>
              <w:rPr>
                <w:rFonts w:ascii="Arial" w:cs="Arial" w:eastAsia="Arial" w:hAnsi="Arial"/>
                <w:sz w:val="13"/>
                <w:szCs w:val="13"/>
                <w:b w:val="1"/>
                <w:bCs w:val="1"/>
                <w:color w:val="auto"/>
              </w:rPr>
              <w:t>Input</w:t>
            </w:r>
          </w:p>
        </w:tc>
        <w:tc>
          <w:tcPr>
            <w:tcW w:w="1020" w:type="dxa"/>
            <w:vAlign w:val="bottom"/>
            <w:gridSpan w:val="3"/>
          </w:tcPr>
          <w:p>
            <w:pPr>
              <w:ind w:left="260"/>
              <w:spacing w:after="0"/>
              <w:rPr>
                <w:sz w:val="20"/>
                <w:szCs w:val="20"/>
                <w:color w:val="auto"/>
              </w:rPr>
            </w:pPr>
            <w:r>
              <w:rPr>
                <w:rFonts w:ascii="Arial" w:cs="Arial" w:eastAsia="Arial" w:hAnsi="Arial"/>
                <w:sz w:val="13"/>
                <w:szCs w:val="13"/>
                <w:b w:val="1"/>
                <w:bCs w:val="1"/>
                <w:color w:val="auto"/>
              </w:rPr>
              <w:t>Range</w:t>
            </w:r>
          </w:p>
        </w:tc>
        <w:tc>
          <w:tcPr>
            <w:tcW w:w="80" w:type="dxa"/>
            <w:vAlign w:val="bottom"/>
          </w:tcPr>
          <w:p>
            <w:pPr>
              <w:spacing w:after="0"/>
              <w:rPr>
                <w:sz w:val="13"/>
                <w:szCs w:val="13"/>
                <w:color w:val="auto"/>
              </w:rPr>
            </w:pPr>
          </w:p>
        </w:tc>
        <w:tc>
          <w:tcPr>
            <w:tcW w:w="900" w:type="dxa"/>
            <w:vAlign w:val="bottom"/>
            <w:gridSpan w:val="2"/>
          </w:tcPr>
          <w:p>
            <w:pPr>
              <w:jc w:val="right"/>
              <w:ind w:right="340"/>
              <w:spacing w:after="0" w:line="154" w:lineRule="exact"/>
              <w:rPr>
                <w:sz w:val="20"/>
                <w:szCs w:val="20"/>
                <w:color w:val="auto"/>
              </w:rPr>
            </w:pPr>
            <w:r>
              <w:rPr>
                <w:rFonts w:ascii="Arial" w:cs="Arial" w:eastAsia="Arial" w:hAnsi="Arial"/>
                <w:sz w:val="12"/>
                <w:szCs w:val="12"/>
                <w:b w:val="1"/>
                <w:bCs w:val="1"/>
                <w:color w:val="auto"/>
                <w:w w:val="88"/>
              </w:rPr>
              <w:t>Average</w:t>
            </w:r>
            <w:r>
              <w:rPr>
                <w:rFonts w:ascii="Arial" w:cs="Arial" w:eastAsia="Arial" w:hAnsi="Arial"/>
                <w:sz w:val="17"/>
                <w:szCs w:val="17"/>
                <w:b w:val="1"/>
                <w:bCs w:val="1"/>
                <w:color w:val="auto"/>
                <w:w w:val="88"/>
                <w:vertAlign w:val="superscript"/>
              </w:rPr>
              <w:t>(1)</w:t>
            </w:r>
          </w:p>
        </w:tc>
      </w:tr>
      <w:tr>
        <w:trPr>
          <w:trHeight w:val="128"/>
        </w:trPr>
        <w:tc>
          <w:tcPr>
            <w:tcW w:w="1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300" w:type="dxa"/>
            <w:vAlign w:val="bottom"/>
            <w:tcBorders>
              <w:top w:val="single" w:sz="8" w:color="auto"/>
            </w:tcBorders>
            <w:gridSpan w:val="2"/>
          </w:tcPr>
          <w:p>
            <w:pPr>
              <w:ind w:left="960"/>
              <w:spacing w:after="0" w:line="129" w:lineRule="exact"/>
              <w:rPr>
                <w:sz w:val="20"/>
                <w:szCs w:val="20"/>
                <w:color w:val="auto"/>
              </w:rPr>
            </w:pPr>
            <w:r>
              <w:rPr>
                <w:rFonts w:ascii="Arial" w:cs="Arial" w:eastAsia="Arial" w:hAnsi="Arial"/>
                <w:sz w:val="13"/>
                <w:szCs w:val="13"/>
                <w:b w:val="1"/>
                <w:bCs w:val="1"/>
                <w:color w:val="auto"/>
              </w:rPr>
              <w:t>(Dollars in thousands, except per share data)</w:t>
            </w:r>
          </w:p>
        </w:tc>
        <w:tc>
          <w:tcPr>
            <w:tcW w:w="140" w:type="dxa"/>
            <w:vAlign w:val="bottom"/>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r>
      <w:tr>
        <w:trPr>
          <w:trHeight w:val="135"/>
        </w:trPr>
        <w:tc>
          <w:tcPr>
            <w:tcW w:w="16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Debt investments</w:t>
            </w:r>
          </w:p>
        </w:tc>
        <w:tc>
          <w:tcPr>
            <w:tcW w:w="140" w:type="dxa"/>
            <w:vAlign w:val="bottom"/>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262,635</w:t>
            </w:r>
          </w:p>
        </w:tc>
        <w:tc>
          <w:tcPr>
            <w:tcW w:w="12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Discounted Expected Future Cash Flows</w:t>
            </w: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Hypothetical Market Yield</w:t>
            </w:r>
          </w:p>
        </w:tc>
        <w:tc>
          <w:tcPr>
            <w:tcW w:w="102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87"/>
              </w:rPr>
              <w:t>10% – 16%</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12 %</w:t>
            </w:r>
          </w:p>
        </w:tc>
      </w:tr>
      <w:tr>
        <w:trPr>
          <w:trHeight w:val="135"/>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13,864</w:t>
            </w:r>
          </w:p>
        </w:tc>
        <w:tc>
          <w:tcPr>
            <w:tcW w:w="120" w:type="dxa"/>
            <w:vAlign w:val="bottom"/>
          </w:tcPr>
          <w:p>
            <w:pPr>
              <w:spacing w:after="0"/>
              <w:rPr>
                <w:sz w:val="11"/>
                <w:szCs w:val="11"/>
                <w:color w:val="auto"/>
              </w:rPr>
            </w:pPr>
          </w:p>
        </w:tc>
        <w:tc>
          <w:tcPr>
            <w:tcW w:w="2580" w:type="dxa"/>
            <w:vAlign w:val="bottom"/>
          </w:tcPr>
          <w:p>
            <w:pPr>
              <w:spacing w:after="0" w:line="135" w:lineRule="exact"/>
              <w:rPr>
                <w:sz w:val="20"/>
                <w:szCs w:val="20"/>
                <w:color w:val="auto"/>
              </w:rPr>
            </w:pPr>
            <w:r>
              <w:rPr>
                <w:rFonts w:ascii="Arial" w:cs="Arial" w:eastAsia="Arial" w:hAnsi="Arial"/>
                <w:sz w:val="13"/>
                <w:szCs w:val="13"/>
                <w:color w:val="auto"/>
              </w:rPr>
              <w:t>Liquidation Scenario</w:t>
            </w:r>
          </w:p>
        </w:tc>
        <w:tc>
          <w:tcPr>
            <w:tcW w:w="18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Probability Weighting</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62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 100%</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50 %</w:t>
            </w:r>
          </w:p>
        </w:tc>
      </w:tr>
      <w:tr>
        <w:trPr>
          <w:trHeight w:val="135"/>
        </w:trPr>
        <w:tc>
          <w:tcPr>
            <w:tcW w:w="1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11,856</w:t>
            </w:r>
          </w:p>
        </w:tc>
        <w:tc>
          <w:tcPr>
            <w:tcW w:w="12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4"/>
              </w:rPr>
              <w:t>Multiple Probability Weighted Cash Flow Model</w:t>
            </w: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Probability Weighting</w:t>
            </w:r>
          </w:p>
        </w:tc>
        <w:tc>
          <w:tcPr>
            <w:tcW w:w="102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87"/>
              </w:rPr>
              <w:t>10% – 60%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38 %</w:t>
            </w:r>
          </w:p>
        </w:tc>
      </w:tr>
      <w:tr>
        <w:trPr>
          <w:trHeight w:val="135"/>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2"/>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35"/>
        </w:trPr>
        <w:tc>
          <w:tcPr>
            <w:tcW w:w="16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Warrant investments</w:t>
            </w:r>
          </w:p>
        </w:tc>
        <w:tc>
          <w:tcPr>
            <w:tcW w:w="14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5,598</w:t>
            </w:r>
          </w:p>
        </w:tc>
        <w:tc>
          <w:tcPr>
            <w:tcW w:w="12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Black-Scholes Valuation Model</w:t>
            </w: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Price Per Share</w:t>
            </w:r>
          </w:p>
        </w:tc>
        <w:tc>
          <w:tcPr>
            <w:tcW w:w="1020" w:type="dxa"/>
            <w:vAlign w:val="bottom"/>
            <w:gridSpan w:val="3"/>
            <w:shd w:val="clear" w:color="auto" w:fill="CCEEFF"/>
          </w:tcPr>
          <w:p>
            <w:pPr>
              <w:jc w:val="center"/>
              <w:ind w:right="80"/>
              <w:spacing w:after="0" w:line="135" w:lineRule="exact"/>
              <w:rPr>
                <w:sz w:val="20"/>
                <w:szCs w:val="20"/>
                <w:color w:val="auto"/>
              </w:rPr>
            </w:pPr>
            <w:r>
              <w:rPr>
                <w:rFonts w:ascii="Arial" w:cs="Arial" w:eastAsia="Arial" w:hAnsi="Arial"/>
                <w:sz w:val="13"/>
                <w:szCs w:val="13"/>
                <w:color w:val="auto"/>
                <w:w w:val="87"/>
              </w:rPr>
              <w:t>$0.00 – $980.00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12.42</w:t>
            </w:r>
          </w:p>
        </w:tc>
        <w:tc>
          <w:tcPr>
            <w:tcW w:w="260" w:type="dxa"/>
            <w:vAlign w:val="bottom"/>
            <w:shd w:val="clear" w:color="auto" w:fill="CCEEFF"/>
          </w:tcPr>
          <w:p>
            <w:pPr>
              <w:spacing w:after="0"/>
              <w:rPr>
                <w:sz w:val="11"/>
                <w:szCs w:val="11"/>
                <w:color w:val="auto"/>
              </w:rPr>
            </w:pPr>
          </w:p>
        </w:tc>
      </w:tr>
      <w:tr>
        <w:trPr>
          <w:trHeight w:val="135"/>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Average Industry Volatility</w:t>
            </w:r>
          </w:p>
        </w:tc>
        <w:tc>
          <w:tcPr>
            <w:tcW w:w="88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92"/>
              </w:rPr>
              <w:t>22%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22 %</w:t>
            </w:r>
          </w:p>
        </w:tc>
      </w:tr>
      <w:tr>
        <w:trPr>
          <w:trHeight w:val="135"/>
        </w:trPr>
        <w:tc>
          <w:tcPr>
            <w:tcW w:w="1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Marketability Discount</w:t>
            </w:r>
          </w:p>
        </w:tc>
        <w:tc>
          <w:tcPr>
            <w:tcW w:w="880" w:type="dxa"/>
            <w:vAlign w:val="bottom"/>
            <w:gridSpan w:val="2"/>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92"/>
              </w:rPr>
              <w:t>20%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20 %</w:t>
            </w:r>
          </w:p>
        </w:tc>
      </w:tr>
      <w:tr>
        <w:trPr>
          <w:trHeight w:val="135"/>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Estimated Time to Exit</w:t>
            </w:r>
          </w:p>
        </w:tc>
        <w:tc>
          <w:tcPr>
            <w:tcW w:w="102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1 to 4 years</w:t>
            </w:r>
          </w:p>
        </w:tc>
        <w:tc>
          <w:tcPr>
            <w:tcW w:w="80" w:type="dxa"/>
            <w:vAlign w:val="bottom"/>
          </w:tcPr>
          <w:p>
            <w:pPr>
              <w:spacing w:after="0"/>
              <w:rPr>
                <w:sz w:val="11"/>
                <w:szCs w:val="11"/>
                <w:color w:val="auto"/>
              </w:rPr>
            </w:pPr>
          </w:p>
        </w:tc>
        <w:tc>
          <w:tcPr>
            <w:tcW w:w="9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 years</w:t>
            </w:r>
          </w:p>
        </w:tc>
      </w:tr>
      <w:tr>
        <w:trPr>
          <w:trHeight w:val="135"/>
        </w:trPr>
        <w:tc>
          <w:tcPr>
            <w:tcW w:w="1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Price Per Share</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$6.22</w:t>
            </w:r>
          </w:p>
        </w:tc>
        <w:tc>
          <w:tcPr>
            <w:tcW w:w="6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 $12.90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9.48</w:t>
            </w:r>
          </w:p>
        </w:tc>
        <w:tc>
          <w:tcPr>
            <w:tcW w:w="260" w:type="dxa"/>
            <w:vAlign w:val="bottom"/>
            <w:shd w:val="clear" w:color="auto" w:fill="CCEEFF"/>
          </w:tcPr>
          <w:p>
            <w:pPr>
              <w:spacing w:after="0"/>
              <w:rPr>
                <w:sz w:val="11"/>
                <w:szCs w:val="11"/>
                <w:color w:val="auto"/>
              </w:rPr>
            </w:pPr>
          </w:p>
        </w:tc>
      </w:tr>
      <w:tr>
        <w:trPr>
          <w:trHeight w:val="135"/>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4,561</w:t>
            </w:r>
          </w:p>
        </w:tc>
        <w:tc>
          <w:tcPr>
            <w:tcW w:w="120" w:type="dxa"/>
            <w:vAlign w:val="bottom"/>
          </w:tcPr>
          <w:p>
            <w:pPr>
              <w:spacing w:after="0"/>
              <w:rPr>
                <w:sz w:val="11"/>
                <w:szCs w:val="11"/>
                <w:color w:val="auto"/>
              </w:rPr>
            </w:pPr>
          </w:p>
        </w:tc>
        <w:tc>
          <w:tcPr>
            <w:tcW w:w="2580" w:type="dxa"/>
            <w:vAlign w:val="bottom"/>
          </w:tcPr>
          <w:p>
            <w:pPr>
              <w:spacing w:after="0" w:line="135" w:lineRule="exact"/>
              <w:rPr>
                <w:sz w:val="20"/>
                <w:szCs w:val="20"/>
                <w:color w:val="auto"/>
              </w:rPr>
            </w:pPr>
            <w:r>
              <w:rPr>
                <w:rFonts w:ascii="Arial" w:cs="Arial" w:eastAsia="Arial" w:hAnsi="Arial"/>
                <w:sz w:val="13"/>
                <w:szCs w:val="13"/>
                <w:color w:val="auto"/>
              </w:rPr>
              <w:t>Estimated Proceeds</w:t>
            </w:r>
          </w:p>
        </w:tc>
        <w:tc>
          <w:tcPr>
            <w:tcW w:w="18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Discount Rate</w:t>
            </w: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0%</w:t>
            </w:r>
          </w:p>
        </w:tc>
        <w:tc>
          <w:tcPr>
            <w:tcW w:w="62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 20%</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10 %</w:t>
            </w:r>
          </w:p>
        </w:tc>
      </w:tr>
      <w:tr>
        <w:trPr>
          <w:trHeight w:val="135"/>
        </w:trPr>
        <w:tc>
          <w:tcPr>
            <w:tcW w:w="1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gridSpan w:val="2"/>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135"/>
        </w:trPr>
        <w:tc>
          <w:tcPr>
            <w:tcW w:w="160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Other investments</w:t>
            </w:r>
          </w:p>
        </w:tc>
        <w:tc>
          <w:tcPr>
            <w:tcW w:w="140" w:type="dxa"/>
            <w:vAlign w:val="bottom"/>
          </w:tcPr>
          <w:p>
            <w:pPr>
              <w:spacing w:after="0"/>
              <w:rPr>
                <w:sz w:val="11"/>
                <w:szCs w:val="11"/>
                <w:color w:val="auto"/>
              </w:rPr>
            </w:pP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500</w:t>
            </w:r>
          </w:p>
        </w:tc>
        <w:tc>
          <w:tcPr>
            <w:tcW w:w="120" w:type="dxa"/>
            <w:vAlign w:val="bottom"/>
          </w:tcPr>
          <w:p>
            <w:pPr>
              <w:spacing w:after="0"/>
              <w:rPr>
                <w:sz w:val="11"/>
                <w:szCs w:val="11"/>
                <w:color w:val="auto"/>
              </w:rPr>
            </w:pPr>
          </w:p>
        </w:tc>
        <w:tc>
          <w:tcPr>
            <w:tcW w:w="2580" w:type="dxa"/>
            <w:vAlign w:val="bottom"/>
          </w:tcPr>
          <w:p>
            <w:pPr>
              <w:spacing w:after="0" w:line="135" w:lineRule="exact"/>
              <w:rPr>
                <w:sz w:val="20"/>
                <w:szCs w:val="20"/>
                <w:color w:val="auto"/>
              </w:rPr>
            </w:pPr>
            <w:r>
              <w:rPr>
                <w:rFonts w:ascii="Arial" w:cs="Arial" w:eastAsia="Arial" w:hAnsi="Arial"/>
                <w:sz w:val="13"/>
                <w:szCs w:val="13"/>
                <w:color w:val="auto"/>
                <w:w w:val="94"/>
              </w:rPr>
              <w:t>Multiple Probability Weighted Cash Flow Model</w:t>
            </w:r>
          </w:p>
        </w:tc>
        <w:tc>
          <w:tcPr>
            <w:tcW w:w="186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Discount Rate</w:t>
            </w:r>
          </w:p>
        </w:tc>
        <w:tc>
          <w:tcPr>
            <w:tcW w:w="880" w:type="dxa"/>
            <w:vAlign w:val="bottom"/>
            <w:gridSpan w:val="2"/>
          </w:tcPr>
          <w:p>
            <w:pPr>
              <w:jc w:val="center"/>
              <w:ind w:left="17"/>
              <w:spacing w:after="0" w:line="135" w:lineRule="exact"/>
              <w:rPr>
                <w:sz w:val="20"/>
                <w:szCs w:val="20"/>
                <w:color w:val="auto"/>
              </w:rPr>
            </w:pPr>
            <w:r>
              <w:rPr>
                <w:rFonts w:ascii="Arial" w:cs="Arial" w:eastAsia="Arial" w:hAnsi="Arial"/>
                <w:sz w:val="13"/>
                <w:szCs w:val="13"/>
                <w:color w:val="auto"/>
                <w:w w:val="92"/>
              </w:rPr>
              <w:t>25%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25 %</w:t>
            </w:r>
          </w:p>
        </w:tc>
      </w:tr>
      <w:tr>
        <w:trPr>
          <w:trHeight w:val="135"/>
        </w:trPr>
        <w:tc>
          <w:tcPr>
            <w:tcW w:w="1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rPr>
                <w:sz w:val="11"/>
                <w:szCs w:val="11"/>
                <w:color w:val="auto"/>
              </w:rPr>
            </w:pP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Probability Weighting</w:t>
            </w:r>
          </w:p>
        </w:tc>
        <w:tc>
          <w:tcPr>
            <w:tcW w:w="880" w:type="dxa"/>
            <w:vAlign w:val="bottom"/>
            <w:gridSpan w:val="2"/>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100%</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100 %</w:t>
            </w:r>
          </w:p>
        </w:tc>
      </w:tr>
      <w:tr>
        <w:trPr>
          <w:trHeight w:val="135"/>
        </w:trPr>
        <w:tc>
          <w:tcPr>
            <w:tcW w:w="1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35"/>
        </w:trPr>
        <w:tc>
          <w:tcPr>
            <w:tcW w:w="160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Equity investments</w:t>
            </w:r>
          </w:p>
        </w:tc>
        <w:tc>
          <w:tcPr>
            <w:tcW w:w="14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tcBorders>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3,125</w:t>
            </w:r>
          </w:p>
        </w:tc>
        <w:tc>
          <w:tcPr>
            <w:tcW w:w="120" w:type="dxa"/>
            <w:vAlign w:val="bottom"/>
            <w:shd w:val="clear" w:color="auto" w:fill="CCEEFF"/>
          </w:tcPr>
          <w:p>
            <w:pPr>
              <w:spacing w:after="0"/>
              <w:rPr>
                <w:sz w:val="11"/>
                <w:szCs w:val="11"/>
                <w:color w:val="auto"/>
              </w:rPr>
            </w:pPr>
          </w:p>
        </w:tc>
        <w:tc>
          <w:tcPr>
            <w:tcW w:w="25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Last Equity Financing</w:t>
            </w:r>
          </w:p>
        </w:tc>
        <w:tc>
          <w:tcPr>
            <w:tcW w:w="186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Price Per Share</w:t>
            </w: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$0.00</w:t>
            </w:r>
          </w:p>
        </w:tc>
        <w:tc>
          <w:tcPr>
            <w:tcW w:w="6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 $13.04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2.71</w:t>
            </w:r>
          </w:p>
        </w:tc>
        <w:tc>
          <w:tcPr>
            <w:tcW w:w="260" w:type="dxa"/>
            <w:vAlign w:val="bottom"/>
            <w:shd w:val="clear" w:color="auto" w:fill="CCEEFF"/>
          </w:tcPr>
          <w:p>
            <w:pPr>
              <w:spacing w:after="0"/>
              <w:rPr>
                <w:sz w:val="11"/>
                <w:szCs w:val="11"/>
                <w:color w:val="auto"/>
              </w:rPr>
            </w:pPr>
          </w:p>
        </w:tc>
      </w:tr>
      <w:tr>
        <w:trPr>
          <w:trHeight w:val="128"/>
        </w:trPr>
        <w:tc>
          <w:tcPr>
            <w:tcW w:w="1600" w:type="dxa"/>
            <w:vAlign w:val="bottom"/>
            <w:gridSpan w:val="2"/>
          </w:tcPr>
          <w:p>
            <w:pPr>
              <w:ind w:left="20"/>
              <w:spacing w:after="0" w:line="129" w:lineRule="exact"/>
              <w:rPr>
                <w:sz w:val="20"/>
                <w:szCs w:val="20"/>
                <w:color w:val="auto"/>
              </w:rPr>
            </w:pPr>
            <w:r>
              <w:rPr>
                <w:rFonts w:ascii="Arial" w:cs="Arial" w:eastAsia="Arial" w:hAnsi="Arial"/>
                <w:sz w:val="13"/>
                <w:szCs w:val="13"/>
                <w:color w:val="auto"/>
              </w:rPr>
              <w:t>Total Level 3 investments</w:t>
            </w: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gridSpan w:val="2"/>
          </w:tcPr>
          <w:p>
            <w:pPr>
              <w:jc w:val="right"/>
              <w:ind w:right="40"/>
              <w:spacing w:after="0" w:line="129" w:lineRule="exact"/>
              <w:rPr>
                <w:sz w:val="20"/>
                <w:szCs w:val="20"/>
                <w:color w:val="auto"/>
              </w:rPr>
            </w:pPr>
            <w:r>
              <w:rPr>
                <w:rFonts w:ascii="Arial" w:cs="Arial" w:eastAsia="Arial" w:hAnsi="Arial"/>
                <w:sz w:val="13"/>
                <w:szCs w:val="13"/>
                <w:color w:val="auto"/>
              </w:rPr>
              <w:t>302,139</w:t>
            </w:r>
          </w:p>
        </w:tc>
        <w:tc>
          <w:tcPr>
            <w:tcW w:w="1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20"/>
        </w:trPr>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02"/>
        </w:trPr>
        <w:tc>
          <w:tcPr>
            <w:tcW w:w="14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60" w:type="dxa"/>
            <w:vAlign w:val="bottom"/>
          </w:tcPr>
          <w:p>
            <w:pPr>
              <w:spacing w:after="0"/>
              <w:rPr>
                <w:sz w:val="8"/>
                <w:szCs w:val="8"/>
                <w:color w:val="auto"/>
              </w:rPr>
            </w:pPr>
          </w:p>
        </w:tc>
      </w:tr>
    </w:tbl>
    <w:p>
      <w:pPr>
        <w:spacing w:after="0" w:line="80" w:lineRule="exact"/>
        <w:rPr>
          <w:sz w:val="20"/>
          <w:szCs w:val="20"/>
          <w:color w:val="auto"/>
        </w:rPr>
      </w:pPr>
    </w:p>
    <w:p>
      <w:pPr>
        <w:jc w:val="both"/>
        <w:ind w:left="380" w:right="79" w:hanging="330"/>
        <w:spacing w:after="0" w:line="263"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Weighted average is calculated by multiplying (a) the unobservable input for each investment in the investment type by (b) (1) the fair value of the related investment in the investment type divided by (2) the total fair value of the investment type.</w:t>
      </w:r>
    </w:p>
    <w:p>
      <w:pPr>
        <w:spacing w:after="0" w:line="184"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i w:val="1"/>
          <w:iCs w:val="1"/>
          <w:color w:val="auto"/>
        </w:rPr>
        <w:t xml:space="preserve">Borrowings: </w:t>
      </w:r>
      <w:r>
        <w:rPr>
          <w:rFonts w:ascii="Arial" w:cs="Arial" w:eastAsia="Arial" w:hAnsi="Arial"/>
          <w:sz w:val="18"/>
          <w:szCs w:val="18"/>
          <w:color w:val="auto"/>
        </w:rPr>
        <w:t>The carrying amount of borrowings under the Company’s revolving credit facility (the “Key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with KeyBank National Association (“Key”) approximates fair value due to the variable interest rate of the Key Facility and is categorized as Level 2 within the fair value hierarchy described above. Additionally, the Company considers its creditworthiness in determining the fair value of such borrowings. The fair value of the fixed-rate 2022 Notes (as defined in Note 7) is based on the closing public share price on the date of measurement. On March 31, 2020, the closing price of the 2022 Notes on the New York Stock Exchange was $20.88 per note, or $31.2 million. Therefore, the Company has categorized this borrowing as Level 1 within the fair value hierarchy described above. Based on market quotations on March 31, 2020, the Asset-Backed Notes (as defined in Note 7) were trading at par value, or $100.0 million, and are categorized as Level 3 within the fair value hierarchy described above. These borrowings are not recorded at fair value on a recurring basis.</w:t>
      </w:r>
    </w:p>
    <w:p>
      <w:pPr>
        <w:spacing w:after="0" w:line="19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 xml:space="preserve">Off-balance-sheet instruments: </w:t>
      </w:r>
      <w:r>
        <w:rPr>
          <w:rFonts w:ascii="Arial" w:cs="Arial" w:eastAsia="Arial" w:hAnsi="Arial"/>
          <w:sz w:val="18"/>
          <w:szCs w:val="18"/>
          <w:color w:val="auto"/>
        </w:rPr>
        <w:t>Fair values for off-balance-sheet lending commitments are based on fees currently</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to enter into similar agreements, taking into account the remaining terms of the agreements and the counterparties’ credit standings. Therefore, the Company has categorized these instruments as Level 3 within the fair value hierarchy described above.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following tables detail the assets that are carried at fair value and measured at fair value on a recurring basis as of March 31, 2020 and December 31, 2019 and indicate the fair value hierarchy of the valuation techniques utilized by the Company to determine the fair value:</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6"/>
              </w:rPr>
              <w:t>March 31, 2020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Level 1</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money market funds</w:t>
            </w:r>
          </w:p>
        </w:tc>
        <w:tc>
          <w:tcPr>
            <w:tcW w:w="5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r>
      <w:tr>
        <w:trPr>
          <w:trHeight w:val="20"/>
        </w:trPr>
        <w:tc>
          <w:tcPr>
            <w:tcW w:w="920" w:type="dxa"/>
            <w:vAlign w:val="bottom"/>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453"/>
        </w:trPr>
        <w:tc>
          <w:tcPr>
            <w:tcW w:w="4580" w:type="dxa"/>
            <w:vAlign w:val="bottom"/>
            <w:gridSpan w:val="3"/>
          </w:tcPr>
          <w:p>
            <w:pPr>
              <w:ind w:left="900"/>
              <w:spacing w:after="0"/>
              <w:rPr>
                <w:sz w:val="20"/>
                <w:szCs w:val="20"/>
                <w:color w:val="auto"/>
              </w:rPr>
            </w:pPr>
            <w:r>
              <w:rPr>
                <w:rFonts w:ascii="Arial" w:cs="Arial" w:eastAsia="Arial" w:hAnsi="Arial"/>
                <w:sz w:val="18"/>
                <w:szCs w:val="18"/>
                <w:color w:val="auto"/>
                <w:w w:val="99"/>
              </w:rPr>
              <w:t>Restricted investments in money market funds</w:t>
            </w:r>
          </w:p>
        </w:tc>
        <w:tc>
          <w:tcPr>
            <w:tcW w:w="5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1,177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1,177</w:t>
            </w:r>
          </w:p>
        </w:tc>
      </w:tr>
      <w:tr>
        <w:trPr>
          <w:trHeight w:val="196"/>
        </w:trPr>
        <w:tc>
          <w:tcPr>
            <w:tcW w:w="920" w:type="dxa"/>
            <w:vAlign w:val="bottom"/>
          </w:tcPr>
          <w:p>
            <w:pPr>
              <w:spacing w:after="0"/>
              <w:rPr>
                <w:sz w:val="17"/>
                <w:szCs w:val="17"/>
                <w:color w:val="auto"/>
              </w:rPr>
            </w:pPr>
          </w:p>
        </w:tc>
        <w:tc>
          <w:tcPr>
            <w:tcW w:w="36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 investments</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307,557</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307,557</w:t>
            </w:r>
          </w:p>
        </w:tc>
      </w:tr>
      <w:tr>
        <w:trPr>
          <w:trHeight w:val="216"/>
        </w:trPr>
        <w:tc>
          <w:tcPr>
            <w:tcW w:w="9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Warrant investments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6,080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6,374</w:t>
            </w:r>
          </w:p>
        </w:tc>
      </w:tr>
      <w:tr>
        <w:trPr>
          <w:trHeight w:val="216"/>
        </w:trPr>
        <w:tc>
          <w:tcPr>
            <w:tcW w:w="9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9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3,131</w:t>
            </w:r>
          </w:p>
        </w:tc>
      </w:tr>
      <w:tr>
        <w:trPr>
          <w:trHeight w:val="216"/>
        </w:trPr>
        <w:tc>
          <w:tcPr>
            <w:tcW w:w="920" w:type="dxa"/>
            <w:vAlign w:val="bottom"/>
          </w:tcPr>
          <w:p>
            <w:pPr>
              <w:spacing w:after="0"/>
              <w:rPr>
                <w:sz w:val="18"/>
                <w:szCs w:val="18"/>
                <w:color w:val="auto"/>
              </w:rPr>
            </w:pPr>
          </w:p>
        </w:tc>
        <w:tc>
          <w:tcPr>
            <w:tcW w:w="36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Equity interest in HSLFI</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16,944</w:t>
            </w:r>
          </w:p>
        </w:tc>
      </w:tr>
      <w:tr>
        <w:trPr>
          <w:trHeight w:val="210"/>
        </w:trPr>
        <w:tc>
          <w:tcPr>
            <w:tcW w:w="4580" w:type="dxa"/>
            <w:vAlign w:val="bottom"/>
            <w:gridSpan w:val="3"/>
          </w:tcPr>
          <w:p>
            <w:pPr>
              <w:ind w:left="900"/>
              <w:spacing w:after="0"/>
              <w:rPr>
                <w:sz w:val="20"/>
                <w:szCs w:val="20"/>
                <w:color w:val="auto"/>
              </w:rPr>
            </w:pPr>
            <w:r>
              <w:rPr>
                <w:rFonts w:ascii="Arial" w:cs="Arial" w:eastAsia="Arial" w:hAnsi="Arial"/>
                <w:sz w:val="18"/>
                <w:szCs w:val="18"/>
                <w:color w:val="auto"/>
              </w:rPr>
              <w:t>Total investments</w:t>
            </w:r>
          </w:p>
        </w:tc>
        <w:tc>
          <w:tcPr>
            <w:tcW w:w="3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317,262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334,506</w:t>
            </w: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80" w:lineRule="exact"/>
        <w:rPr>
          <w:sz w:val="20"/>
          <w:szCs w:val="20"/>
          <w:color w:val="auto"/>
        </w:rPr>
      </w:pPr>
    </w:p>
    <w:p>
      <w:pPr>
        <w:ind w:left="380" w:right="79" w:hanging="330"/>
        <w:spacing w:after="0" w:line="277"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fair value of Company’s equity interest in HSLFI is determined using the net asset value of the Company’s ownership interest in member’s capital.</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42"/>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Level 1</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Total</w:t>
            </w:r>
          </w:p>
        </w:tc>
      </w:tr>
      <w:tr>
        <w:trPr>
          <w:trHeight w:val="142"/>
        </w:trPr>
        <w:tc>
          <w:tcPr>
            <w:tcW w:w="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432"/>
        </w:trPr>
        <w:tc>
          <w:tcPr>
            <w:tcW w:w="920" w:type="dxa"/>
            <w:vAlign w:val="bottom"/>
          </w:tcPr>
          <w:p>
            <w:pPr>
              <w:spacing w:after="0"/>
              <w:rPr>
                <w:sz w:val="24"/>
                <w:szCs w:val="24"/>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money market funds</w:t>
            </w:r>
          </w:p>
        </w:tc>
        <w:tc>
          <w:tcPr>
            <w:tcW w:w="5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9,787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9,787</w:t>
            </w:r>
          </w:p>
        </w:tc>
      </w:tr>
      <w:tr>
        <w:trPr>
          <w:trHeight w:val="20"/>
        </w:trPr>
        <w:tc>
          <w:tcPr>
            <w:tcW w:w="920" w:type="dxa"/>
            <w:vAlign w:val="bottom"/>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r>
        <w:trPr>
          <w:trHeight w:val="453"/>
        </w:trPr>
        <w:tc>
          <w:tcPr>
            <w:tcW w:w="4580" w:type="dxa"/>
            <w:vAlign w:val="bottom"/>
            <w:gridSpan w:val="3"/>
          </w:tcPr>
          <w:p>
            <w:pPr>
              <w:ind w:left="900"/>
              <w:spacing w:after="0"/>
              <w:rPr>
                <w:sz w:val="20"/>
                <w:szCs w:val="20"/>
                <w:color w:val="auto"/>
              </w:rPr>
            </w:pPr>
            <w:r>
              <w:rPr>
                <w:rFonts w:ascii="Arial" w:cs="Arial" w:eastAsia="Arial" w:hAnsi="Arial"/>
                <w:sz w:val="18"/>
                <w:szCs w:val="18"/>
                <w:color w:val="auto"/>
                <w:w w:val="99"/>
              </w:rPr>
              <w:t>Restricted investments in money market funds</w:t>
            </w:r>
          </w:p>
        </w:tc>
        <w:tc>
          <w:tcPr>
            <w:tcW w:w="5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1,133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1,133</w:t>
            </w:r>
          </w:p>
        </w:tc>
      </w:tr>
      <w:tr>
        <w:trPr>
          <w:trHeight w:val="197"/>
        </w:trPr>
        <w:tc>
          <w:tcPr>
            <w:tcW w:w="920" w:type="dxa"/>
            <w:vAlign w:val="bottom"/>
          </w:tcPr>
          <w:p>
            <w:pPr>
              <w:spacing w:after="0"/>
              <w:rPr>
                <w:sz w:val="17"/>
                <w:szCs w:val="17"/>
                <w:color w:val="auto"/>
              </w:rPr>
            </w:pPr>
          </w:p>
        </w:tc>
        <w:tc>
          <w:tcPr>
            <w:tcW w:w="36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Debt investments</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288,355</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288,355</w:t>
            </w:r>
          </w:p>
        </w:tc>
      </w:tr>
      <w:tr>
        <w:trPr>
          <w:trHeight w:val="216"/>
        </w:trPr>
        <w:tc>
          <w:tcPr>
            <w:tcW w:w="9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Warrant investments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10,159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10,829</w:t>
            </w:r>
          </w:p>
        </w:tc>
      </w:tr>
      <w:tr>
        <w:trPr>
          <w:trHeight w:val="216"/>
        </w:trPr>
        <w:tc>
          <w:tcPr>
            <w:tcW w:w="9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9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Equity investments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3,217</w:t>
            </w:r>
          </w:p>
        </w:tc>
      </w:tr>
      <w:tr>
        <w:trPr>
          <w:trHeight w:val="216"/>
        </w:trPr>
        <w:tc>
          <w:tcPr>
            <w:tcW w:w="920" w:type="dxa"/>
            <w:vAlign w:val="bottom"/>
          </w:tcPr>
          <w:p>
            <w:pPr>
              <w:spacing w:after="0"/>
              <w:rPr>
                <w:sz w:val="18"/>
                <w:szCs w:val="18"/>
                <w:color w:val="auto"/>
              </w:rPr>
            </w:pPr>
          </w:p>
        </w:tc>
        <w:tc>
          <w:tcPr>
            <w:tcW w:w="36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Equity interest in HSLFI</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16,650</w:t>
            </w:r>
          </w:p>
        </w:tc>
      </w:tr>
      <w:tr>
        <w:trPr>
          <w:trHeight w:val="210"/>
        </w:trPr>
        <w:tc>
          <w:tcPr>
            <w:tcW w:w="4580" w:type="dxa"/>
            <w:vAlign w:val="bottom"/>
            <w:gridSpan w:val="3"/>
          </w:tcPr>
          <w:p>
            <w:pPr>
              <w:ind w:left="900"/>
              <w:spacing w:after="0"/>
              <w:rPr>
                <w:sz w:val="20"/>
                <w:szCs w:val="20"/>
                <w:color w:val="auto"/>
              </w:rPr>
            </w:pPr>
            <w:r>
              <w:rPr>
                <w:rFonts w:ascii="Arial" w:cs="Arial" w:eastAsia="Arial" w:hAnsi="Arial"/>
                <w:sz w:val="18"/>
                <w:szCs w:val="18"/>
                <w:color w:val="auto"/>
              </w:rPr>
              <w:t>Total investments</w:t>
            </w:r>
          </w:p>
        </w:tc>
        <w:tc>
          <w:tcPr>
            <w:tcW w:w="3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302,139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319,551</w:t>
            </w:r>
          </w:p>
        </w:tc>
      </w:tr>
      <w:tr>
        <w:trPr>
          <w:trHeight w:val="20"/>
        </w:trPr>
        <w:tc>
          <w:tcPr>
            <w:tcW w:w="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02"/>
        </w:trPr>
        <w:tc>
          <w:tcPr>
            <w:tcW w:w="92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2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94" w:lineRule="exact"/>
        <w:rPr>
          <w:sz w:val="20"/>
          <w:szCs w:val="20"/>
          <w:color w:val="auto"/>
        </w:rPr>
      </w:pPr>
    </w:p>
    <w:p>
      <w:pPr>
        <w:ind w:left="380" w:right="79" w:hanging="330"/>
        <w:spacing w:after="0" w:line="277"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fair value of Company’s equity interest in HSLFI is determined using the net asset value of the Company’s ownership interest in member’s capital.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three months ended March 31, 2020:</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8"/>
          </w:tcPr>
          <w:p>
            <w:pPr>
              <w:jc w:val="center"/>
              <w:ind w:right="52"/>
              <w:spacing w:after="0"/>
              <w:rPr>
                <w:sz w:val="20"/>
                <w:szCs w:val="20"/>
                <w:color w:val="auto"/>
              </w:rPr>
            </w:pPr>
            <w:r>
              <w:rPr>
                <w:rFonts w:ascii="Arial" w:cs="Arial" w:eastAsia="Arial" w:hAnsi="Arial"/>
                <w:sz w:val="14"/>
                <w:szCs w:val="14"/>
                <w:b w:val="1"/>
                <w:bCs w:val="1"/>
                <w:color w:val="auto"/>
                <w:w w:val="92"/>
              </w:rPr>
              <w:t>Three months ended March 31, 2020</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180"/>
              <w:spacing w:after="0" w:line="119" w:lineRule="exact"/>
              <w:rPr>
                <w:sz w:val="20"/>
                <w:szCs w:val="20"/>
                <w:color w:val="auto"/>
              </w:rPr>
            </w:pPr>
            <w:r>
              <w:rPr>
                <w:rFonts w:ascii="Arial" w:cs="Arial" w:eastAsia="Arial" w:hAnsi="Arial"/>
                <w:sz w:val="13"/>
                <w:szCs w:val="13"/>
                <w:b w:val="1"/>
                <w:bCs w:val="1"/>
                <w:color w:val="auto"/>
              </w:rPr>
              <w:t>Debt</w:t>
            </w:r>
          </w:p>
        </w:tc>
        <w:tc>
          <w:tcPr>
            <w:tcW w:w="160" w:type="dxa"/>
            <w:vAlign w:val="bottom"/>
          </w:tcPr>
          <w:p>
            <w:pPr>
              <w:spacing w:after="0"/>
              <w:rPr>
                <w:sz w:val="10"/>
                <w:szCs w:val="10"/>
                <w:color w:val="auto"/>
              </w:rPr>
            </w:pPr>
          </w:p>
        </w:tc>
        <w:tc>
          <w:tcPr>
            <w:tcW w:w="740" w:type="dxa"/>
            <w:vAlign w:val="bottom"/>
            <w:gridSpan w:val="2"/>
          </w:tcPr>
          <w:p>
            <w:pPr>
              <w:jc w:val="right"/>
              <w:ind w:right="32"/>
              <w:spacing w:after="0" w:line="119" w:lineRule="exact"/>
              <w:rPr>
                <w:sz w:val="20"/>
                <w:szCs w:val="20"/>
                <w:color w:val="auto"/>
              </w:rPr>
            </w:pPr>
            <w:r>
              <w:rPr>
                <w:rFonts w:ascii="Arial" w:cs="Arial" w:eastAsia="Arial" w:hAnsi="Arial"/>
                <w:sz w:val="13"/>
                <w:szCs w:val="13"/>
                <w:b w:val="1"/>
                <w:bCs w:val="1"/>
                <w:color w:val="auto"/>
              </w:rPr>
              <w:t>Warrant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ind w:right="132"/>
              <w:spacing w:after="0" w:line="119"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0"/>
                <w:szCs w:val="10"/>
                <w:color w:val="auto"/>
              </w:rPr>
            </w:pPr>
          </w:p>
        </w:tc>
        <w:tc>
          <w:tcPr>
            <w:tcW w:w="80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Investments</w:t>
            </w:r>
          </w:p>
        </w:tc>
        <w:tc>
          <w:tcPr>
            <w:tcW w:w="9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Investments</w:t>
            </w:r>
          </w:p>
        </w:tc>
        <w:tc>
          <w:tcPr>
            <w:tcW w:w="10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Investments</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2"/>
              </w:rPr>
              <w:t>Investments</w:t>
            </w: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Level 3 assets, beginning of period</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$ 288,355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10,159</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$ 302,139</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Purchase of investments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50,646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50,646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Warrants and equity received and classified as Level 3</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Principal payments received on investments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(25,906)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(25,934)</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(5,258)</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Net realized gain (loss) on investments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3,423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3,228</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w w:val="92"/>
              </w:rPr>
              <w:t>Unrealized (depreciation) appreciation included in earnings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(8,042)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Other</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9"/>
        </w:trPr>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Level 3 assets, end of period</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$ 307,557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$ 317,262</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the three months ended March 31, 2020, there were no transfers in or out of Level 3.</w:t>
      </w:r>
    </w:p>
    <w:p>
      <w:pPr>
        <w:spacing w:after="0" w:line="22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change in unrealized depreciation included in the consolidated statement of operations attributable to Level 3 investments still held at March 31, 2020 includes $5.6 million in unrealized depreciation on debt and other investments and $0.1 million in unrealized appreciation on warrant investments.</w:t>
      </w:r>
    </w:p>
    <w:p>
      <w:pPr>
        <w:spacing w:after="0" w:line="184"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shows a reconciliation of the beginning and ending balances for Level 3 assets measured at fair value on a recurring basis for the three months ended March 31, 2019:</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4"/>
                <w:szCs w:val="14"/>
                <w:b w:val="1"/>
                <w:bCs w:val="1"/>
                <w:color w:val="auto"/>
                <w:w w:val="93"/>
              </w:rPr>
              <w:t>Three months ended March 31, 2019</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92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Debt</w:t>
            </w:r>
          </w:p>
        </w:tc>
        <w:tc>
          <w:tcPr>
            <w:tcW w:w="800" w:type="dxa"/>
            <w:vAlign w:val="bottom"/>
            <w:gridSpan w:val="3"/>
          </w:tcPr>
          <w:p>
            <w:pPr>
              <w:ind w:left="100"/>
              <w:spacing w:after="0" w:line="119" w:lineRule="exact"/>
              <w:rPr>
                <w:sz w:val="20"/>
                <w:szCs w:val="20"/>
                <w:color w:val="auto"/>
              </w:rPr>
            </w:pPr>
            <w:r>
              <w:rPr>
                <w:rFonts w:ascii="Arial" w:cs="Arial" w:eastAsia="Arial" w:hAnsi="Arial"/>
                <w:sz w:val="13"/>
                <w:szCs w:val="13"/>
                <w:b w:val="1"/>
                <w:bCs w:val="1"/>
                <w:color w:val="auto"/>
              </w:rPr>
              <w:t>Warrant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7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Other</w:t>
            </w:r>
          </w:p>
        </w:tc>
        <w:tc>
          <w:tcPr>
            <w:tcW w:w="120" w:type="dxa"/>
            <w:vAlign w:val="bottom"/>
          </w:tcPr>
          <w:p>
            <w:pPr>
              <w:spacing w:after="0"/>
              <w:rPr>
                <w:sz w:val="10"/>
                <w:szCs w:val="10"/>
                <w:color w:val="auto"/>
              </w:rPr>
            </w:pPr>
          </w:p>
        </w:tc>
        <w:tc>
          <w:tcPr>
            <w:tcW w:w="68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9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0"/>
              </w:rPr>
              <w:t>Investments</w:t>
            </w:r>
          </w:p>
        </w:tc>
        <w:tc>
          <w:tcPr>
            <w:tcW w:w="8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2"/>
              </w:rPr>
              <w:t>Investments</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Investments</w:t>
            </w: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Investments</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gridSpan w:val="4"/>
          </w:tcPr>
          <w:p>
            <w:pPr>
              <w:jc w:val="center"/>
              <w:ind w:right="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3 assets, beginning of period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$ 216,401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8,632</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233,962</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Purchase of investments</w:t>
            </w:r>
          </w:p>
        </w:tc>
        <w:tc>
          <w:tcPr>
            <w:tcW w:w="780" w:type="dxa"/>
            <w:vAlign w:val="bottom"/>
          </w:tcPr>
          <w:p>
            <w:pPr>
              <w:jc w:val="right"/>
              <w:spacing w:after="0"/>
              <w:rPr>
                <w:sz w:val="20"/>
                <w:szCs w:val="20"/>
                <w:color w:val="auto"/>
              </w:rPr>
            </w:pPr>
            <w:r>
              <w:rPr>
                <w:rFonts w:ascii="Arial" w:cs="Arial" w:eastAsia="Arial" w:hAnsi="Arial"/>
                <w:sz w:val="18"/>
                <w:szCs w:val="18"/>
                <w:color w:val="auto"/>
              </w:rPr>
              <w:t>38,082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38,082</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and equity received and classified as Level 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Principal payments received on investments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(18,605)</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(18,613)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of investments</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Net realized gain on investments</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404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depreciation included in earnings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(1,212)</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0" w:type="dxa"/>
            <w:vAlign w:val="bottom"/>
          </w:tcPr>
          <w:p>
            <w:pPr>
              <w:spacing w:after="0"/>
              <w:rPr>
                <w:sz w:val="1"/>
                <w:szCs w:val="1"/>
                <w:color w:val="auto"/>
              </w:rPr>
            </w:pPr>
          </w:p>
        </w:tc>
      </w:tr>
      <w:tr>
        <w:trPr>
          <w:trHeight w:val="216"/>
        </w:trPr>
        <w:tc>
          <w:tcPr>
            <w:tcW w:w="4480" w:type="dxa"/>
            <w:vAlign w:val="bottom"/>
          </w:tcPr>
          <w:p>
            <w:pPr>
              <w:ind w:left="20"/>
              <w:spacing w:after="0"/>
              <w:rPr>
                <w:sz w:val="20"/>
                <w:szCs w:val="20"/>
                <w:color w:val="auto"/>
              </w:rPr>
            </w:pPr>
            <w:r>
              <w:rPr>
                <w:rFonts w:ascii="Arial" w:cs="Arial" w:eastAsia="Arial" w:hAnsi="Arial"/>
                <w:sz w:val="18"/>
                <w:szCs w:val="18"/>
                <w:color w:val="auto"/>
              </w:rPr>
              <w:t>Other</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(594)</w:t>
            </w:r>
          </w:p>
        </w:tc>
        <w:tc>
          <w:tcPr>
            <w:tcW w:w="1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Level 3 assets, end of period</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$ 235,268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251,502</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During the three months ended March 31, 2019, there were no transfers in or out of Level 3.</w:t>
      </w:r>
    </w:p>
    <w:p>
      <w:pPr>
        <w:spacing w:after="0" w:line="22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The change in unrealized depreciation included in the consolidated statement of operations attributable to Level 3 investments still held at March 31, 2019 includes $1.2 million in unrealized depreciation on debt and other investments and $0.3 million in unrealized appreciation on warrant investments.</w:t>
      </w:r>
    </w:p>
    <w:p>
      <w:pPr>
        <w:spacing w:after="0" w:line="184"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Company discloses fair value information about financial instruments, whether or not recognized in the consolidated statement of assets and liabilities, for which it is practicable to estimate that value. Certain financial instruments are excluded from the disclosure requirements. Accordingly, the aggregate fair value amounts presented do not represent the underlying value of the Company.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84"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As of March 31, 2020 and December 31, 2019, all of the balances of all the Company’s financial instruments were recorded at fair value, except for the Company’s borrowings, as previously described.</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Company assumes interest rate risk (the risk that general interest rate levels will change) as a result of its normal operations. As a result, the fair values of the Company’s financial instruments will change when interest rate levels change, and that change may be either favorable or unfavorable to the Company. Management attempts to match maturities of assets and liabilities to the extent believed necessary to minimize interest rate risk. Management monitors rates and maturities of assets and liabilities and attempts to minimize interest rate risk by adjusting terms of new debt investments and by investing in securities with terms that mitigate the Company’s overall interest rate risk.</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Borrowings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the Company’s borrowings as of March 31, 2020 and December 31, 2019:</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March 31, 2020</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jc w:val="center"/>
              <w:ind w:left="475"/>
              <w:spacing w:after="0"/>
              <w:rPr>
                <w:sz w:val="20"/>
                <w:szCs w:val="20"/>
                <w:color w:val="auto"/>
              </w:rPr>
            </w:pPr>
            <w:r>
              <w:rPr>
                <w:rFonts w:ascii="Arial" w:cs="Arial" w:eastAsia="Arial" w:hAnsi="Arial"/>
                <w:sz w:val="14"/>
                <w:szCs w:val="14"/>
                <w:b w:val="1"/>
                <w:bCs w:val="1"/>
                <w:color w:val="auto"/>
                <w:w w:val="91"/>
              </w:rPr>
              <w:t>December 31, 2019</w:t>
            </w:r>
          </w:p>
        </w:tc>
        <w:tc>
          <w:tcPr>
            <w:tcW w:w="700" w:type="dxa"/>
            <w:vAlign w:val="bottom"/>
            <w:tcBorders>
              <w:bottom w:val="single" w:sz="8" w:color="auto"/>
            </w:tcBorders>
          </w:tcPr>
          <w:p>
            <w:pPr>
              <w:spacing w:after="0"/>
              <w:rPr>
                <w:sz w:val="14"/>
                <w:szCs w:val="14"/>
                <w:color w:val="auto"/>
              </w:rPr>
            </w:pPr>
          </w:p>
        </w:tc>
      </w:tr>
      <w:tr>
        <w:trPr>
          <w:trHeight w:val="119"/>
        </w:trPr>
        <w:tc>
          <w:tcPr>
            <w:tcW w:w="2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jc w:val="right"/>
              <w:ind w:right="156"/>
              <w:spacing w:after="0" w:line="119"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Balance</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95"/>
              <w:spacing w:after="0" w:line="119" w:lineRule="exact"/>
              <w:rPr>
                <w:sz w:val="20"/>
                <w:szCs w:val="20"/>
                <w:color w:val="auto"/>
              </w:rPr>
            </w:pPr>
            <w:r>
              <w:rPr>
                <w:rFonts w:ascii="Arial" w:cs="Arial" w:eastAsia="Arial" w:hAnsi="Arial"/>
                <w:sz w:val="13"/>
                <w:szCs w:val="13"/>
                <w:b w:val="1"/>
                <w:bCs w:val="1"/>
                <w:color w:val="auto"/>
              </w:rPr>
              <w:t>Unused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75"/>
              <w:spacing w:after="0" w:line="119"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Balance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113"/>
              <w:spacing w:after="0" w:line="119" w:lineRule="exact"/>
              <w:rPr>
                <w:sz w:val="20"/>
                <w:szCs w:val="20"/>
                <w:color w:val="auto"/>
              </w:rPr>
            </w:pPr>
            <w:r>
              <w:rPr>
                <w:rFonts w:ascii="Arial" w:cs="Arial" w:eastAsia="Arial" w:hAnsi="Arial"/>
                <w:sz w:val="13"/>
                <w:szCs w:val="13"/>
                <w:b w:val="1"/>
                <w:bCs w:val="1"/>
                <w:color w:val="auto"/>
              </w:rPr>
              <w:t>Unused</w:t>
            </w:r>
          </w:p>
        </w:tc>
      </w:tr>
      <w:tr>
        <w:trPr>
          <w:trHeight w:val="171"/>
        </w:trPr>
        <w:tc>
          <w:tcPr>
            <w:tcW w:w="28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Arial" w:cs="Arial" w:eastAsia="Arial" w:hAnsi="Arial"/>
                <w:sz w:val="14"/>
                <w:szCs w:val="14"/>
                <w:b w:val="1"/>
                <w:bCs w:val="1"/>
                <w:color w:val="auto"/>
              </w:rPr>
              <w:t>Commitment</w:t>
            </w:r>
          </w:p>
        </w:tc>
        <w:tc>
          <w:tcPr>
            <w:tcW w:w="16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Outstanding</w:t>
            </w: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Commitment</w:t>
            </w:r>
          </w:p>
        </w:tc>
        <w:tc>
          <w:tcPr>
            <w:tcW w:w="960" w:type="dxa"/>
            <w:vAlign w:val="bottom"/>
            <w:gridSpan w:val="3"/>
          </w:tcPr>
          <w:p>
            <w:pPr>
              <w:ind w:left="140"/>
              <w:spacing w:after="0"/>
              <w:rPr>
                <w:sz w:val="20"/>
                <w:szCs w:val="20"/>
                <w:color w:val="auto"/>
              </w:rPr>
            </w:pPr>
            <w:r>
              <w:rPr>
                <w:rFonts w:ascii="Arial" w:cs="Arial" w:eastAsia="Arial" w:hAnsi="Arial"/>
                <w:sz w:val="14"/>
                <w:szCs w:val="14"/>
                <w:b w:val="1"/>
                <w:bCs w:val="1"/>
                <w:color w:val="auto"/>
                <w:w w:val="93"/>
              </w:rPr>
              <w:t>Commitment</w:t>
            </w:r>
          </w:p>
        </w:tc>
        <w:tc>
          <w:tcPr>
            <w:tcW w:w="16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Commitment</w:t>
            </w:r>
          </w:p>
        </w:tc>
      </w:tr>
      <w:tr>
        <w:trPr>
          <w:trHeight w:val="142"/>
        </w:trPr>
        <w:tc>
          <w:tcPr>
            <w:tcW w:w="28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4"/>
          </w:tcPr>
          <w:p>
            <w:pPr>
              <w:jc w:val="right"/>
              <w:ind w:right="335"/>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Key Facility</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108,000</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Asset-Backed Notes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2022 Notes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before debt issuance costs</w:t>
            </w:r>
          </w:p>
        </w:tc>
        <w:tc>
          <w:tcPr>
            <w:tcW w:w="4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262,375</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182,375</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80,000</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262,375</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154,375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108,000</w:t>
            </w:r>
          </w:p>
        </w:tc>
      </w:tr>
      <w:tr>
        <w:trPr>
          <w:trHeight w:val="182"/>
        </w:trPr>
        <w:tc>
          <w:tcPr>
            <w:tcW w:w="28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Unamortized debt issuance costs</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term borrowings</w:t>
            </w:r>
          </w:p>
        </w:tc>
        <w:tc>
          <w:tcPr>
            <w:tcW w:w="44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w:t>
            </w: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2860" w:type="dxa"/>
            <w:vAlign w:val="bottom"/>
          </w:tcPr>
          <w:p>
            <w:pPr>
              <w:spacing w:after="0"/>
              <w:rPr>
                <w:sz w:val="20"/>
                <w:szCs w:val="20"/>
                <w:color w:val="auto"/>
              </w:rPr>
            </w:pPr>
            <w:r>
              <w:rPr>
                <w:rFonts w:ascii="Arial" w:cs="Arial" w:eastAsia="Arial" w:hAnsi="Arial"/>
                <w:sz w:val="18"/>
                <w:szCs w:val="18"/>
                <w:color w:val="auto"/>
              </w:rPr>
              <w:t>Total borrowings outstanding, net</w:t>
            </w:r>
          </w:p>
        </w:tc>
        <w:tc>
          <w:tcPr>
            <w:tcW w:w="4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$ 262,375</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180,180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262,375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152,050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108,000</w:t>
            </w:r>
          </w:p>
        </w:tc>
      </w:tr>
      <w:tr>
        <w:trPr>
          <w:trHeight w:val="20"/>
        </w:trPr>
        <w:tc>
          <w:tcPr>
            <w:tcW w:w="28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On March 23, 2018, President Trump signed into law the Small Business Credit Availability Act as part of an omnibus spending bill, which, among other things, amends the 1940 Act to reduce the minimum required asset coverage applicable to BDCs under the 1940 Act from 200% to 150% if certain approval and disclosure requirements are met. Before such reduced asset coverage requirement can apply to the Company, such reduced asset coverage requirement must be approved by either (a) a “required majority” (as defined in Section 57(o) of the 1940 Act) of the Board, in which case such reduced asset coverage requirement would take effect on the first anniversary of the date of such Board approval, or (b) a majority of votes cast by the stockholders of the Company at a special or annual meeting at which a quorum is present, in which case such reduced asset coverage requirement shall take effect on the day after such approval. On June 7, 2018, a “required majority” of the Board approved the reduced asset coverage requirements and separately recommended that the Company’s stockholders approve the reduced asset coverage requirements at a special meeting of the Company’s stockholders. The Company held a special meeting on October 30, 2018 during which the reduced asset coverage requirements were approved by stockholders. The reduced asset coverage requirements took effect October 31, 2018.</w:t>
      </w:r>
    </w:p>
    <w:p>
      <w:pPr>
        <w:spacing w:after="0" w:line="16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March 31, 2020, with certain limited exceptions, as a BDC, the Company is only allowed to borrow amounts such that the Company’s asset coverage, as defined in the 1940 Act, is at least 150% after such borrowings. As of March 31, 2020, the asset coverage for borrowed amounts was 206%.</w:t>
      </w:r>
    </w:p>
    <w:p>
      <w:pPr>
        <w:spacing w:after="0" w:line="184"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The Company entered into the Key Facility with Key effective November 4, 2013. On December 28, 2018, the Company amended the Key Facility, increasing the aggregate commitments under the Key Facility by $25 million to $125</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million. The Key Facility has an accordion feature which allows for an increase in the total loan commitment to $150 million from the $125 million commitment. The Key Facility is collateralized by all debt investments and warrants held by Credit II and permits an advance rate of up to 50% of eligible debt investments held by Credit II. The Key Facility contains covenants that, among other things, require the Company to maintain a minimum net worth and to restrict the debt investments securing the Key Facility to certain criteria for qualified debt investments and includes portfolio company concentration limits as defined in the related loan agreement. The Key Facility has a revolving period that extends to April 6, 2021, followed by a two-year amortization period and is scheduled to mature on April 6, 2023. The interest rate is based upon the one-month LIBOR, plus a spread of 3.25%, with a LIBOR floor of 0.75%. The LIBOR rate was 0.99% and 1.76% on March 31, 2020 and December 31, 2019, respectively. The average interest rate for the three months ended March 31, 2020 and 2019 was 4.92% and 5.76%, respectively. The Key Facility requires the payment of an unused line fee in an amount up to 0.50% on an annualized basis of any unborrowed amount available under the facility. As of March 31, 2020 and December 31, 2019, the Company had borrowing capacity under the Key Facility of $80.0 million and $108.0 million, respectively. At March 31, 2020 and December 31, 2019, $12.8 million and $24.2 million, respectively, was available, subject to existing terms and advance rates.</w:t>
      </w:r>
    </w:p>
    <w:p>
      <w:pPr>
        <w:spacing w:after="0" w:line="184"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On September 29, 2017, the Company issued and sold an aggregate principal amount of $32.5 million of 6.25% notes due in 2022 and on October 11, 2017, pursuant to the underwriters’ 30 day option to purchase additional notes, the Company sold an additional $4.9 million of such notes (collectively, the “2022 Notes”). The 2022 Notes have a stated maturity of September 15, 2022 and may be redeemed in whole or in part at the Company’s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the Company’s direct unsecured obligations and (i) rank equally in right of payment with the Company’s current and future unsecured indebtedness; (ii) are senior in right of payment to any of the Company’s future indebtedness that expressly provides it is subordinated to the 2022 Notes; (iii) are effectively subordinated to all of the Company’s existing and future secured indebtedness (including indebtedness that is initially unsecured to which the Company subsequently grants security), to the extent of the value of the assets securing such indebtedness, and (iv) are structurally subordinated to all existing and future indebtedness and other obligations of any of the Company’s subsidiaries. As of March 31, 2020, the Company was in material compliance with the terms of the 2022 Notes. The 2022 Notes are listed on the New York Stock Exchange under the symbol “HTFA”.</w:t>
      </w:r>
    </w:p>
    <w:p>
      <w:pPr>
        <w:spacing w:after="0" w:line="171"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On August 13, 2019, the Company completed a term debt securitization in connection with which an affiliate of the Company made an offering of the Asset-Backed Notes. The Asset-Backed Notes were rated A+(sf) by Morningstar Credit Ratings, LLC on August 13, 2019. There has been no change in the rating since August 13, 2019.</w:t>
      </w:r>
    </w:p>
    <w:p>
      <w:pPr>
        <w:spacing w:after="0" w:line="16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The Asset-Backed Notes were issued by the 2019-1 Trust pursuant to a note purchase agreement, dated as of August 13, 2019, by and among the Company and Keybanc Capital Markets Inc. as Initial Purchaser, and are backed by a pool of loans made to certain portfolio companies of the Company and secured by certain assets of those portfolio companies and are to be serviced by the Company. Interest on the Asset-Backed Notes will be paid, to the extent of funds available, at a fixed rate of 4.21% per annum. The Asset-Backed Notes have a two-year reinvestment period and a stated maturity of September 15, 2027.</w:t>
      </w:r>
    </w:p>
    <w:p>
      <w:pPr>
        <w:spacing w:after="0" w:line="19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At March 31, 2020 and December 31, 2019, the Asset-Backed Notes had an outstanding principal balance of $100.00 million.</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Under the terms of the Asset-Backed Notes, the Company is required to maintain a reserve cash balance, funded through proceeds from the sale of the Asset-Backed Notes, which may be used to pay monthly interest and principal payments on the Asset-Backed Notes. The Company has segregated these funds and classified them as restricted investments in money market funds. At March 31, 2020 and December 31, 2019, there was approximately $1.2 million and $1.1 million of restricted investments,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Financial instruments with off-balance-sheet risk</w:t>
      </w:r>
    </w:p>
    <w:p>
      <w:pPr>
        <w:spacing w:after="0" w:line="229"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In the normal course of business, the Company is party to financial instruments with off-balance-sheet risk to meet the financing needs of its borrowers. These financial instruments include commitments to extend credit and involve, to varying degrees, elements of credit risk in excess of the amount recognized in the consolidated statement of assets and liabilities. The Company attempts to limit its credit risk by conducting extensive due diligence and obtaining collateral where appropriate.</w:t>
      </w:r>
    </w:p>
    <w:p>
      <w:pPr>
        <w:spacing w:after="0" w:line="188"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The balance of unfunded commitments to extend credit was $44.0 million and $49.5 million as of March 31, 2020 and December 31, 2019, respectively. Commitments to extend credit consist principally of the unused portions of commitments that obligate the Company to extend credit, such as revolving credit arrangements or similar transactions. These commitments are often subject to financial or non-financial milestones and other conditions to borrow that must be achieved before the commitment can be drawn. In addition, the commitments generally have fixed expiration dates or other termination clauses. Since commitments may expire without being drawn upon, the total commitment amounts do not necessarily represent future cash requirements. This includes the undrawn revolver commitments discussed in Note 4.</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provides the Company’s unfunded commitments by portfolio company as of March 31, 2020:</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jc w:val="right"/>
              <w:ind w:right="353"/>
              <w:spacing w:after="0"/>
              <w:rPr>
                <w:sz w:val="20"/>
                <w:szCs w:val="20"/>
                <w:color w:val="auto"/>
              </w:rPr>
            </w:pPr>
            <w:r>
              <w:rPr>
                <w:rFonts w:ascii="Arial" w:cs="Arial" w:eastAsia="Arial" w:hAnsi="Arial"/>
                <w:sz w:val="14"/>
                <w:szCs w:val="14"/>
                <w:b w:val="1"/>
                <w:bCs w:val="1"/>
                <w:color w:val="auto"/>
              </w:rPr>
              <w:t>March 31, 2020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Fair Value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Principal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ind w:right="33"/>
              <w:spacing w:after="0" w:line="149" w:lineRule="exact"/>
              <w:rPr>
                <w:sz w:val="20"/>
                <w:szCs w:val="20"/>
                <w:color w:val="auto"/>
              </w:rPr>
            </w:pPr>
            <w:r>
              <w:rPr>
                <w:rFonts w:ascii="Arial" w:cs="Arial" w:eastAsia="Arial" w:hAnsi="Arial"/>
                <w:sz w:val="14"/>
                <w:szCs w:val="14"/>
                <w:b w:val="1"/>
                <w:bCs w:val="1"/>
                <w:color w:val="auto"/>
                <w:w w:val="91"/>
              </w:rPr>
              <w:t>Unfunded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Commitment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9"/>
              </w:rPr>
              <w:t>Balance</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5"/>
          </w:tcPr>
          <w:p>
            <w:pPr>
              <w:jc w:val="right"/>
              <w:ind w:right="393"/>
              <w:spacing w:after="0" w:line="142"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Betabrand Corporation</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Castle Creek Biosciences, Inc.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Espero Biopharma, Inc.</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Kate Farms, Inc.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Keypath Education Holdings, LLC</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Kinestral Technologies, Inc.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LogicBio, Inc.</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Maculogix, Inc.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Mustang Bio, Inc.</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Revinate, Inc.</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Skillshare, Inc.</w:t>
            </w:r>
          </w:p>
        </w:tc>
        <w:tc>
          <w:tcPr>
            <w:tcW w:w="1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0"/>
        </w:trPr>
        <w:tc>
          <w:tcPr>
            <w:tcW w:w="3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43,975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The table above also provides the fair value of the Company’s unfunded commitment liability as of March 31, 2020, which totaled $0.8 million. The fair value at inception of the delay draw credit agreements is equal to the fees and/or warrants received to enter into these agreements, taking into account the remaining terms of the agreements and the counterparties’ credit profile. The unfunded commitment liability reflects the fair value of these future funding commitments and is included in the Company’s consolidated statement of assets and liabilities.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Concentrations of credit risk</w:t>
      </w:r>
    </w:p>
    <w:p>
      <w:pPr>
        <w:spacing w:after="0" w:line="22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The Company’s debt investments consist primarily of loans to development-stage companies at various stages of development in the technology, life science, healthcare information and services and sustainability industries. Many of these companies may have relatively limited operating histories and also may experience variation in operating results. Many of these companies conduct business in regulated industries and could be affected by changes in government regulations. Most of the Company’s borrowers will need additional capital to satisfy their continuing working capital needs and other requirements, and in many instances, to service the interest and principal payments on the loans.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The Company’s largest debt investments may vary from period to period as new debt investments are recorded and existing debt investments are repaid. The Company’s five largest debt investments, at cost, represented 28% of total debt investments outstanding as of March 31, 2020 and December 31, 2019. No single debt investment represented more than 10% of the total debt investments as of March 31, 2020 and December 31, 2019. Investment income, consisting of interest and fees, can fluctuate significantly upon repayment of large debt investments. Interest income from the five largest debt investments accounted for 28% and 26% of total interest and fee income on investments for the three months ended March 31, 2020 and 2019, respectively.</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Distributions</w:t>
      </w:r>
    </w:p>
    <w:p>
      <w:pPr>
        <w:spacing w:after="0" w:line="229" w:lineRule="exact"/>
        <w:rPr>
          <w:sz w:val="20"/>
          <w:szCs w:val="20"/>
          <w:color w:val="auto"/>
        </w:rPr>
      </w:pPr>
    </w:p>
    <w:p>
      <w:pPr>
        <w:jc w:val="both"/>
        <w:ind w:left="60" w:right="79" w:firstLine="324"/>
        <w:spacing w:after="0" w:line="342" w:lineRule="auto"/>
        <w:rPr>
          <w:sz w:val="20"/>
          <w:szCs w:val="20"/>
          <w:color w:val="auto"/>
        </w:rPr>
      </w:pPr>
      <w:r>
        <w:rPr>
          <w:rFonts w:ascii="Arial" w:cs="Arial" w:eastAsia="Arial" w:hAnsi="Arial"/>
          <w:sz w:val="16"/>
          <w:szCs w:val="16"/>
          <w:color w:val="auto"/>
        </w:rPr>
        <w:t>The Company’s distributions are recorded on the declaration date. The following table summarizes the Company’s distribution activity for the three months ended March 31, 2020 and for the year ended December 31, 2019:</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800" w:type="dxa"/>
            <w:vAlign w:val="bottom"/>
            <w:gridSpan w:val="2"/>
            <w:vMerge w:val="restart"/>
          </w:tcPr>
          <w:p>
            <w:pPr>
              <w:ind w:left="1680"/>
              <w:spacing w:after="0"/>
              <w:rPr>
                <w:sz w:val="20"/>
                <w:szCs w:val="20"/>
                <w:color w:val="auto"/>
              </w:rPr>
            </w:pPr>
            <w:r>
              <w:rPr>
                <w:rFonts w:ascii="Arial" w:cs="Arial" w:eastAsia="Arial" w:hAnsi="Arial"/>
                <w:sz w:val="14"/>
                <w:szCs w:val="14"/>
                <w:b w:val="1"/>
                <w:bCs w:val="1"/>
                <w:color w:val="auto"/>
              </w:rPr>
              <w:t>Date</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vMerge w:val="restart"/>
          </w:tcPr>
          <w:p>
            <w:pPr>
              <w:jc w:val="right"/>
              <w:ind w:right="31"/>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Cash</w:t>
            </w: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DRIP</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DRIP</w:t>
            </w:r>
          </w:p>
        </w:tc>
        <w:tc>
          <w:tcPr>
            <w:tcW w:w="0" w:type="dxa"/>
            <w:vAlign w:val="bottom"/>
          </w:tcPr>
          <w:p>
            <w:pPr>
              <w:spacing w:after="0"/>
              <w:rPr>
                <w:sz w:val="1"/>
                <w:szCs w:val="1"/>
                <w:color w:val="auto"/>
              </w:rPr>
            </w:pPr>
          </w:p>
        </w:tc>
      </w:tr>
      <w:tr>
        <w:trPr>
          <w:trHeight w:val="149"/>
        </w:trPr>
        <w:tc>
          <w:tcPr>
            <w:tcW w:w="3800" w:type="dxa"/>
            <w:vAlign w:val="bottom"/>
            <w:gridSpan w:val="2"/>
            <w:vMerge w:val="continue"/>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Record Date</w:t>
            </w:r>
          </w:p>
        </w:tc>
        <w:tc>
          <w:tcPr>
            <w:tcW w:w="10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Payment Date</w:t>
            </w: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60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73"/>
              <w:spacing w:after="0" w:line="149" w:lineRule="exact"/>
              <w:rPr>
                <w:sz w:val="20"/>
                <w:szCs w:val="20"/>
                <w:color w:val="auto"/>
              </w:rPr>
            </w:pPr>
            <w:r>
              <w:rPr>
                <w:rFonts w:ascii="Arial" w:cs="Arial" w:eastAsia="Arial" w:hAnsi="Arial"/>
                <w:sz w:val="14"/>
                <w:szCs w:val="14"/>
                <w:b w:val="1"/>
                <w:bCs w:val="1"/>
                <w:color w:val="auto"/>
                <w:w w:val="97"/>
              </w:rPr>
              <w:t>Share</w:t>
            </w:r>
          </w:p>
        </w:tc>
        <w:tc>
          <w:tcPr>
            <w:tcW w:w="0" w:type="dxa"/>
            <w:vAlign w:val="bottom"/>
          </w:tcPr>
          <w:p>
            <w:pPr>
              <w:spacing w:after="0"/>
              <w:rPr>
                <w:sz w:val="1"/>
                <w:szCs w:val="1"/>
                <w:color w:val="auto"/>
              </w:rPr>
            </w:pPr>
          </w:p>
        </w:tc>
      </w:tr>
      <w:tr>
        <w:trPr>
          <w:trHeight w:val="171"/>
        </w:trPr>
        <w:tc>
          <w:tcPr>
            <w:tcW w:w="3800" w:type="dxa"/>
            <w:vAlign w:val="bottom"/>
            <w:gridSpan w:val="2"/>
          </w:tcPr>
          <w:p>
            <w:pPr>
              <w:ind w:left="1560"/>
              <w:spacing w:after="0"/>
              <w:rPr>
                <w:sz w:val="20"/>
                <w:szCs w:val="20"/>
                <w:color w:val="auto"/>
              </w:rPr>
            </w:pPr>
            <w:r>
              <w:rPr>
                <w:rFonts w:ascii="Arial" w:cs="Arial" w:eastAsia="Arial" w:hAnsi="Arial"/>
                <w:sz w:val="14"/>
                <w:szCs w:val="14"/>
                <w:b w:val="1"/>
                <w:bCs w:val="1"/>
                <w:color w:val="auto"/>
              </w:rPr>
              <w:t>Declared</w:t>
            </w:r>
          </w:p>
        </w:tc>
        <w:tc>
          <w:tcPr>
            <w:tcW w:w="800" w:type="dxa"/>
            <w:vAlign w:val="bottom"/>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10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600" w:type="dxa"/>
            <w:vAlign w:val="bottom"/>
          </w:tcPr>
          <w:p>
            <w:pPr>
              <w:ind w:left="100"/>
              <w:spacing w:after="0"/>
              <w:rPr>
                <w:sz w:val="20"/>
                <w:szCs w:val="20"/>
                <w:color w:val="auto"/>
              </w:rPr>
            </w:pPr>
            <w:r>
              <w:rPr>
                <w:rFonts w:ascii="Arial" w:cs="Arial" w:eastAsia="Arial" w:hAnsi="Arial"/>
                <w:sz w:val="14"/>
                <w:szCs w:val="14"/>
                <w:b w:val="1"/>
                <w:bCs w:val="1"/>
                <w:color w:val="auto"/>
              </w:rPr>
              <w:t>Issued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36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20" w:type="dxa"/>
            <w:vAlign w:val="bottom"/>
            <w:tcBorders>
              <w:top w:val="single" w:sz="8" w:color="auto"/>
            </w:tcBorders>
            <w:gridSpan w:val="9"/>
          </w:tcPr>
          <w:p>
            <w:pPr>
              <w:jc w:val="right"/>
              <w:ind w:right="33"/>
              <w:spacing w:after="0" w:line="142" w:lineRule="exact"/>
              <w:rPr>
                <w:sz w:val="20"/>
                <w:szCs w:val="20"/>
                <w:color w:val="auto"/>
              </w:rPr>
            </w:pPr>
            <w:r>
              <w:rPr>
                <w:rFonts w:ascii="Arial" w:cs="Arial" w:eastAsia="Arial" w:hAnsi="Arial"/>
                <w:sz w:val="14"/>
                <w:szCs w:val="14"/>
                <w:b w:val="1"/>
                <w:bCs w:val="1"/>
                <w:color w:val="auto"/>
                <w:w w:val="90"/>
              </w:rPr>
              <w:t>(In thousands, except share and per share data)</w:t>
            </w:r>
          </w:p>
        </w:tc>
        <w:tc>
          <w:tcPr>
            <w:tcW w:w="0" w:type="dxa"/>
            <w:vAlign w:val="bottom"/>
          </w:tcPr>
          <w:p>
            <w:pPr>
              <w:spacing w:after="0"/>
              <w:rPr>
                <w:sz w:val="1"/>
                <w:szCs w:val="1"/>
                <w:color w:val="auto"/>
              </w:rPr>
            </w:pPr>
          </w:p>
        </w:tc>
      </w:tr>
      <w:tr>
        <w:trPr>
          <w:trHeight w:val="216"/>
        </w:trPr>
        <w:tc>
          <w:tcPr>
            <w:tcW w:w="3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Months Ended March 31, 2020</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2/28/20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5/19/20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6/16/20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2/28/20</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4/17/20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2/28/20</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3/18/20</w:t>
            </w:r>
          </w:p>
        </w:tc>
        <w:tc>
          <w:tcPr>
            <w:tcW w:w="10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4/15/20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Year Ended December 31, 2019</w:t>
            </w: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0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10/25/19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2/19/20</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3/16/20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10/25/19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1/17/20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2/14/20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1,660</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10/25/19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12/18/19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1/15/20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7/26/19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11/19/19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12/16/19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1,467</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7/26/19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10/18/19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11/15/19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7/26/19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9/19/19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10/16/19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1,412</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4/26/19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4/26/19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7/18/19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8/15/19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4/26/19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6/19/19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7/16/19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3/1/19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5/17/19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6/17/19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1,339</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3/1/19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3/1/19</w:t>
            </w:r>
          </w:p>
        </w:tc>
        <w:tc>
          <w:tcPr>
            <w:tcW w:w="14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3/19/19</w:t>
            </w:r>
          </w:p>
        </w:tc>
        <w:tc>
          <w:tcPr>
            <w:tcW w:w="104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4/16/19</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4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36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17,012</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15,875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On April 24, 2020, the Board declared monthly distributions per share, payable as set forth in the following table:</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940" w:type="dxa"/>
            <w:vAlign w:val="bottom"/>
          </w:tcPr>
          <w:p>
            <w:pPr>
              <w:spacing w:after="0"/>
              <w:rPr>
                <w:sz w:val="20"/>
                <w:szCs w:val="20"/>
                <w:color w:val="auto"/>
              </w:rPr>
            </w:pPr>
            <w:r>
              <w:rPr>
                <w:rFonts w:ascii="Arial" w:cs="Arial" w:eastAsia="Arial" w:hAnsi="Arial"/>
                <w:sz w:val="14"/>
                <w:szCs w:val="14"/>
                <w:b w:val="1"/>
                <w:bCs w:val="1"/>
                <w:color w:val="auto"/>
              </w:rPr>
              <w:t>Ex-Dividend Date</w:t>
            </w:r>
          </w:p>
        </w:tc>
        <w:tc>
          <w:tcPr>
            <w:tcW w:w="2200" w:type="dxa"/>
            <w:vAlign w:val="bottom"/>
            <w:gridSpan w:val="2"/>
          </w:tcPr>
          <w:p>
            <w:pPr>
              <w:ind w:left="260"/>
              <w:spacing w:after="0"/>
              <w:rPr>
                <w:sz w:val="20"/>
                <w:szCs w:val="20"/>
                <w:color w:val="auto"/>
              </w:rPr>
            </w:pPr>
            <w:r>
              <w:rPr>
                <w:rFonts w:ascii="Arial" w:cs="Arial" w:eastAsia="Arial" w:hAnsi="Arial"/>
                <w:sz w:val="14"/>
                <w:szCs w:val="14"/>
                <w:b w:val="1"/>
                <w:bCs w:val="1"/>
                <w:color w:val="auto"/>
              </w:rPr>
              <w:t>Record Date</w:t>
            </w:r>
          </w:p>
        </w:tc>
        <w:tc>
          <w:tcPr>
            <w:tcW w:w="2240" w:type="dxa"/>
            <w:vAlign w:val="bottom"/>
            <w:gridSpan w:val="2"/>
          </w:tcPr>
          <w:p>
            <w:pPr>
              <w:ind w:left="280"/>
              <w:spacing w:after="0"/>
              <w:rPr>
                <w:sz w:val="20"/>
                <w:szCs w:val="20"/>
                <w:color w:val="auto"/>
              </w:rPr>
            </w:pPr>
            <w:r>
              <w:rPr>
                <w:rFonts w:ascii="Arial" w:cs="Arial" w:eastAsia="Arial" w:hAnsi="Arial"/>
                <w:sz w:val="14"/>
                <w:szCs w:val="14"/>
                <w:b w:val="1"/>
                <w:bCs w:val="1"/>
                <w:color w:val="auto"/>
              </w:rPr>
              <w:t>Payment Date</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0" w:type="dxa"/>
            <w:vAlign w:val="bottom"/>
          </w:tcPr>
          <w:p>
            <w:pPr>
              <w:jc w:val="right"/>
              <w:ind w:right="355"/>
              <w:spacing w:after="0"/>
              <w:rPr>
                <w:sz w:val="20"/>
                <w:szCs w:val="20"/>
                <w:color w:val="auto"/>
              </w:rPr>
            </w:pPr>
            <w:r>
              <w:rPr>
                <w:rFonts w:ascii="Arial" w:cs="Arial" w:eastAsia="Arial" w:hAnsi="Arial"/>
                <w:sz w:val="14"/>
                <w:szCs w:val="14"/>
                <w:b w:val="1"/>
                <w:bCs w:val="1"/>
                <w:color w:val="auto"/>
              </w:rPr>
              <w:t>Distributions Declared</w:t>
            </w:r>
          </w:p>
        </w:tc>
      </w:tr>
      <w:tr>
        <w:trPr>
          <w:trHeight w:val="209"/>
        </w:trPr>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17, 2020</w:t>
            </w:r>
          </w:p>
        </w:tc>
        <w:tc>
          <w:tcPr>
            <w:tcW w:w="2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18, 2020</w:t>
            </w:r>
          </w:p>
        </w:tc>
        <w:tc>
          <w:tcPr>
            <w:tcW w:w="3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July 15, 2020</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July 16, 2020</w:t>
            </w:r>
          </w:p>
        </w:tc>
        <w:tc>
          <w:tcPr>
            <w:tcW w:w="2200" w:type="dxa"/>
            <w:vAlign w:val="bottom"/>
            <w:gridSpan w:val="2"/>
          </w:tcPr>
          <w:p>
            <w:pPr>
              <w:ind w:left="260"/>
              <w:spacing w:after="0"/>
              <w:rPr>
                <w:sz w:val="20"/>
                <w:szCs w:val="20"/>
                <w:color w:val="auto"/>
              </w:rPr>
            </w:pPr>
            <w:r>
              <w:rPr>
                <w:rFonts w:ascii="Arial" w:cs="Arial" w:eastAsia="Arial" w:hAnsi="Arial"/>
                <w:sz w:val="18"/>
                <w:szCs w:val="18"/>
                <w:color w:val="auto"/>
              </w:rPr>
              <w:t>July 17, 2020</w:t>
            </w:r>
          </w:p>
        </w:tc>
        <w:tc>
          <w:tcPr>
            <w:tcW w:w="2240" w:type="dxa"/>
            <w:vAlign w:val="bottom"/>
            <w:gridSpan w:val="2"/>
          </w:tcPr>
          <w:p>
            <w:pPr>
              <w:ind w:left="280"/>
              <w:spacing w:after="0"/>
              <w:rPr>
                <w:sz w:val="20"/>
                <w:szCs w:val="20"/>
                <w:color w:val="auto"/>
              </w:rPr>
            </w:pPr>
            <w:r>
              <w:rPr>
                <w:rFonts w:ascii="Arial" w:cs="Arial" w:eastAsia="Arial" w:hAnsi="Arial"/>
                <w:sz w:val="18"/>
                <w:szCs w:val="18"/>
                <w:color w:val="auto"/>
              </w:rPr>
              <w:t>August 14, 2020</w:t>
            </w:r>
          </w:p>
        </w:tc>
        <w:tc>
          <w:tcPr>
            <w:tcW w:w="52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0.10</w:t>
            </w: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August 17, 2020</w:t>
            </w:r>
          </w:p>
        </w:tc>
        <w:tc>
          <w:tcPr>
            <w:tcW w:w="22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August 18, 2020</w:t>
            </w:r>
          </w:p>
        </w:tc>
        <w:tc>
          <w:tcPr>
            <w:tcW w:w="22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September 15, 2020</w:t>
            </w:r>
          </w:p>
        </w:tc>
        <w:tc>
          <w:tcPr>
            <w:tcW w:w="52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r>
    </w:tbl>
    <w:p>
      <w:pPr>
        <w:spacing w:after="0" w:line="20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After paying distributions of $0.30 per share and earning net investment income of $0.26 per share for the quarter, the Company’s undistributed spillover income as of March 31, 2020 was $0.38 per share. Spillover income includes any ordinary income and net capital gains from the preceding tax years that were not distributed during such tax years.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Financial highlights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financial highlights for the Company:</w:t>
      </w:r>
    </w:p>
    <w:p>
      <w:pPr>
        <w:spacing w:after="0" w:line="235" w:lineRule="exact"/>
        <w:rPr>
          <w:sz w:val="20"/>
          <w:szCs w:val="20"/>
          <w:color w:val="auto"/>
        </w:rPr>
      </w:pPr>
    </w:p>
    <w:tbl>
      <w:tblPr>
        <w:tblLayout w:type="fixed"/>
        <w:tblInd w:w="60" w:type="dxa"/>
        <w:tblCellMar>
          <w:top w:w="0" w:type="dxa"/>
          <w:left w:w="0" w:type="dxa"/>
          <w:bottom w:w="0" w:type="dxa"/>
          <w:right w:w="0" w:type="dxa"/>
        </w:tblCellMar>
      </w:tblPr>
      <w:tr>
        <w:trPr>
          <w:trHeight w:val="153"/>
        </w:trPr>
        <w:tc>
          <w:tcPr>
            <w:tcW w:w="46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60" w:type="dxa"/>
            <w:vAlign w:val="bottom"/>
            <w:gridSpan w:val="6"/>
          </w:tcPr>
          <w:p>
            <w:pPr>
              <w:jc w:val="right"/>
              <w:ind w:right="664"/>
              <w:spacing w:after="0"/>
              <w:rPr>
                <w:sz w:val="20"/>
                <w:szCs w:val="20"/>
                <w:color w:val="auto"/>
              </w:rPr>
            </w:pPr>
            <w:r>
              <w:rPr>
                <w:rFonts w:ascii="Arial" w:cs="Arial" w:eastAsia="Arial" w:hAnsi="Arial"/>
                <w:sz w:val="13"/>
                <w:szCs w:val="13"/>
                <w:b w:val="1"/>
                <w:bCs w:val="1"/>
                <w:color w:val="auto"/>
                <w:w w:val="96"/>
              </w:rPr>
              <w:t>Three months ended March 31,</w:t>
            </w:r>
          </w:p>
        </w:tc>
        <w:tc>
          <w:tcPr>
            <w:tcW w:w="0" w:type="dxa"/>
            <w:vAlign w:val="bottom"/>
          </w:tcPr>
          <w:p>
            <w:pPr>
              <w:spacing w:after="0"/>
              <w:rPr>
                <w:sz w:val="1"/>
                <w:szCs w:val="1"/>
                <w:color w:val="auto"/>
              </w:rPr>
            </w:pPr>
          </w:p>
        </w:tc>
      </w:tr>
      <w:tr>
        <w:trPr>
          <w:trHeight w:val="128"/>
        </w:trPr>
        <w:tc>
          <w:tcPr>
            <w:tcW w:w="4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98"/>
              <w:spacing w:after="0" w:line="129"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20" w:type="dxa"/>
            <w:vAlign w:val="bottom"/>
            <w:tcBorders>
              <w:top w:val="single" w:sz="8" w:color="auto"/>
              <w:bottom w:val="single" w:sz="8" w:color="auto"/>
            </w:tcBorders>
          </w:tcPr>
          <w:p>
            <w:pPr>
              <w:jc w:val="right"/>
              <w:ind w:right="338"/>
              <w:spacing w:after="0" w:line="129" w:lineRule="exact"/>
              <w:rPr>
                <w:sz w:val="20"/>
                <w:szCs w:val="20"/>
                <w:color w:val="auto"/>
              </w:rPr>
            </w:pPr>
            <w:r>
              <w:rPr>
                <w:rFonts w:ascii="Arial" w:cs="Arial" w:eastAsia="Arial" w:hAnsi="Arial"/>
                <w:sz w:val="13"/>
                <w:szCs w:val="13"/>
                <w:b w:val="1"/>
                <w:bCs w:val="1"/>
                <w:color w:val="auto"/>
              </w:rPr>
              <w:t>2019</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560" w:type="dxa"/>
            <w:vAlign w:val="bottom"/>
            <w:gridSpan w:val="6"/>
          </w:tcPr>
          <w:p>
            <w:pPr>
              <w:jc w:val="right"/>
              <w:spacing w:after="0" w:line="129" w:lineRule="exact"/>
              <w:rPr>
                <w:sz w:val="20"/>
                <w:szCs w:val="20"/>
                <w:color w:val="auto"/>
              </w:rPr>
            </w:pPr>
            <w:r>
              <w:rPr>
                <w:rFonts w:ascii="Arial" w:cs="Arial" w:eastAsia="Arial" w:hAnsi="Arial"/>
                <w:sz w:val="13"/>
                <w:szCs w:val="13"/>
                <w:b w:val="1"/>
                <w:bCs w:val="1"/>
                <w:color w:val="auto"/>
                <w:w w:val="85"/>
              </w:rPr>
              <w:t>(In thousands, except share and per share data)</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Per share data:</w:t>
            </w:r>
          </w:p>
        </w:tc>
        <w:tc>
          <w:tcPr>
            <w:tcW w:w="1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3"/>
                <w:szCs w:val="13"/>
                <w:color w:val="auto"/>
              </w:rPr>
              <w:t>Net asset value at beginning of period</w:t>
            </w:r>
          </w:p>
        </w:tc>
        <w:tc>
          <w:tcPr>
            <w:tcW w:w="174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11.83</w:t>
            </w:r>
          </w:p>
        </w:tc>
        <w:tc>
          <w:tcPr>
            <w:tcW w:w="280" w:type="dxa"/>
            <w:vAlign w:val="bottom"/>
          </w:tcPr>
          <w:p>
            <w:pPr>
              <w:spacing w:after="0"/>
              <w:rPr>
                <w:sz w:val="11"/>
                <w:szCs w:val="11"/>
                <w:color w:val="auto"/>
              </w:rPr>
            </w:pPr>
          </w:p>
        </w:tc>
        <w:tc>
          <w:tcPr>
            <w:tcW w:w="300" w:type="dxa"/>
            <w:vAlign w:val="bottom"/>
            <w:gridSpan w:val="2"/>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11.64</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investment income</w:t>
            </w:r>
          </w:p>
        </w:tc>
        <w:tc>
          <w:tcPr>
            <w:tcW w:w="1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0.26</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0.28</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3"/>
                <w:szCs w:val="13"/>
                <w:color w:val="auto"/>
              </w:rPr>
              <w:t>Realized gain on investments</w:t>
            </w:r>
          </w:p>
        </w:tc>
        <w:tc>
          <w:tcPr>
            <w:tcW w:w="1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0.21</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0.10</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depreciation on investments</w:t>
            </w:r>
          </w:p>
        </w:tc>
        <w:tc>
          <w:tcPr>
            <w:tcW w:w="15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(0.51)</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(0.12)</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600" w:type="dxa"/>
            <w:vAlign w:val="bottom"/>
          </w:tcPr>
          <w:p>
            <w:pPr>
              <w:spacing w:after="0" w:line="129" w:lineRule="exact"/>
              <w:rPr>
                <w:sz w:val="20"/>
                <w:szCs w:val="20"/>
                <w:color w:val="auto"/>
              </w:rPr>
            </w:pPr>
            <w:r>
              <w:rPr>
                <w:rFonts w:ascii="Arial" w:cs="Arial" w:eastAsia="Arial" w:hAnsi="Arial"/>
                <w:sz w:val="13"/>
                <w:szCs w:val="13"/>
                <w:color w:val="auto"/>
              </w:rPr>
              <w:t>Net (decrease) increase in net assets resulting from operations</w:t>
            </w:r>
          </w:p>
        </w:tc>
        <w:tc>
          <w:tcPr>
            <w:tcW w:w="1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(0.04)</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3"/>
                <w:szCs w:val="13"/>
                <w:color w:val="auto"/>
              </w:rPr>
              <w:t>0.26</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Distributions declared</w:t>
            </w:r>
            <w:r>
              <w:rPr>
                <w:rFonts w:ascii="Arial" w:cs="Arial" w:eastAsia="Arial" w:hAnsi="Arial"/>
                <w:sz w:val="15"/>
                <w:szCs w:val="15"/>
                <w:color w:val="auto"/>
                <w:vertAlign w:val="superscript"/>
              </w:rPr>
              <w:t>(1)</w:t>
            </w:r>
          </w:p>
        </w:tc>
        <w:tc>
          <w:tcPr>
            <w:tcW w:w="1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(0.35)</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(0.30)</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ind w:left="100"/>
              <w:spacing w:after="0" w:line="135" w:lineRule="exact"/>
              <w:rPr>
                <w:sz w:val="20"/>
                <w:szCs w:val="20"/>
                <w:color w:val="auto"/>
              </w:rPr>
            </w:pPr>
            <w:r>
              <w:rPr>
                <w:rFonts w:ascii="Arial" w:cs="Arial" w:eastAsia="Arial" w:hAnsi="Arial"/>
                <w:sz w:val="13"/>
                <w:szCs w:val="13"/>
                <w:color w:val="auto"/>
              </w:rPr>
              <w:t>From net investment income</w:t>
            </w:r>
          </w:p>
        </w:tc>
        <w:tc>
          <w:tcPr>
            <w:tcW w:w="1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(0.35)</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(0.30)</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From net realized gain on investments</w:t>
            </w:r>
          </w:p>
        </w:tc>
        <w:tc>
          <w:tcPr>
            <w:tcW w:w="1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84"/>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44"/>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600" w:type="dxa"/>
            <w:vAlign w:val="bottom"/>
          </w:tcPr>
          <w:p>
            <w:pPr>
              <w:ind w:left="100"/>
              <w:spacing w:after="0" w:line="135" w:lineRule="exact"/>
              <w:rPr>
                <w:sz w:val="20"/>
                <w:szCs w:val="20"/>
                <w:color w:val="auto"/>
              </w:rPr>
            </w:pPr>
            <w:r>
              <w:rPr>
                <w:rFonts w:ascii="Arial" w:cs="Arial" w:eastAsia="Arial" w:hAnsi="Arial"/>
                <w:sz w:val="13"/>
                <w:szCs w:val="13"/>
                <w:color w:val="auto"/>
              </w:rPr>
              <w:t>Return of capital</w:t>
            </w:r>
          </w:p>
        </w:tc>
        <w:tc>
          <w:tcPr>
            <w:tcW w:w="1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right"/>
              <w:ind w:right="284"/>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ind w:right="244"/>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 xml:space="preserve">Other </w:t>
            </w:r>
            <w:r>
              <w:rPr>
                <w:rFonts w:ascii="Arial" w:cs="Arial" w:eastAsia="Arial" w:hAnsi="Arial"/>
                <w:sz w:val="15"/>
                <w:szCs w:val="15"/>
                <w:color w:val="auto"/>
                <w:vertAlign w:val="superscript"/>
              </w:rPr>
              <w:t>(2)</w:t>
            </w:r>
          </w:p>
        </w:tc>
        <w:tc>
          <w:tcPr>
            <w:tcW w:w="15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0.04</w:t>
            </w: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(0.05)</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460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b w:val="1"/>
                <w:bCs w:val="1"/>
                <w:color w:val="auto"/>
              </w:rPr>
              <w:t>Net asset value at end of period</w:t>
            </w:r>
          </w:p>
        </w:tc>
        <w:tc>
          <w:tcPr>
            <w:tcW w:w="15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162"/>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11.48</w:t>
            </w:r>
          </w:p>
        </w:tc>
        <w:tc>
          <w:tcPr>
            <w:tcW w:w="2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jc w:val="right"/>
              <w:ind w:right="128"/>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11.55</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60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Per share market value, beginning of period</w:t>
            </w:r>
          </w:p>
        </w:tc>
        <w:tc>
          <w:tcPr>
            <w:tcW w:w="150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62"/>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12.93</w:t>
            </w: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jc w:val="right"/>
              <w:ind w:right="128"/>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11.25</w:t>
            </w:r>
          </w:p>
        </w:tc>
        <w:tc>
          <w:tcPr>
            <w:tcW w:w="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3"/>
                <w:szCs w:val="13"/>
                <w:color w:val="auto"/>
              </w:rPr>
              <w:t>Per share market value, end of period</w:t>
            </w:r>
          </w:p>
        </w:tc>
        <w:tc>
          <w:tcPr>
            <w:tcW w:w="174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8.12</w:t>
            </w:r>
          </w:p>
        </w:tc>
        <w:tc>
          <w:tcPr>
            <w:tcW w:w="280" w:type="dxa"/>
            <w:vAlign w:val="bottom"/>
          </w:tcPr>
          <w:p>
            <w:pPr>
              <w:spacing w:after="0"/>
              <w:rPr>
                <w:sz w:val="11"/>
                <w:szCs w:val="11"/>
                <w:color w:val="auto"/>
              </w:rPr>
            </w:pPr>
          </w:p>
        </w:tc>
        <w:tc>
          <w:tcPr>
            <w:tcW w:w="300" w:type="dxa"/>
            <w:vAlign w:val="bottom"/>
            <w:gridSpan w:val="2"/>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11.79</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 xml:space="preserve">Total return based on a market value </w:t>
            </w:r>
            <w:r>
              <w:rPr>
                <w:rFonts w:ascii="Arial" w:cs="Arial" w:eastAsia="Arial" w:hAnsi="Arial"/>
                <w:sz w:val="15"/>
                <w:szCs w:val="15"/>
                <w:color w:val="auto"/>
                <w:vertAlign w:val="superscript"/>
              </w:rPr>
              <w:t>(3)</w:t>
            </w:r>
          </w:p>
        </w:tc>
        <w:tc>
          <w:tcPr>
            <w:tcW w:w="1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144"/>
              <w:spacing w:after="0" w:line="135" w:lineRule="exact"/>
              <w:rPr>
                <w:sz w:val="20"/>
                <w:szCs w:val="20"/>
                <w:color w:val="auto"/>
              </w:rPr>
            </w:pPr>
            <w:r>
              <w:rPr>
                <w:rFonts w:ascii="Arial" w:cs="Arial" w:eastAsia="Arial" w:hAnsi="Arial"/>
                <w:sz w:val="13"/>
                <w:szCs w:val="13"/>
                <w:color w:val="auto"/>
              </w:rPr>
              <w:t>(34.9)%</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04"/>
              <w:spacing w:after="0" w:line="135" w:lineRule="exact"/>
              <w:rPr>
                <w:sz w:val="20"/>
                <w:szCs w:val="20"/>
                <w:color w:val="auto"/>
              </w:rPr>
            </w:pPr>
            <w:r>
              <w:rPr>
                <w:rFonts w:ascii="Arial" w:cs="Arial" w:eastAsia="Arial" w:hAnsi="Arial"/>
                <w:sz w:val="13"/>
                <w:szCs w:val="13"/>
                <w:color w:val="auto"/>
              </w:rPr>
              <w:t>7.5 %</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3"/>
                <w:szCs w:val="13"/>
                <w:color w:val="auto"/>
              </w:rPr>
              <w:t>Shares outstanding at end of period</w:t>
            </w:r>
          </w:p>
        </w:tc>
        <w:tc>
          <w:tcPr>
            <w:tcW w:w="1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16,852,610</w:t>
            </w: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13,538,481</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Ratios, net of waivers, to average net assets:</w:t>
            </w:r>
          </w:p>
        </w:tc>
        <w:tc>
          <w:tcPr>
            <w:tcW w:w="1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3"/>
                <w:szCs w:val="13"/>
                <w:color w:val="auto"/>
              </w:rPr>
              <w:t>Expenses without incentive fees</w:t>
            </w:r>
          </w:p>
        </w:tc>
        <w:tc>
          <w:tcPr>
            <w:tcW w:w="1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right"/>
              <w:ind w:right="24"/>
              <w:spacing w:after="0" w:line="135" w:lineRule="exact"/>
              <w:rPr>
                <w:sz w:val="20"/>
                <w:szCs w:val="20"/>
                <w:color w:val="auto"/>
              </w:rPr>
            </w:pPr>
            <w:r>
              <w:rPr>
                <w:rFonts w:ascii="Arial" w:cs="Arial" w:eastAsia="Arial" w:hAnsi="Arial"/>
                <w:sz w:val="11"/>
                <w:szCs w:val="11"/>
                <w:color w:val="auto"/>
              </w:rPr>
              <w:t>10.1 %</w:t>
            </w:r>
            <w:r>
              <w:rPr>
                <w:rFonts w:ascii="Arial" w:cs="Arial" w:eastAsia="Arial" w:hAnsi="Arial"/>
                <w:sz w:val="15"/>
                <w:szCs w:val="15"/>
                <w:color w:val="auto"/>
                <w:vertAlign w:val="superscript"/>
              </w:rPr>
              <w:t>(4)</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spacing w:after="0" w:line="135" w:lineRule="exact"/>
              <w:rPr>
                <w:sz w:val="20"/>
                <w:szCs w:val="20"/>
                <w:color w:val="auto"/>
              </w:rPr>
            </w:pPr>
            <w:r>
              <w:rPr>
                <w:rFonts w:ascii="Arial" w:cs="Arial" w:eastAsia="Arial" w:hAnsi="Arial"/>
                <w:sz w:val="11"/>
                <w:szCs w:val="11"/>
                <w:color w:val="auto"/>
              </w:rPr>
              <w:t>11.7 %</w:t>
            </w:r>
            <w:r>
              <w:rPr>
                <w:rFonts w:ascii="Arial" w:cs="Arial" w:eastAsia="Arial" w:hAnsi="Arial"/>
                <w:sz w:val="15"/>
                <w:szCs w:val="15"/>
                <w:color w:val="auto"/>
                <w:vertAlign w:val="superscript"/>
              </w:rPr>
              <w:t>(4)</w:t>
            </w: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Incentive fees</w:t>
            </w:r>
          </w:p>
        </w:tc>
        <w:tc>
          <w:tcPr>
            <w:tcW w:w="1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4"/>
              <w:spacing w:after="0" w:line="135" w:lineRule="exact"/>
              <w:rPr>
                <w:sz w:val="20"/>
                <w:szCs w:val="20"/>
                <w:color w:val="auto"/>
              </w:rPr>
            </w:pPr>
            <w:r>
              <w:rPr>
                <w:rFonts w:ascii="Arial" w:cs="Arial" w:eastAsia="Arial" w:hAnsi="Arial"/>
                <w:sz w:val="11"/>
                <w:szCs w:val="11"/>
                <w:color w:val="auto"/>
              </w:rPr>
              <w:t>2.3 %</w:t>
            </w:r>
            <w:r>
              <w:rPr>
                <w:rFonts w:ascii="Arial" w:cs="Arial" w:eastAsia="Arial" w:hAnsi="Arial"/>
                <w:sz w:val="15"/>
                <w:szCs w:val="15"/>
                <w:color w:val="auto"/>
                <w:vertAlign w:val="superscript"/>
              </w:rPr>
              <w:t>(4)</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1"/>
                <w:szCs w:val="11"/>
                <w:color w:val="auto"/>
              </w:rPr>
              <w:t>2.2 %</w:t>
            </w:r>
            <w:r>
              <w:rPr>
                <w:rFonts w:ascii="Arial" w:cs="Arial" w:eastAsia="Arial" w:hAnsi="Arial"/>
                <w:sz w:val="15"/>
                <w:szCs w:val="15"/>
                <w:color w:val="auto"/>
                <w:vertAlign w:val="superscript"/>
              </w:rPr>
              <w:t>(4)</w:t>
            </w:r>
          </w:p>
        </w:tc>
        <w:tc>
          <w:tcPr>
            <w:tcW w:w="0" w:type="dxa"/>
            <w:vAlign w:val="bottom"/>
          </w:tcPr>
          <w:p>
            <w:pPr>
              <w:spacing w:after="0"/>
              <w:rPr>
                <w:sz w:val="1"/>
                <w:szCs w:val="1"/>
                <w:color w:val="auto"/>
              </w:rPr>
            </w:pPr>
          </w:p>
        </w:tc>
      </w:tr>
      <w:tr>
        <w:trPr>
          <w:trHeight w:val="168"/>
        </w:trPr>
        <w:tc>
          <w:tcPr>
            <w:tcW w:w="4600" w:type="dxa"/>
            <w:vAlign w:val="bottom"/>
            <w:tcBorders>
              <w:bottom w:val="single" w:sz="8" w:color="CCEEFF"/>
            </w:tcBorders>
          </w:tcPr>
          <w:p>
            <w:pPr>
              <w:spacing w:after="0" w:line="129" w:lineRule="exact"/>
              <w:rPr>
                <w:sz w:val="20"/>
                <w:szCs w:val="20"/>
                <w:color w:val="auto"/>
              </w:rPr>
            </w:pPr>
            <w:r>
              <w:rPr>
                <w:rFonts w:ascii="Arial" w:cs="Arial" w:eastAsia="Arial" w:hAnsi="Arial"/>
                <w:sz w:val="13"/>
                <w:szCs w:val="13"/>
                <w:color w:val="auto"/>
              </w:rPr>
              <w:t>Net expenses</w:t>
            </w:r>
          </w:p>
        </w:tc>
        <w:tc>
          <w:tcPr>
            <w:tcW w:w="150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12.4</w:t>
            </w:r>
          </w:p>
        </w:tc>
        <w:tc>
          <w:tcPr>
            <w:tcW w:w="280" w:type="dxa"/>
            <w:vAlign w:val="bottom"/>
            <w:tcBorders>
              <w:bottom w:val="single" w:sz="8" w:color="CCEEFF"/>
            </w:tcBorders>
          </w:tcPr>
          <w:p>
            <w:pPr>
              <w:jc w:val="right"/>
              <w:ind w:right="24"/>
              <w:spacing w:after="0" w:line="129" w:lineRule="exact"/>
              <w:rPr>
                <w:sz w:val="20"/>
                <w:szCs w:val="20"/>
                <w:color w:val="auto"/>
              </w:rPr>
            </w:pPr>
            <w:r>
              <w:rPr>
                <w:rFonts w:ascii="Arial" w:cs="Arial" w:eastAsia="Arial" w:hAnsi="Arial"/>
                <w:sz w:val="14"/>
                <w:szCs w:val="14"/>
                <w:color w:val="auto"/>
                <w:vertAlign w:val="subscript"/>
              </w:rPr>
              <w:t>%</w:t>
            </w:r>
            <w:r>
              <w:rPr>
                <w:rFonts w:ascii="Arial" w:cs="Arial" w:eastAsia="Arial" w:hAnsi="Arial"/>
                <w:sz w:val="7"/>
                <w:szCs w:val="7"/>
                <w:color w:val="auto"/>
              </w:rPr>
              <w:t>(4)</w:t>
            </w:r>
          </w:p>
        </w:tc>
        <w:tc>
          <w:tcPr>
            <w:tcW w:w="60" w:type="dxa"/>
            <w:vAlign w:val="bottom"/>
            <w:tcBorders>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13.9</w:t>
            </w:r>
          </w:p>
        </w:tc>
        <w:tc>
          <w:tcPr>
            <w:tcW w:w="240" w:type="dxa"/>
            <w:vAlign w:val="bottom"/>
            <w:tcBorders>
              <w:bottom w:val="single" w:sz="8" w:color="CCEEFF"/>
            </w:tcBorders>
          </w:tcPr>
          <w:p>
            <w:pPr>
              <w:jc w:val="right"/>
              <w:spacing w:after="0" w:line="129" w:lineRule="exact"/>
              <w:rPr>
                <w:sz w:val="20"/>
                <w:szCs w:val="20"/>
                <w:color w:val="auto"/>
              </w:rPr>
            </w:pPr>
            <w:r>
              <w:rPr>
                <w:rFonts w:ascii="Arial" w:cs="Arial" w:eastAsia="Arial" w:hAnsi="Arial"/>
                <w:sz w:val="14"/>
                <w:szCs w:val="14"/>
                <w:color w:val="auto"/>
                <w:vertAlign w:val="subscript"/>
              </w:rPr>
              <w:t>%</w:t>
            </w:r>
            <w:r>
              <w:rPr>
                <w:rFonts w:ascii="Arial" w:cs="Arial" w:eastAsia="Arial" w:hAnsi="Arial"/>
                <w:sz w:val="7"/>
                <w:szCs w:val="7"/>
                <w:color w:val="auto"/>
              </w:rPr>
              <w:t>(4)</w:t>
            </w:r>
          </w:p>
        </w:tc>
        <w:tc>
          <w:tcPr>
            <w:tcW w:w="0" w:type="dxa"/>
            <w:vAlign w:val="bottom"/>
          </w:tcPr>
          <w:p>
            <w:pPr>
              <w:spacing w:after="0"/>
              <w:rPr>
                <w:sz w:val="1"/>
                <w:szCs w:val="1"/>
                <w:color w:val="auto"/>
              </w:rPr>
            </w:pPr>
          </w:p>
        </w:tc>
      </w:tr>
      <w:tr>
        <w:trPr>
          <w:trHeight w:val="116"/>
        </w:trPr>
        <w:tc>
          <w:tcPr>
            <w:tcW w:w="460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Net investment income with incentive fees</w:t>
            </w:r>
          </w:p>
        </w:tc>
        <w:tc>
          <w:tcPr>
            <w:tcW w:w="15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9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9.1</w:t>
            </w:r>
          </w:p>
        </w:tc>
        <w:tc>
          <w:tcPr>
            <w:tcW w:w="280" w:type="dxa"/>
            <w:vAlign w:val="bottom"/>
            <w:shd w:val="clear" w:color="auto" w:fill="CCEEFF"/>
          </w:tcPr>
          <w:p>
            <w:pPr>
              <w:jc w:val="right"/>
              <w:ind w:right="24"/>
              <w:spacing w:after="0" w:line="116" w:lineRule="exact"/>
              <w:rPr>
                <w:sz w:val="20"/>
                <w:szCs w:val="20"/>
                <w:color w:val="auto"/>
              </w:rPr>
            </w:pPr>
            <w:r>
              <w:rPr>
                <w:rFonts w:ascii="Arial" w:cs="Arial" w:eastAsia="Arial" w:hAnsi="Arial"/>
                <w:sz w:val="13"/>
                <w:szCs w:val="13"/>
                <w:color w:val="auto"/>
                <w:vertAlign w:val="subscript"/>
              </w:rPr>
              <w:t>%</w:t>
            </w:r>
            <w:r>
              <w:rPr>
                <w:rFonts w:ascii="Arial" w:cs="Arial" w:eastAsia="Arial" w:hAnsi="Arial"/>
                <w:sz w:val="7"/>
                <w:szCs w:val="7"/>
                <w:color w:val="auto"/>
              </w:rPr>
              <w:t>(4)</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8.9</w:t>
            </w:r>
          </w:p>
        </w:tc>
        <w:tc>
          <w:tcPr>
            <w:tcW w:w="24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vertAlign w:val="subscript"/>
              </w:rPr>
              <w:t>%</w:t>
            </w:r>
            <w:r>
              <w:rPr>
                <w:rFonts w:ascii="Arial" w:cs="Arial" w:eastAsia="Arial" w:hAnsi="Arial"/>
                <w:sz w:val="7"/>
                <w:szCs w:val="7"/>
                <w:color w:val="auto"/>
              </w:rPr>
              <w:t>(4)</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3"/>
                <w:szCs w:val="13"/>
                <w:b w:val="1"/>
                <w:bCs w:val="1"/>
                <w:color w:val="auto"/>
              </w:rPr>
              <w:t>Ratios, without waivers, to average net assets:</w:t>
            </w:r>
          </w:p>
        </w:tc>
        <w:tc>
          <w:tcPr>
            <w:tcW w:w="1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1"/>
                <w:szCs w:val="11"/>
                <w:color w:val="auto"/>
              </w:rPr>
              <w:t>Expenses without incentive fees</w:t>
            </w:r>
            <w:r>
              <w:rPr>
                <w:rFonts w:ascii="Arial" w:cs="Arial" w:eastAsia="Arial" w:hAnsi="Arial"/>
                <w:sz w:val="15"/>
                <w:szCs w:val="15"/>
                <w:color w:val="auto"/>
                <w:vertAlign w:val="superscript"/>
              </w:rPr>
              <w:t>(4)</w:t>
            </w:r>
          </w:p>
        </w:tc>
        <w:tc>
          <w:tcPr>
            <w:tcW w:w="15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0" w:type="dxa"/>
            <w:vAlign w:val="bottom"/>
            <w:gridSpan w:val="2"/>
            <w:shd w:val="clear" w:color="auto" w:fill="CCEEFF"/>
          </w:tcPr>
          <w:p>
            <w:pPr>
              <w:jc w:val="right"/>
              <w:ind w:right="24"/>
              <w:spacing w:after="0" w:line="135" w:lineRule="exact"/>
              <w:rPr>
                <w:sz w:val="20"/>
                <w:szCs w:val="20"/>
                <w:color w:val="auto"/>
              </w:rPr>
            </w:pPr>
            <w:r>
              <w:rPr>
                <w:rFonts w:ascii="Arial" w:cs="Arial" w:eastAsia="Arial" w:hAnsi="Arial"/>
                <w:sz w:val="11"/>
                <w:szCs w:val="11"/>
                <w:color w:val="auto"/>
              </w:rPr>
              <w:t>10.1 %</w:t>
            </w:r>
            <w:r>
              <w:rPr>
                <w:rFonts w:ascii="Arial" w:cs="Arial" w:eastAsia="Arial" w:hAnsi="Arial"/>
                <w:sz w:val="15"/>
                <w:szCs w:val="15"/>
                <w:color w:val="auto"/>
                <w:vertAlign w:val="superscript"/>
              </w:rPr>
              <w:t>(4)</w:t>
            </w: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1"/>
                <w:szCs w:val="11"/>
                <w:color w:val="auto"/>
              </w:rPr>
              <w:t>11.7 %</w:t>
            </w:r>
            <w:r>
              <w:rPr>
                <w:rFonts w:ascii="Arial" w:cs="Arial" w:eastAsia="Arial" w:hAnsi="Arial"/>
                <w:sz w:val="15"/>
                <w:szCs w:val="15"/>
                <w:color w:val="auto"/>
                <w:vertAlign w:val="superscript"/>
              </w:rPr>
              <w:t>(4)</w:t>
            </w: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1"/>
                <w:szCs w:val="11"/>
                <w:color w:val="auto"/>
              </w:rPr>
              <w:t>Incentive fees</w:t>
            </w:r>
            <w:r>
              <w:rPr>
                <w:rFonts w:ascii="Arial" w:cs="Arial" w:eastAsia="Arial" w:hAnsi="Arial"/>
                <w:sz w:val="15"/>
                <w:szCs w:val="15"/>
                <w:color w:val="auto"/>
                <w:vertAlign w:val="superscript"/>
              </w:rPr>
              <w:t>(4)</w:t>
            </w:r>
          </w:p>
        </w:tc>
        <w:tc>
          <w:tcPr>
            <w:tcW w:w="1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tcPr>
          <w:p>
            <w:pPr>
              <w:jc w:val="right"/>
              <w:ind w:right="24"/>
              <w:spacing w:after="0" w:line="135" w:lineRule="exact"/>
              <w:rPr>
                <w:sz w:val="20"/>
                <w:szCs w:val="20"/>
                <w:color w:val="auto"/>
              </w:rPr>
            </w:pPr>
            <w:r>
              <w:rPr>
                <w:rFonts w:ascii="Arial" w:cs="Arial" w:eastAsia="Arial" w:hAnsi="Arial"/>
                <w:sz w:val="11"/>
                <w:szCs w:val="11"/>
                <w:color w:val="auto"/>
              </w:rPr>
              <w:t>2.3 %</w:t>
            </w:r>
            <w:r>
              <w:rPr>
                <w:rFonts w:ascii="Arial" w:cs="Arial" w:eastAsia="Arial" w:hAnsi="Arial"/>
                <w:sz w:val="15"/>
                <w:szCs w:val="15"/>
                <w:color w:val="auto"/>
                <w:vertAlign w:val="superscript"/>
              </w:rPr>
              <w:t>(4)</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jc w:val="right"/>
              <w:spacing w:after="0" w:line="135" w:lineRule="exact"/>
              <w:rPr>
                <w:sz w:val="20"/>
                <w:szCs w:val="20"/>
                <w:color w:val="auto"/>
              </w:rPr>
            </w:pPr>
            <w:r>
              <w:rPr>
                <w:rFonts w:ascii="Arial" w:cs="Arial" w:eastAsia="Arial" w:hAnsi="Arial"/>
                <w:sz w:val="11"/>
                <w:szCs w:val="11"/>
                <w:color w:val="auto"/>
              </w:rPr>
              <w:t>5.4 %</w:t>
            </w:r>
            <w:r>
              <w:rPr>
                <w:rFonts w:ascii="Arial" w:cs="Arial" w:eastAsia="Arial" w:hAnsi="Arial"/>
                <w:sz w:val="15"/>
                <w:szCs w:val="15"/>
                <w:color w:val="auto"/>
                <w:vertAlign w:val="superscript"/>
              </w:rPr>
              <w:t>(4)</w:t>
            </w:r>
          </w:p>
        </w:tc>
        <w:tc>
          <w:tcPr>
            <w:tcW w:w="0" w:type="dxa"/>
            <w:vAlign w:val="bottom"/>
          </w:tcPr>
          <w:p>
            <w:pPr>
              <w:spacing w:after="0"/>
              <w:rPr>
                <w:sz w:val="1"/>
                <w:szCs w:val="1"/>
                <w:color w:val="auto"/>
              </w:rPr>
            </w:pPr>
          </w:p>
        </w:tc>
      </w:tr>
      <w:tr>
        <w:trPr>
          <w:trHeight w:val="129"/>
        </w:trPr>
        <w:tc>
          <w:tcPr>
            <w:tcW w:w="46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0"/>
                <w:szCs w:val="10"/>
                <w:color w:val="auto"/>
              </w:rPr>
              <w:t>Net expenses</w:t>
            </w:r>
            <w:r>
              <w:rPr>
                <w:rFonts w:ascii="Arial" w:cs="Arial" w:eastAsia="Arial" w:hAnsi="Arial"/>
                <w:sz w:val="14"/>
                <w:szCs w:val="14"/>
                <w:color w:val="auto"/>
                <w:vertAlign w:val="superscript"/>
              </w:rPr>
              <w:t>(4)</w:t>
            </w:r>
          </w:p>
        </w:tc>
        <w:tc>
          <w:tcPr>
            <w:tcW w:w="150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9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12.4</w:t>
            </w:r>
          </w:p>
        </w:tc>
        <w:tc>
          <w:tcPr>
            <w:tcW w:w="280" w:type="dxa"/>
            <w:vAlign w:val="bottom"/>
            <w:tcBorders>
              <w:top w:val="single" w:sz="8" w:color="CCEEFF"/>
              <w:bottom w:val="single" w:sz="8" w:color="CCEEFF"/>
            </w:tcBorders>
            <w:shd w:val="clear" w:color="auto" w:fill="CCEEFF"/>
          </w:tcPr>
          <w:p>
            <w:pPr>
              <w:jc w:val="right"/>
              <w:ind w:right="24"/>
              <w:spacing w:after="0" w:line="129" w:lineRule="exact"/>
              <w:rPr>
                <w:sz w:val="20"/>
                <w:szCs w:val="20"/>
                <w:color w:val="auto"/>
              </w:rPr>
            </w:pPr>
            <w:r>
              <w:rPr>
                <w:rFonts w:ascii="Arial" w:cs="Arial" w:eastAsia="Arial" w:hAnsi="Arial"/>
                <w:sz w:val="14"/>
                <w:szCs w:val="14"/>
                <w:color w:val="auto"/>
                <w:vertAlign w:val="subscript"/>
              </w:rPr>
              <w:t>%</w:t>
            </w:r>
            <w:r>
              <w:rPr>
                <w:rFonts w:ascii="Arial" w:cs="Arial" w:eastAsia="Arial" w:hAnsi="Arial"/>
                <w:sz w:val="7"/>
                <w:szCs w:val="7"/>
                <w:color w:val="auto"/>
              </w:rPr>
              <w:t>(4)</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17.1</w:t>
            </w:r>
          </w:p>
        </w:tc>
        <w:tc>
          <w:tcPr>
            <w:tcW w:w="240" w:type="dxa"/>
            <w:vAlign w:val="bottom"/>
            <w:tcBorders>
              <w:top w:val="single" w:sz="8" w:color="CCEEFF"/>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4"/>
                <w:szCs w:val="14"/>
                <w:color w:val="auto"/>
                <w:vertAlign w:val="subscript"/>
              </w:rPr>
              <w:t>%</w:t>
            </w:r>
            <w:r>
              <w:rPr>
                <w:rFonts w:ascii="Arial" w:cs="Arial" w:eastAsia="Arial" w:hAnsi="Arial"/>
                <w:sz w:val="7"/>
                <w:szCs w:val="7"/>
                <w:color w:val="auto"/>
              </w:rPr>
              <w:t>(4)</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line="156" w:lineRule="exact"/>
              <w:rPr>
                <w:sz w:val="20"/>
                <w:szCs w:val="20"/>
                <w:color w:val="auto"/>
              </w:rPr>
            </w:pPr>
            <w:r>
              <w:rPr>
                <w:rFonts w:ascii="Arial" w:cs="Arial" w:eastAsia="Arial" w:hAnsi="Arial"/>
                <w:sz w:val="13"/>
                <w:szCs w:val="13"/>
                <w:color w:val="auto"/>
              </w:rPr>
              <w:t>Net investment income with incentive fees</w:t>
            </w:r>
            <w:r>
              <w:rPr>
                <w:rFonts w:ascii="Arial" w:cs="Arial" w:eastAsia="Arial" w:hAnsi="Arial"/>
                <w:sz w:val="18"/>
                <w:szCs w:val="18"/>
                <w:color w:val="auto"/>
                <w:vertAlign w:val="superscript"/>
              </w:rPr>
              <w:t>(4)</w:t>
            </w:r>
          </w:p>
        </w:tc>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jc w:val="right"/>
              <w:ind w:right="24"/>
              <w:spacing w:after="0" w:line="156" w:lineRule="exact"/>
              <w:rPr>
                <w:sz w:val="20"/>
                <w:szCs w:val="20"/>
                <w:color w:val="auto"/>
              </w:rPr>
            </w:pPr>
            <w:r>
              <w:rPr>
                <w:rFonts w:ascii="Arial" w:cs="Arial" w:eastAsia="Arial" w:hAnsi="Arial"/>
                <w:sz w:val="18"/>
                <w:szCs w:val="18"/>
                <w:color w:val="auto"/>
                <w:w w:val="97"/>
                <w:vertAlign w:val="subscript"/>
              </w:rPr>
              <w:t>%</w:t>
            </w:r>
            <w:r>
              <w:rPr>
                <w:rFonts w:ascii="Arial" w:cs="Arial" w:eastAsia="Arial" w:hAnsi="Arial"/>
                <w:sz w:val="8"/>
                <w:szCs w:val="8"/>
                <w:color w:val="auto"/>
                <w:w w:val="97"/>
              </w:rPr>
              <w:t>(4)</w:t>
            </w: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spacing w:after="0" w:line="156" w:lineRule="exact"/>
              <w:rPr>
                <w:sz w:val="20"/>
                <w:szCs w:val="20"/>
                <w:color w:val="auto"/>
              </w:rPr>
            </w:pPr>
            <w:r>
              <w:rPr>
                <w:rFonts w:ascii="Arial" w:cs="Arial" w:eastAsia="Arial" w:hAnsi="Arial"/>
                <w:sz w:val="18"/>
                <w:szCs w:val="18"/>
                <w:color w:val="auto"/>
                <w:w w:val="97"/>
                <w:vertAlign w:val="subscript"/>
              </w:rPr>
              <w:t>%</w:t>
            </w:r>
            <w:r>
              <w:rPr>
                <w:rFonts w:ascii="Arial" w:cs="Arial" w:eastAsia="Arial" w:hAnsi="Arial"/>
                <w:sz w:val="8"/>
                <w:szCs w:val="8"/>
                <w:color w:val="auto"/>
                <w:w w:val="97"/>
              </w:rPr>
              <w:t>(4)</w:t>
            </w:r>
          </w:p>
        </w:tc>
        <w:tc>
          <w:tcPr>
            <w:tcW w:w="0" w:type="dxa"/>
            <w:vAlign w:val="bottom"/>
          </w:tcPr>
          <w:p>
            <w:pPr>
              <w:spacing w:after="0" w:line="20" w:lineRule="exact"/>
              <w:rPr>
                <w:sz w:val="1"/>
                <w:szCs w:val="1"/>
                <w:color w:val="auto"/>
              </w:rPr>
            </w:pPr>
          </w:p>
        </w:tc>
      </w:tr>
      <w:tr>
        <w:trPr>
          <w:trHeight w:val="115"/>
        </w:trPr>
        <w:tc>
          <w:tcPr>
            <w:tcW w:w="4600" w:type="dxa"/>
            <w:vAlign w:val="bottom"/>
            <w:vMerge w:val="continue"/>
          </w:tcPr>
          <w:p>
            <w:pPr>
              <w:spacing w:after="0"/>
              <w:rPr>
                <w:sz w:val="10"/>
                <w:szCs w:val="10"/>
                <w:color w:val="auto"/>
              </w:rPr>
            </w:pPr>
          </w:p>
        </w:tc>
        <w:tc>
          <w:tcPr>
            <w:tcW w:w="15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jc w:val="right"/>
              <w:spacing w:after="0" w:line="116" w:lineRule="exact"/>
              <w:rPr>
                <w:sz w:val="20"/>
                <w:szCs w:val="20"/>
                <w:color w:val="auto"/>
              </w:rPr>
            </w:pPr>
            <w:r>
              <w:rPr>
                <w:rFonts w:ascii="Arial" w:cs="Arial" w:eastAsia="Arial" w:hAnsi="Arial"/>
                <w:sz w:val="13"/>
                <w:szCs w:val="13"/>
                <w:color w:val="auto"/>
              </w:rPr>
              <w:t>9.1</w:t>
            </w:r>
          </w:p>
        </w:tc>
        <w:tc>
          <w:tcPr>
            <w:tcW w:w="2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jc w:val="right"/>
              <w:spacing w:after="0" w:line="116" w:lineRule="exact"/>
              <w:rPr>
                <w:sz w:val="20"/>
                <w:szCs w:val="20"/>
                <w:color w:val="auto"/>
              </w:rPr>
            </w:pPr>
            <w:r>
              <w:rPr>
                <w:rFonts w:ascii="Arial" w:cs="Arial" w:eastAsia="Arial" w:hAnsi="Arial"/>
                <w:sz w:val="13"/>
                <w:szCs w:val="13"/>
                <w:color w:val="auto"/>
              </w:rPr>
              <w:t>5.8</w:t>
            </w:r>
          </w:p>
        </w:tc>
        <w:tc>
          <w:tcPr>
            <w:tcW w:w="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assets at the end of the period</w:t>
            </w:r>
          </w:p>
        </w:tc>
        <w:tc>
          <w:tcPr>
            <w:tcW w:w="1740" w:type="dxa"/>
            <w:vAlign w:val="bottom"/>
            <w:gridSpan w:val="2"/>
            <w:shd w:val="clear" w:color="auto" w:fill="CCEEFF"/>
          </w:tcPr>
          <w:p>
            <w:pPr>
              <w:jc w:val="right"/>
              <w:ind w:right="162"/>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193,457</w:t>
            </w:r>
          </w:p>
        </w:tc>
        <w:tc>
          <w:tcPr>
            <w:tcW w:w="2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156,424</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tcPr>
          <w:p>
            <w:pPr>
              <w:spacing w:after="0" w:line="135" w:lineRule="exact"/>
              <w:rPr>
                <w:sz w:val="20"/>
                <w:szCs w:val="20"/>
                <w:color w:val="auto"/>
              </w:rPr>
            </w:pPr>
            <w:r>
              <w:rPr>
                <w:rFonts w:ascii="Arial" w:cs="Arial" w:eastAsia="Arial" w:hAnsi="Arial"/>
                <w:sz w:val="13"/>
                <w:szCs w:val="13"/>
                <w:color w:val="auto"/>
              </w:rPr>
              <w:t>Average net asset value</w:t>
            </w:r>
          </w:p>
        </w:tc>
        <w:tc>
          <w:tcPr>
            <w:tcW w:w="1740" w:type="dxa"/>
            <w:vAlign w:val="bottom"/>
            <w:gridSpan w:val="2"/>
          </w:tcPr>
          <w:p>
            <w:pPr>
              <w:jc w:val="right"/>
              <w:ind w:right="162"/>
              <w:spacing w:after="0" w:line="135" w:lineRule="exact"/>
              <w:rPr>
                <w:sz w:val="20"/>
                <w:szCs w:val="20"/>
                <w:color w:val="auto"/>
              </w:rPr>
            </w:pPr>
            <w:r>
              <w:rPr>
                <w:rFonts w:ascii="Arial" w:cs="Arial" w:eastAsia="Arial" w:hAnsi="Arial"/>
                <w:sz w:val="13"/>
                <w:szCs w:val="13"/>
                <w:color w:val="auto"/>
              </w:rPr>
              <w:t>$</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188,756</w:t>
            </w:r>
          </w:p>
        </w:tc>
        <w:tc>
          <w:tcPr>
            <w:tcW w:w="280" w:type="dxa"/>
            <w:vAlign w:val="bottom"/>
          </w:tcPr>
          <w:p>
            <w:pPr>
              <w:spacing w:after="0"/>
              <w:rPr>
                <w:sz w:val="11"/>
                <w:szCs w:val="11"/>
                <w:color w:val="auto"/>
              </w:rPr>
            </w:pPr>
          </w:p>
        </w:tc>
        <w:tc>
          <w:tcPr>
            <w:tcW w:w="300" w:type="dxa"/>
            <w:vAlign w:val="bottom"/>
            <w:gridSpan w:val="2"/>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145,341</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6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Average debt per share</w:t>
            </w:r>
          </w:p>
        </w:tc>
        <w:tc>
          <w:tcPr>
            <w:tcW w:w="1740" w:type="dxa"/>
            <w:vAlign w:val="bottom"/>
            <w:gridSpan w:val="2"/>
            <w:shd w:val="clear" w:color="auto" w:fill="CCEEFF"/>
          </w:tcPr>
          <w:p>
            <w:pPr>
              <w:jc w:val="right"/>
              <w:ind w:right="162"/>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9.28</w:t>
            </w:r>
          </w:p>
        </w:tc>
        <w:tc>
          <w:tcPr>
            <w:tcW w:w="2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28"/>
              <w:spacing w:after="0" w:line="135"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10.69</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600" w:type="dxa"/>
            <w:vAlign w:val="bottom"/>
          </w:tcPr>
          <w:p>
            <w:pPr>
              <w:spacing w:after="0"/>
              <w:rPr>
                <w:sz w:val="20"/>
                <w:szCs w:val="20"/>
                <w:color w:val="auto"/>
              </w:rPr>
            </w:pPr>
            <w:r>
              <w:rPr>
                <w:rFonts w:ascii="Arial" w:cs="Arial" w:eastAsia="Arial" w:hAnsi="Arial"/>
                <w:sz w:val="13"/>
                <w:szCs w:val="13"/>
                <w:color w:val="auto"/>
              </w:rPr>
              <w:t>Portfolio turnover ratio</w:t>
            </w:r>
          </w:p>
        </w:tc>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jc w:val="right"/>
              <w:ind w:right="144"/>
              <w:spacing w:after="0"/>
              <w:rPr>
                <w:sz w:val="20"/>
                <w:szCs w:val="20"/>
                <w:color w:val="auto"/>
              </w:rPr>
            </w:pPr>
            <w:r>
              <w:rPr>
                <w:rFonts w:ascii="Arial" w:cs="Arial" w:eastAsia="Arial" w:hAnsi="Arial"/>
                <w:sz w:val="13"/>
                <w:szCs w:val="13"/>
                <w:color w:val="auto"/>
              </w:rPr>
              <w:t>17.3 %</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jc w:val="right"/>
              <w:ind w:right="104"/>
              <w:spacing w:after="0"/>
              <w:rPr>
                <w:sz w:val="20"/>
                <w:szCs w:val="20"/>
                <w:color w:val="auto"/>
              </w:rPr>
            </w:pPr>
            <w:r>
              <w:rPr>
                <w:rFonts w:ascii="Arial" w:cs="Arial" w:eastAsia="Arial" w:hAnsi="Arial"/>
                <w:sz w:val="13"/>
                <w:szCs w:val="13"/>
                <w:color w:val="auto"/>
              </w:rPr>
              <w:t>17.2 %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60960</wp:posOffset>
            </wp:positionV>
            <wp:extent cx="141414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70" w:lineRule="exact"/>
        <w:rPr>
          <w:sz w:val="20"/>
          <w:szCs w:val="20"/>
          <w:color w:val="auto"/>
        </w:rPr>
      </w:pPr>
    </w:p>
    <w:p>
      <w:pPr>
        <w:jc w:val="both"/>
        <w:ind w:left="380" w:right="79" w:hanging="330"/>
        <w:spacing w:after="0" w:line="255"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Distributions are determined based on taxable income calculated in accordance with income tax regulations, which may differ from amounts determined under GAAP due to (i) changes in unrealized appreciation and depreciation, (ii) temporary and permanent differences in income and expense recognition, and (iii) the amount of spillover income carried over from a given tax year for distribution in the following tax year. The final determination of taxable income for each tax year, as well as the tax attributes for distributions in such tax year, will be made after the close of the tax year.</w:t>
      </w:r>
    </w:p>
    <w:p>
      <w:pPr>
        <w:spacing w:after="0" w:line="192" w:lineRule="exact"/>
        <w:rPr>
          <w:rFonts w:ascii="Arial" w:cs="Arial" w:eastAsia="Arial" w:hAnsi="Arial"/>
          <w:sz w:val="18"/>
          <w:szCs w:val="18"/>
          <w:color w:val="auto"/>
        </w:rPr>
      </w:pPr>
    </w:p>
    <w:p>
      <w:pPr>
        <w:jc w:val="both"/>
        <w:ind w:left="380" w:right="79" w:hanging="330"/>
        <w:spacing w:after="0" w:line="263"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the impact of the different share amounts as a result of calculating per share data based on the weighted average basic shares outstanding during the period and certain per share data based on the shares outstanding as of a period end or transaction date.</w:t>
      </w:r>
    </w:p>
    <w:p>
      <w:pPr>
        <w:spacing w:after="0" w:line="183"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total return equals the change in the ending market value over the beginning of period price per share plus distributions paid per share during the period, divided by the beginning price.</w:t>
      </w:r>
    </w:p>
    <w:p>
      <w:pPr>
        <w:spacing w:after="0" w:line="170" w:lineRule="exact"/>
        <w:rPr>
          <w:rFonts w:ascii="Arial" w:cs="Arial" w:eastAsia="Arial" w:hAnsi="Arial"/>
          <w:sz w:val="18"/>
          <w:szCs w:val="18"/>
          <w:color w:val="auto"/>
        </w:rPr>
      </w:pPr>
    </w:p>
    <w:p>
      <w:pPr>
        <w:ind w:left="380" w:hanging="330"/>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Annualized.</w:t>
      </w:r>
    </w:p>
    <w:p>
      <w:pPr>
        <w:spacing w:after="0" w:line="225" w:lineRule="exact"/>
        <w:rPr>
          <w:rFonts w:ascii="Arial" w:cs="Arial" w:eastAsia="Arial" w:hAnsi="Arial"/>
          <w:sz w:val="18"/>
          <w:szCs w:val="18"/>
          <w:color w:val="auto"/>
        </w:rPr>
      </w:pPr>
    </w:p>
    <w:p>
      <w:pPr>
        <w:ind w:left="380" w:hanging="330"/>
        <w:spacing w:after="0"/>
        <w:tabs>
          <w:tab w:leader="none" w:pos="3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During the three months ended March 31, 2019, the Advisor waived $1.1 million of performance based incentive fee.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Horizon Technology Finance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Subsequent events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On April 9, 2020, HealthEdge Software, Inc. (“HealthEdge”) paid the outstanding principal balance of $13.1 million on its venture loan, plus interest, end-of-term payment and prepayment fee. Horizon also received proceeds of approximately $0.5 million in connection with the termination of Horizon’s warrants in HealthEdge.</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April 21, 2020, the Company purchased all of the limited liability company interests of Arena in HSLFI, including, without limitation, undistributed amounts owed to Arena and interest accrued and unpaid on the debt investments of HSLFI through the date of purchase, for $17.1 million. In addition, Arena will receive 50% of the warrants held by HSLFI or HFI at closing. HSLFI is now wholly-owned by the Company and in future reporting periods, the assets of HSLFI and HFI will be consolidated with the assets of the Company.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As the global spread of COVID-19 continues, the Company has experienced increased market volatility and economic uncertainty that may have materially affected the valuation of portfolio investments, and may continue to; such changes to the valuation of portfolio investments accordingly affect the Company’s net asset value. The Company is continuing to assess what additional adverse financial and operational consequences may result from the global spread of COVID-19 and the associated economic turbulence, however, the extent of such consequences remains uncertain as of the filing of this Form 10-Q.</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i w:val="1"/>
          <w:iCs w:val="1"/>
          <w:color w:val="auto"/>
        </w:rPr>
        <w:t>In this quarterly report on Form 10-Q, except where the context suggests otherwise, the terms “we,” “us,” “our” and “Horizon Technology Finance” refer to Horizon Technology Finance Corporation and its consolidated subsidiaries. The information contained in this section should be read in conjunction with our consolidated financial statements and related notes thereto appearing elsewhere in this quarterly report on Form 10-Q.</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This quarterly report on Form 10-Q,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quarterly report on Form 10-Q involve risks and uncertainties, including statements as to:</w:t>
      </w:r>
    </w:p>
    <w:p>
      <w:pPr>
        <w:spacing w:after="0" w:line="161" w:lineRule="exact"/>
        <w:rPr>
          <w:sz w:val="20"/>
          <w:szCs w:val="20"/>
          <w:color w:val="auto"/>
        </w:rPr>
      </w:pPr>
    </w:p>
    <w:p>
      <w:pPr>
        <w:ind w:left="700" w:right="79" w:hanging="32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operating results, including the performance of our existing debt investments, warrants and other investments;</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introduction, withdrawal, success and timing of business initiatives and strategies;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general economic and political trends and other external factors, including the current COVID-19 pandemic;</w:t>
      </w:r>
    </w:p>
    <w:p>
      <w:pPr>
        <w:spacing w:after="0" w:line="236" w:lineRule="exact"/>
        <w:rPr>
          <w:rFonts w:ascii="Arial" w:cs="Arial" w:eastAsia="Arial" w:hAnsi="Arial"/>
          <w:sz w:val="17"/>
          <w:szCs w:val="17"/>
          <w:color w:val="auto"/>
        </w:rPr>
      </w:pPr>
    </w:p>
    <w:p>
      <w:pPr>
        <w:ind w:left="700" w:right="79" w:hanging="32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relative and absolute investment performance and operations of our investment advisor, Horizon Technology Finance Management LLC, or the Advisor;</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increased competition;</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investments we intend to make and future acquisitions and divestitures;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unfavorable resolution of legal proceedings;</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 including our and their ability to achieve our respective objectives as a result of the current COVID-19 pandemic;</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impact, extent and timing of technological changes and the adequacy of intellectual property protection;</w:t>
      </w:r>
    </w:p>
    <w:p>
      <w:pPr>
        <w:spacing w:after="0" w:line="236" w:lineRule="exact"/>
        <w:rPr>
          <w:rFonts w:ascii="Arial" w:cs="Arial" w:eastAsia="Arial" w:hAnsi="Arial"/>
          <w:sz w:val="17"/>
          <w:szCs w:val="17"/>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regulatory structure and tax status;</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qualify and maintain qualification as a regulated investment company, or RIC, and as a business development company, or BDC;</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rFonts w:ascii="Arial" w:cs="Arial" w:eastAsia="Arial" w:hAnsi="Arial"/>
          <w:sz w:val="18"/>
          <w:szCs w:val="18"/>
          <w:color w:val="auto"/>
        </w:rPr>
      </w:pPr>
    </w:p>
    <w:p>
      <w:pPr>
        <w:ind w:left="700" w:right="79" w:hanging="326"/>
        <w:spacing w:after="0" w:line="277"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interest rate volatility on our results, particularly if we use leverage as part of our investment strategy;</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79" w:hanging="326"/>
        <w:spacing w:after="0" w:line="277"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legislative and regulatory actions and reforms and regulatory supervisory or enforcement actions of government agencies relating to us or our Advisor;</w:t>
      </w:r>
    </w:p>
    <w:p>
      <w:pPr>
        <w:spacing w:after="0" w:line="170"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impact of the Small Business Credit Availability Act, or SBCAA, on our operations and the BDC industry;</w:t>
      </w:r>
    </w:p>
    <w:p>
      <w:pPr>
        <w:spacing w:after="0" w:line="236" w:lineRule="exact"/>
        <w:rPr>
          <w:rFonts w:ascii="Arial" w:cs="Arial" w:eastAsia="Arial" w:hAnsi="Arial"/>
          <w:sz w:val="17"/>
          <w:szCs w:val="17"/>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access capital and any future financings by us;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Advisor to attract and retain highly talented professionals;</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changes to tax legislation and, generally, our tax position; and</w:t>
      </w:r>
    </w:p>
    <w:p>
      <w:pPr>
        <w:spacing w:after="0" w:line="225" w:lineRule="exact"/>
        <w:rPr>
          <w:rFonts w:ascii="Arial" w:cs="Arial" w:eastAsia="Arial" w:hAnsi="Arial"/>
          <w:sz w:val="18"/>
          <w:szCs w:val="18"/>
          <w:color w:val="auto"/>
        </w:rPr>
      </w:pPr>
    </w:p>
    <w:p>
      <w:pPr>
        <w:ind w:left="700" w:hanging="326"/>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fund unfunded commitments, including unfunded commitments.</w:t>
      </w:r>
    </w:p>
    <w:p>
      <w:pPr>
        <w:spacing w:after="0" w:line="225"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our annual report on Form 10-K for the year ended December 31, 2019, and elsewhere in this quarterly report on Form 10-Q.</w:t>
      </w:r>
    </w:p>
    <w:p>
      <w:pPr>
        <w:spacing w:after="0" w:line="18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quarterly report on Form 10-Q, whether as a result of new information, future events or otherwise, you are advised to consult any additional disclosures that we may make directly to you or through reports that we in the future may file with the U.S. Securities and Exchange Commission, or the SEC, including periodic reports on Form 10-Q and Form 10-K and current reports on Form 8-K.</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We are a specialty finance company that lends to and invests in development-stage companies in the technology, life science, healthcare information and services and sustainability industries, which we refer to as our “Target Industries.” Our investment objective is to maximize our investment portfolio’s total return by generating current income from the debt investments we make and capital appreciation from the warrants we receive when making such debt investments. We are focused on making secured debt investments, which we refer to collectively as “Venture Loans,” to venture capital and private equity backed companies and publicly traded companies in our Target Industries, which we refer to as “Venture Lending.” Our debt investments are typically secured by first liens or first liens behind a secured revolving line of credit, or Senior Term Loans. As of March 31, 2020, 100%, or $307.6 million, of our debt investment portfolio at fair value consisted of Senior Term Loans. Venture Lending is typically characterized by (1) the making of a secured debt investment after a venture capital or equity investment in the portfolio company has been made, which investment provides a source of cash to fund the portfolio company’s debt service obligations under the Venture Loan, (2) the senior priority of the Venture Loan which requires repayment of the Venture Loan prior to the equity investors realizing a return on their capital, (3) the relatively rapid amortization of the Venture Loan and (4) the lender’s receipt of warrants or other success fees with the making of the Venture Loan.</w:t>
      </w:r>
    </w:p>
    <w:p>
      <w:pPr>
        <w:spacing w:after="0" w:line="184"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are an externally managed, closed-end, non-diversified management investment company that has elected to be regulated as a BDC under the Investment Company Act of 1940, as amended, or the 1940 Act. In addition, for U.S. federal income tax purposes, we have elected to be treated as a RIC under Subchapter M of the Internal Revenue Code of 1986, as amended, or the Code. As a BDC, we are required to comply with regulatory requirements, including limitations on our use of debt. We are permitted to, and expect to, finance our investments through borrowings. Section 61(a) of the 1940 Act to add Section 61(a)(2) enables BDCs to reduce their asset coverage requirements from 200% to 150%. This provision permits a BDC to double the maximum amount of leverage that it is permitted to incur. As defined in the 1940 Act, asset coverage of 150% means that for every $100 of net assets a BDC holds, it may raise up to $200 from borrowing and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issuing senior securities. We received approval from our stockholders to reduce our asset coverage requirement from 200% to 150% on October 30, 2018. The amount of leverage that we may employ will depend on our assessment of market conditions and other factors at the time of any proposed borrowing. As a RIC, we generally are not subject to corporate-level income taxes on our investment company taxable income, determined without regard to any deductions for dividends paid, and our net capital gain that we distribute as dividends for U.S. federal income tax purposes to our stockholders as long as we meet certain source-of-income, distribution, asset diversification and other requirements.</w:t>
      </w:r>
    </w:p>
    <w:p>
      <w:pPr>
        <w:spacing w:after="0" w:line="164"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Compass Horizon Funding Company LLC, or Compass Horizon, our predecessor company, commenced operations in March 2008. We were formed in March 2010 for the purpose of acquiring Compass Horizon and continuing its business as a public entity.</w:t>
      </w:r>
    </w:p>
    <w:p>
      <w:pPr>
        <w:spacing w:after="0" w:line="184"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Horizon Funding I, LLC, or HFI, was formed as a Delaware limited liability company on May 9, 2018, with HSLFI as its sole equity member. HFI is a special purpose bankruptcy-remote entity and is a separate legal entity from HSLFI. Any assets conveyed to HFI are not available to creditors of HSLFI or any other entity other than HFI’s lenders.</w:t>
      </w:r>
    </w:p>
    <w:p>
      <w:pPr>
        <w:spacing w:after="0" w:line="149" w:lineRule="exact"/>
        <w:rPr>
          <w:sz w:val="20"/>
          <w:szCs w:val="20"/>
          <w:color w:val="auto"/>
        </w:rPr>
      </w:pPr>
    </w:p>
    <w:p>
      <w:pPr>
        <w:jc w:val="both"/>
        <w:ind w:left="60" w:right="59" w:firstLine="324"/>
        <w:spacing w:after="0" w:line="293" w:lineRule="auto"/>
        <w:rPr>
          <w:sz w:val="20"/>
          <w:szCs w:val="20"/>
          <w:color w:val="auto"/>
        </w:rPr>
      </w:pPr>
      <w:r>
        <w:rPr>
          <w:rFonts w:ascii="Arial" w:cs="Arial" w:eastAsia="Arial" w:hAnsi="Arial"/>
          <w:sz w:val="16"/>
          <w:szCs w:val="16"/>
          <w:color w:val="auto"/>
        </w:rPr>
        <w:t>Our investment activities, and our day-to-day operations, are managed by our Advisor and supervised by our board of directors, or the Board, of which a majority of the members are independent of us. Under an investment management agreement, or the Investment Management Agreement, we have agreed to pay our Advisor a base management fee and an incentive fee for its advisory services to us. We have also entered into an administration agreement, or the Administration Agreement, with our Advisor under which we have agreed to reimburse our Advisor for our allocable portion of overhead and other expenses incurred by our Advisor in performing its obligations under the Administration Agreement.</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shows our portfolio by type of investment as of March 31, 2020 and December 31, 2019:</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March 31, 2020</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gridSpan w:val="6"/>
          </w:tcPr>
          <w:p>
            <w:pPr>
              <w:jc w:val="right"/>
              <w:ind w:right="99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8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Fair</w:t>
            </w: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240" w:type="dxa"/>
            <w:vAlign w:val="bottom"/>
          </w:tcPr>
          <w:p>
            <w:pPr>
              <w:spacing w:after="0"/>
              <w:rPr>
                <w:sz w:val="10"/>
                <w:szCs w:val="10"/>
                <w:color w:val="auto"/>
              </w:rPr>
            </w:pPr>
          </w:p>
        </w:tc>
        <w:tc>
          <w:tcPr>
            <w:tcW w:w="7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5"/>
              </w:rPr>
              <w:t>Total</w:t>
            </w:r>
          </w:p>
        </w:tc>
        <w:tc>
          <w:tcPr>
            <w:tcW w:w="7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1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11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7"/>
              </w:rPr>
              <w:t>Portfolio</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14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gridSpan w:val="3"/>
          </w:tcPr>
          <w:p>
            <w:pPr>
              <w:ind w:left="3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Debt investments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$ 307,557</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92.0 %</w:t>
            </w: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288,355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Warrants</w:t>
            </w:r>
          </w:p>
        </w:tc>
        <w:tc>
          <w:tcPr>
            <w:tcW w:w="82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6,374</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10,829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Equity</w:t>
            </w:r>
          </w:p>
        </w:tc>
        <w:tc>
          <w:tcPr>
            <w:tcW w:w="82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3,131</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 in HSLFI</w:t>
            </w: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16,944</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$ 334,506</w:t>
            </w:r>
          </w:p>
        </w:tc>
        <w:tc>
          <w:tcPr>
            <w:tcW w:w="1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319,551</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The following table shows total portfolio investment activity as of and for the three months ended March 31, 2020 and 2019:</w:t>
      </w:r>
    </w:p>
    <w:p>
      <w:pPr>
        <w:spacing w:after="0" w:line="175" w:lineRule="exact"/>
        <w:rPr>
          <w:sz w:val="20"/>
          <w:szCs w:val="20"/>
          <w:color w:val="auto"/>
        </w:rPr>
      </w:pPr>
    </w:p>
    <w:p>
      <w:pPr>
        <w:jc w:val="center"/>
        <w:ind w:left="6480"/>
        <w:spacing w:after="0"/>
        <w:rPr>
          <w:sz w:val="20"/>
          <w:szCs w:val="20"/>
          <w:color w:val="auto"/>
        </w:rPr>
      </w:pPr>
      <w:r>
        <w:rPr>
          <w:rFonts w:ascii="Arial" w:cs="Arial" w:eastAsia="Arial" w:hAnsi="Arial"/>
          <w:sz w:val="14"/>
          <w:szCs w:val="14"/>
          <w:b w:val="1"/>
          <w:bCs w:val="1"/>
          <w:color w:val="auto"/>
        </w:rPr>
        <w:t>For the three months ended</w:t>
      </w:r>
    </w:p>
    <w:p>
      <w:pPr>
        <w:jc w:val="center"/>
        <w:ind w:left="64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5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r>
      <w:tr>
        <w:trPr>
          <w:trHeight w:val="142"/>
        </w:trPr>
        <w:tc>
          <w:tcPr>
            <w:tcW w:w="5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6"/>
          </w:tcPr>
          <w:p>
            <w:pPr>
              <w:ind w:left="48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Beginning portfolio</w:t>
            </w:r>
          </w:p>
        </w:tc>
        <w:tc>
          <w:tcPr>
            <w:tcW w:w="16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319,551</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248,441</w:t>
            </w:r>
          </w:p>
        </w:tc>
        <w:tc>
          <w:tcPr>
            <w:tcW w:w="2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New debt investments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50,646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38,082</w:t>
            </w:r>
          </w:p>
        </w:tc>
        <w:tc>
          <w:tcPr>
            <w:tcW w:w="2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received on investments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(4,523)</w:t>
            </w:r>
          </w:p>
        </w:tc>
        <w:tc>
          <w:tcPr>
            <w:tcW w:w="2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Early pay-offs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(14,090)</w:t>
            </w:r>
          </w:p>
        </w:tc>
        <w:tc>
          <w:tcPr>
            <w:tcW w:w="2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Accretion of debt investment fees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2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New debt investment fees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(538)</w:t>
            </w:r>
          </w:p>
        </w:tc>
        <w:tc>
          <w:tcPr>
            <w:tcW w:w="2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investments</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Dividend income from controlled affiliate investment</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w:t>
            </w:r>
          </w:p>
        </w:tc>
        <w:tc>
          <w:tcPr>
            <w:tcW w:w="2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from controlled affiliate investment</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2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3,492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1,151</w:t>
            </w:r>
          </w:p>
        </w:tc>
        <w:tc>
          <w:tcPr>
            <w:tcW w:w="200" w:type="dxa"/>
            <w:vAlign w:val="bottom"/>
          </w:tcPr>
          <w:p>
            <w:pPr>
              <w:spacing w:after="0"/>
              <w:rPr>
                <w:sz w:val="18"/>
                <w:szCs w:val="18"/>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14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200" w:type="dxa"/>
            <w:vAlign w:val="bottom"/>
            <w:shd w:val="clear" w:color="auto" w:fill="CCEEFF"/>
          </w:tcPr>
          <w:p>
            <w:pPr>
              <w:spacing w:after="0"/>
              <w:rPr>
                <w:sz w:val="18"/>
                <w:szCs w:val="18"/>
                <w:color w:val="auto"/>
              </w:rPr>
            </w:pPr>
          </w:p>
        </w:tc>
      </w:tr>
      <w:tr>
        <w:trPr>
          <w:trHeight w:val="209"/>
        </w:trPr>
        <w:tc>
          <w:tcPr>
            <w:tcW w:w="5260" w:type="dxa"/>
            <w:vAlign w:val="bottom"/>
          </w:tcPr>
          <w:p>
            <w:pPr>
              <w:spacing w:after="0"/>
              <w:rPr>
                <w:sz w:val="20"/>
                <w:szCs w:val="20"/>
                <w:color w:val="auto"/>
              </w:rPr>
            </w:pPr>
            <w:r>
              <w:rPr>
                <w:rFonts w:ascii="Arial" w:cs="Arial" w:eastAsia="Arial" w:hAnsi="Arial"/>
                <w:sz w:val="18"/>
                <w:szCs w:val="18"/>
                <w:color w:val="auto"/>
              </w:rPr>
              <w:t>Ending portfolio</w:t>
            </w:r>
          </w:p>
        </w:tc>
        <w:tc>
          <w:tcPr>
            <w:tcW w:w="14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334,506</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266,152</w:t>
            </w:r>
          </w:p>
        </w:tc>
        <w:tc>
          <w:tcPr>
            <w:tcW w:w="20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We receive payments on our debt investments based on scheduled amortization of the outstanding balances. In addition, we receive repayments of some of our debt investments prior to their scheduled maturity date. The frequency or volume of these repayments may fluctuate significantly from period to period.</w:t>
      </w:r>
    </w:p>
    <w:p>
      <w:pPr>
        <w:spacing w:after="0" w:line="18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shows our debt investments by industry sector as of March 31, 2020 and December 31, 2019:</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4"/>
          </w:tcPr>
          <w:p>
            <w:pPr>
              <w:jc w:val="right"/>
              <w:ind w:right="670"/>
              <w:spacing w:after="0"/>
              <w:rPr>
                <w:sz w:val="20"/>
                <w:szCs w:val="20"/>
                <w:color w:val="auto"/>
              </w:rPr>
            </w:pPr>
            <w:r>
              <w:rPr>
                <w:rFonts w:ascii="Arial" w:cs="Arial" w:eastAsia="Arial" w:hAnsi="Arial"/>
                <w:sz w:val="14"/>
                <w:szCs w:val="14"/>
                <w:b w:val="1"/>
                <w:bCs w:val="1"/>
                <w:color w:val="auto"/>
              </w:rPr>
              <w:t>March 31, 2020</w:t>
            </w:r>
          </w:p>
        </w:tc>
        <w:tc>
          <w:tcPr>
            <w:tcW w:w="120" w:type="dxa"/>
            <w:vAlign w:val="bottom"/>
          </w:tcPr>
          <w:p>
            <w:pPr>
              <w:spacing w:after="0"/>
              <w:rPr>
                <w:sz w:val="14"/>
                <w:szCs w:val="14"/>
                <w:color w:val="auto"/>
              </w:rPr>
            </w:pPr>
          </w:p>
        </w:tc>
        <w:tc>
          <w:tcPr>
            <w:tcW w:w="2040" w:type="dxa"/>
            <w:vAlign w:val="bottom"/>
            <w:gridSpan w:val="4"/>
          </w:tcPr>
          <w:p>
            <w:pPr>
              <w:jc w:val="right"/>
              <w:ind w:right="510"/>
              <w:spacing w:after="0"/>
              <w:rPr>
                <w:sz w:val="20"/>
                <w:szCs w:val="20"/>
                <w:color w:val="auto"/>
              </w:rPr>
            </w:pPr>
            <w:r>
              <w:rPr>
                <w:rFonts w:ascii="Arial" w:cs="Arial" w:eastAsia="Arial" w:hAnsi="Arial"/>
                <w:sz w:val="14"/>
                <w:szCs w:val="14"/>
                <w:b w:val="1"/>
                <w:bCs w:val="1"/>
                <w:color w:val="auto"/>
              </w:rPr>
              <w:t>December 31, 2019</w:t>
            </w:r>
          </w:p>
        </w:tc>
      </w:tr>
      <w:tr>
        <w:trPr>
          <w:trHeight w:val="119"/>
        </w:trPr>
        <w:tc>
          <w:tcPr>
            <w:tcW w:w="35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Debt</w:t>
            </w: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7"/>
              </w:rPr>
              <w:t>Percentage of</w:t>
            </w:r>
          </w:p>
        </w:tc>
        <w:tc>
          <w:tcPr>
            <w:tcW w:w="2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Debt</w:t>
            </w:r>
          </w:p>
        </w:tc>
        <w:tc>
          <w:tcPr>
            <w:tcW w:w="8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180" w:type="dxa"/>
            <w:vAlign w:val="bottom"/>
          </w:tcPr>
          <w:p>
            <w:pPr>
              <w:spacing w:after="0"/>
              <w:rPr>
                <w:sz w:val="10"/>
                <w:szCs w:val="10"/>
                <w:color w:val="auto"/>
              </w:rPr>
            </w:pPr>
          </w:p>
        </w:tc>
      </w:tr>
      <w:tr>
        <w:trPr>
          <w:trHeight w:val="148"/>
        </w:trPr>
        <w:tc>
          <w:tcPr>
            <w:tcW w:w="3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Investments at</w:t>
            </w:r>
          </w:p>
        </w:tc>
        <w:tc>
          <w:tcPr>
            <w:tcW w:w="114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5"/>
              </w:rPr>
              <w:t>Total</w:t>
            </w: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Investments at</w:t>
            </w:r>
          </w:p>
        </w:tc>
        <w:tc>
          <w:tcPr>
            <w:tcW w:w="1060" w:type="dxa"/>
            <w:vAlign w:val="bottom"/>
            <w:gridSpan w:val="2"/>
          </w:tcPr>
          <w:p>
            <w:pPr>
              <w:jc w:val="right"/>
              <w:ind w:right="370"/>
              <w:spacing w:after="0" w:line="149" w:lineRule="exact"/>
              <w:rPr>
                <w:sz w:val="20"/>
                <w:szCs w:val="20"/>
                <w:color w:val="auto"/>
              </w:rPr>
            </w:pPr>
            <w:r>
              <w:rPr>
                <w:rFonts w:ascii="Arial" w:cs="Arial" w:eastAsia="Arial" w:hAnsi="Arial"/>
                <w:sz w:val="14"/>
                <w:szCs w:val="14"/>
                <w:b w:val="1"/>
                <w:bCs w:val="1"/>
                <w:color w:val="auto"/>
              </w:rPr>
              <w:t>Total</w:t>
            </w:r>
          </w:p>
        </w:tc>
      </w:tr>
      <w:tr>
        <w:trPr>
          <w:trHeight w:val="171"/>
        </w:trPr>
        <w:tc>
          <w:tcPr>
            <w:tcW w:w="35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Fair Value</w:t>
            </w:r>
          </w:p>
        </w:tc>
        <w:tc>
          <w:tcPr>
            <w:tcW w:w="114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Portfolio</w:t>
            </w: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106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Portfolio</w:t>
            </w:r>
          </w:p>
        </w:tc>
      </w:tr>
      <w:tr>
        <w:trPr>
          <w:trHeight w:val="142"/>
        </w:trPr>
        <w:tc>
          <w:tcPr>
            <w:tcW w:w="35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5"/>
          </w:tcPr>
          <w:p>
            <w:pPr>
              <w:ind w:left="3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8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Life Science</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580" w:type="dxa"/>
            <w:vAlign w:val="bottom"/>
          </w:tcPr>
          <w:p>
            <w:pPr>
              <w:ind w:left="100"/>
              <w:spacing w:after="0"/>
              <w:rPr>
                <w:sz w:val="20"/>
                <w:szCs w:val="20"/>
                <w:color w:val="auto"/>
              </w:rPr>
            </w:pPr>
            <w:r>
              <w:rPr>
                <w:rFonts w:ascii="Arial" w:cs="Arial" w:eastAsia="Arial" w:hAnsi="Arial"/>
                <w:sz w:val="18"/>
                <w:szCs w:val="18"/>
                <w:color w:val="auto"/>
              </w:rPr>
              <w:t>Biotechnology</w:t>
            </w:r>
          </w:p>
        </w:tc>
        <w:tc>
          <w:tcPr>
            <w:tcW w:w="1060" w:type="dxa"/>
            <w:vAlign w:val="bottom"/>
            <w:gridSpan w:val="2"/>
          </w:tcPr>
          <w:p>
            <w:pPr>
              <w:ind w:left="94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57,391</w:t>
            </w:r>
          </w:p>
        </w:tc>
        <w:tc>
          <w:tcPr>
            <w:tcW w:w="14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18.7 % $</w:t>
            </w:r>
          </w:p>
        </w:tc>
        <w:tc>
          <w:tcPr>
            <w:tcW w:w="820" w:type="dxa"/>
            <w:vAlign w:val="bottom"/>
          </w:tcPr>
          <w:p>
            <w:pPr>
              <w:jc w:val="right"/>
              <w:spacing w:after="0"/>
              <w:rPr>
                <w:sz w:val="20"/>
                <w:szCs w:val="20"/>
                <w:color w:val="auto"/>
              </w:rPr>
            </w:pPr>
            <w:r>
              <w:rPr>
                <w:rFonts w:ascii="Arial" w:cs="Arial" w:eastAsia="Arial" w:hAnsi="Arial"/>
                <w:sz w:val="18"/>
                <w:szCs w:val="18"/>
                <w:color w:val="auto"/>
              </w:rPr>
              <w:t>41,789</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14.5 %</w:t>
            </w:r>
          </w:p>
        </w:tc>
      </w:tr>
      <w:tr>
        <w:trPr>
          <w:trHeight w:val="216"/>
        </w:trPr>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Drug Delivery</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r>
      <w:tr>
        <w:trPr>
          <w:trHeight w:val="216"/>
        </w:trPr>
        <w:tc>
          <w:tcPr>
            <w:tcW w:w="3580" w:type="dxa"/>
            <w:vAlign w:val="bottom"/>
          </w:tcPr>
          <w:p>
            <w:pPr>
              <w:ind w:left="100"/>
              <w:spacing w:after="0"/>
              <w:rPr>
                <w:sz w:val="20"/>
                <w:szCs w:val="20"/>
                <w:color w:val="auto"/>
              </w:rPr>
            </w:pPr>
            <w:r>
              <w:rPr>
                <w:rFonts w:ascii="Arial" w:cs="Arial" w:eastAsia="Arial" w:hAnsi="Arial"/>
                <w:sz w:val="18"/>
                <w:szCs w:val="18"/>
                <w:color w:val="auto"/>
              </w:rPr>
              <w:t>Medical Device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77,266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59,477</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20.6</w:t>
            </w:r>
          </w:p>
        </w:tc>
        <w:tc>
          <w:tcPr>
            <w:tcW w:w="18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580" w:type="dxa"/>
            <w:vAlign w:val="bottom"/>
          </w:tcPr>
          <w:p>
            <w:pPr>
              <w:ind w:left="100"/>
              <w:spacing w:after="0"/>
              <w:rPr>
                <w:sz w:val="20"/>
                <w:szCs w:val="20"/>
                <w:color w:val="auto"/>
              </w:rPr>
            </w:pPr>
            <w:r>
              <w:rPr>
                <w:rFonts w:ascii="Arial" w:cs="Arial" w:eastAsia="Arial" w:hAnsi="Arial"/>
                <w:sz w:val="18"/>
                <w:szCs w:val="18"/>
                <w:color w:val="auto"/>
              </w:rPr>
              <w:t>Communications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1,800</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spacing w:after="0"/>
              <w:rPr>
                <w:sz w:val="18"/>
                <w:szCs w:val="18"/>
                <w:color w:val="auto"/>
              </w:rPr>
            </w:pPr>
          </w:p>
        </w:tc>
      </w:tr>
      <w:tr>
        <w:trPr>
          <w:trHeight w:val="216"/>
        </w:trPr>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Consumer-Related</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42,779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80" w:type="dxa"/>
            <w:vAlign w:val="bottom"/>
            <w:shd w:val="clear" w:color="auto" w:fill="CCEEFF"/>
          </w:tcPr>
          <w:p>
            <w:pPr>
              <w:spacing w:after="0"/>
              <w:rPr>
                <w:sz w:val="18"/>
                <w:szCs w:val="18"/>
                <w:color w:val="auto"/>
              </w:rPr>
            </w:pPr>
          </w:p>
        </w:tc>
      </w:tr>
      <w:tr>
        <w:trPr>
          <w:trHeight w:val="216"/>
        </w:trPr>
        <w:tc>
          <w:tcPr>
            <w:tcW w:w="3580" w:type="dxa"/>
            <w:vAlign w:val="bottom"/>
          </w:tcPr>
          <w:p>
            <w:pPr>
              <w:ind w:left="100"/>
              <w:spacing w:after="0"/>
              <w:rPr>
                <w:sz w:val="20"/>
                <w:szCs w:val="20"/>
                <w:color w:val="auto"/>
              </w:rPr>
            </w:pPr>
            <w:r>
              <w:rPr>
                <w:rFonts w:ascii="Arial" w:cs="Arial" w:eastAsia="Arial" w:hAnsi="Arial"/>
                <w:sz w:val="18"/>
                <w:szCs w:val="18"/>
                <w:color w:val="auto"/>
              </w:rPr>
              <w:t>Data Storage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24,495</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24,452</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r>
      <w:tr>
        <w:trPr>
          <w:trHeight w:val="216"/>
        </w:trPr>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Internet and Media</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15,718</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22,504</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CEEFF"/>
          </w:tcPr>
          <w:p>
            <w:pPr>
              <w:spacing w:after="0"/>
              <w:rPr>
                <w:sz w:val="18"/>
                <w:szCs w:val="18"/>
                <w:color w:val="auto"/>
              </w:rPr>
            </w:pPr>
          </w:p>
        </w:tc>
      </w:tr>
      <w:tr>
        <w:trPr>
          <w:trHeight w:val="216"/>
        </w:trPr>
        <w:tc>
          <w:tcPr>
            <w:tcW w:w="3580" w:type="dxa"/>
            <w:vAlign w:val="bottom"/>
          </w:tcPr>
          <w:p>
            <w:pPr>
              <w:ind w:left="100"/>
              <w:spacing w:after="0"/>
              <w:rPr>
                <w:sz w:val="20"/>
                <w:szCs w:val="20"/>
                <w:color w:val="auto"/>
              </w:rPr>
            </w:pPr>
            <w:r>
              <w:rPr>
                <w:rFonts w:ascii="Arial" w:cs="Arial" w:eastAsia="Arial" w:hAnsi="Arial"/>
                <w:sz w:val="18"/>
                <w:szCs w:val="18"/>
                <w:color w:val="auto"/>
              </w:rPr>
              <w:t>Materials</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8,138</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8,410</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r>
      <w:tr>
        <w:trPr>
          <w:trHeight w:val="216"/>
        </w:trPr>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Power Management</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11,200</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11,207</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shd w:val="clear" w:color="auto" w:fill="CCEEFF"/>
          </w:tcPr>
          <w:p>
            <w:pPr>
              <w:spacing w:after="0"/>
              <w:rPr>
                <w:sz w:val="18"/>
                <w:szCs w:val="18"/>
                <w:color w:val="auto"/>
              </w:rPr>
            </w:pPr>
          </w:p>
        </w:tc>
      </w:tr>
      <w:tr>
        <w:trPr>
          <w:trHeight w:val="216"/>
        </w:trPr>
        <w:tc>
          <w:tcPr>
            <w:tcW w:w="3580" w:type="dxa"/>
            <w:vAlign w:val="bottom"/>
          </w:tcPr>
          <w:p>
            <w:pPr>
              <w:ind w:left="100"/>
              <w:spacing w:after="0"/>
              <w:rPr>
                <w:sz w:val="20"/>
                <w:szCs w:val="20"/>
                <w:color w:val="auto"/>
              </w:rPr>
            </w:pPr>
            <w:r>
              <w:rPr>
                <w:rFonts w:ascii="Arial" w:cs="Arial" w:eastAsia="Arial" w:hAnsi="Arial"/>
                <w:sz w:val="18"/>
                <w:szCs w:val="18"/>
                <w:color w:val="auto"/>
              </w:rPr>
              <w:t>Software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44,136</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51,069</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Healthcare Information and Services</w:t>
            </w: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580" w:type="dxa"/>
            <w:vAlign w:val="bottom"/>
          </w:tcPr>
          <w:p>
            <w:pPr>
              <w:ind w:left="100"/>
              <w:spacing w:after="0"/>
              <w:rPr>
                <w:sz w:val="20"/>
                <w:szCs w:val="20"/>
                <w:color w:val="auto"/>
              </w:rPr>
            </w:pPr>
            <w:r>
              <w:rPr>
                <w:rFonts w:ascii="Arial" w:cs="Arial" w:eastAsia="Arial" w:hAnsi="Arial"/>
                <w:sz w:val="18"/>
                <w:szCs w:val="18"/>
                <w:color w:val="auto"/>
              </w:rPr>
              <w:t>Other Healthcare</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9,782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9,771</w:t>
            </w: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r>
      <w:tr>
        <w:trPr>
          <w:trHeight w:val="216"/>
        </w:trPr>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Software</w:t>
            </w:r>
          </w:p>
        </w:tc>
        <w:tc>
          <w:tcPr>
            <w:tcW w:w="9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13,282</w:t>
            </w:r>
          </w:p>
        </w:tc>
        <w:tc>
          <w:tcPr>
            <w:tcW w:w="1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13,864</w:t>
            </w:r>
          </w:p>
        </w:tc>
        <w:tc>
          <w:tcPr>
            <w:tcW w:w="1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r>
      <w:tr>
        <w:trPr>
          <w:trHeight w:val="210"/>
        </w:trPr>
        <w:tc>
          <w:tcPr>
            <w:tcW w:w="358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307,557</w:t>
            </w:r>
          </w:p>
        </w:tc>
        <w:tc>
          <w:tcPr>
            <w:tcW w:w="14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288,355</w:t>
            </w:r>
          </w:p>
        </w:tc>
        <w:tc>
          <w:tcPr>
            <w:tcW w:w="1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35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The largest debt investments in our portfolio may vary from period to period as new debt investments are originated and existing debt investments are repaid. Our five largest debt investments represented 28% of total debt investments outstanding as of March 31, 2020 and December 31, 2019. No single debt investment represented more than 10% of our total debt investments as of March 31, 2020 and December 31, 2019.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Debt investment asset quality</w:t>
      </w:r>
    </w:p>
    <w:p>
      <w:pPr>
        <w:spacing w:after="0" w:line="229"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We use an internal credit rating system which rates each debt investment on a scale of 4 to 1, with 4 being the highest credit quality rating and 3 being the rating for a standard level of risk. A rating of 2 represents an increased level of risk and, while no loss is currently anticipated for a 2-rated debt investment, there is potential for future loss of principal. A rating of 1 represents a deteriorating credit quality and a high degree of risk of loss of principal. Our internal credit rating system is not a national credit rating system. As of March 31, 2020 and December 31, 2019, our debt investments had a weighted average credit rating of 2.9 and 3.1, respectively. The following table shows the classification of our debt investment portfolio by credit rating as of March 31, 2020 and December 31, 2019:</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March 31, 2020</w:t>
            </w:r>
          </w:p>
        </w:tc>
        <w:tc>
          <w:tcPr>
            <w:tcW w:w="8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Debt</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Number of</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Debt</w:t>
            </w: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Investments at</w:t>
            </w:r>
          </w:p>
        </w:tc>
        <w:tc>
          <w:tcPr>
            <w:tcW w:w="104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1"/>
              </w:rPr>
              <w:t>of Debt</w:t>
            </w: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Investments at</w:t>
            </w:r>
          </w:p>
        </w:tc>
        <w:tc>
          <w:tcPr>
            <w:tcW w:w="96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1"/>
              </w:rPr>
              <w:t>of Debt</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Fair Value</w:t>
            </w:r>
          </w:p>
        </w:tc>
        <w:tc>
          <w:tcPr>
            <w:tcW w:w="104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90"/>
              </w:rPr>
              <w:t>Investments</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90"/>
              </w:rPr>
              <w:t>Investments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Fair Value</w:t>
            </w:r>
          </w:p>
        </w:tc>
        <w:tc>
          <w:tcPr>
            <w:tcW w:w="96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2"/>
              </w:rPr>
              <w:t>Investments</w:t>
            </w: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840" w:type="dxa"/>
            <w:vAlign w:val="bottom"/>
            <w:tcBorders>
              <w:top w:val="single" w:sz="8" w:color="auto"/>
            </w:tcBorders>
            <w:gridSpan w:val="3"/>
          </w:tcPr>
          <w:p>
            <w:pPr>
              <w:jc w:val="right"/>
              <w:ind w:right="135"/>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Credit Rating</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jc w:val="right"/>
              <w:ind w:right="2570"/>
              <w:spacing w:after="0"/>
              <w:rPr>
                <w:sz w:val="20"/>
                <w:szCs w:val="20"/>
                <w:color w:val="auto"/>
              </w:rPr>
            </w:pPr>
            <w:r>
              <w:rPr>
                <w:rFonts w:ascii="Arial" w:cs="Arial" w:eastAsia="Arial" w:hAnsi="Arial"/>
                <w:sz w:val="18"/>
                <w:szCs w:val="18"/>
                <w:color w:val="auto"/>
              </w:rPr>
              <w:t>4</w:t>
            </w: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16,993</w:t>
            </w:r>
          </w:p>
        </w:tc>
        <w:tc>
          <w:tcPr>
            <w:tcW w:w="14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Arial" w:cs="Arial" w:eastAsia="Arial" w:hAnsi="Arial"/>
                <w:sz w:val="18"/>
                <w:szCs w:val="18"/>
                <w:color w:val="auto"/>
              </w:rPr>
              <w:t>5.5 %</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45,339</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15.7 %</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jc w:val="right"/>
              <w:ind w:right="2570"/>
              <w:spacing w:after="0"/>
              <w:rPr>
                <w:sz w:val="20"/>
                <w:szCs w:val="20"/>
                <w:color w:val="auto"/>
              </w:rPr>
            </w:pPr>
            <w:r>
              <w:rPr>
                <w:rFonts w:ascii="Arial" w:cs="Arial" w:eastAsia="Arial" w:hAnsi="Arial"/>
                <w:sz w:val="18"/>
                <w:szCs w:val="18"/>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232,037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216,128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jc w:val="right"/>
              <w:ind w:right="2570"/>
              <w:spacing w:after="0"/>
              <w:rPr>
                <w:sz w:val="20"/>
                <w:szCs w:val="20"/>
                <w:color w:val="auto"/>
              </w:rPr>
            </w:pPr>
            <w:r>
              <w:rPr>
                <w:rFonts w:ascii="Arial" w:cs="Arial" w:eastAsia="Arial" w:hAnsi="Arial"/>
                <w:sz w:val="18"/>
                <w:szCs w:val="18"/>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56,227</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24,888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jc w:val="right"/>
              <w:ind w:right="2570"/>
              <w:spacing w:after="0"/>
              <w:rPr>
                <w:sz w:val="20"/>
                <w:szCs w:val="20"/>
                <w:color w:val="auto"/>
              </w:rPr>
            </w:pPr>
            <w:r>
              <w:rPr>
                <w:rFonts w:ascii="Arial" w:cs="Arial" w:eastAsia="Arial" w:hAnsi="Arial"/>
                <w:sz w:val="18"/>
                <w:szCs w:val="18"/>
                <w:color w:val="auto"/>
              </w:rPr>
              <w:t>1</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60" w:type="dxa"/>
            <w:vAlign w:val="bottom"/>
          </w:tcPr>
          <w:p>
            <w:pPr>
              <w:ind w:left="20"/>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307,557</w:t>
            </w:r>
          </w:p>
        </w:tc>
        <w:tc>
          <w:tcPr>
            <w:tcW w:w="14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288,355</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As of March 31, 2020, there were two debt investments with an internal credit rating of 1, with a cost of $5.8 million and a fair value of $2.3 million. As of December 31, 2019, there were two debt investments with an internal credit rating of 1, with an aggregate cost of $5.7 million and an aggregate fair value of $2.0 million.</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Horizon Secured Loan Fund I LLC</w:t>
      </w:r>
    </w:p>
    <w:p>
      <w:pPr>
        <w:spacing w:after="0" w:line="22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On June 1, 2018, we and Arena Sunset SPV, LLC, or Arena, formed a joint venture, Horizon Secured Loan Fund I, or HSLFI, to make investments, either directly or indirectly through subsidiaries, primarily in the form of secured loans to development-stage companies in the technology, life science, healthcare information and services and sustainability industries. HSLFI was formed as a Delaware limited liability company and is not consolidated by either us or Arena for financial reporting purposes. Investments held by HSLFI are measured at fair value. As of March 31, 2020 and December 31, 2019, HSLFI had total assets of $36.5 million and $48.3 million, respectively. HSLFI’s portfolio consisted of debt investments in seven and eight portfolio companies as of March 31, 2020 and December 31, 2019, respectively. As of March 31, 2020 and December 31, 2019, the largest investment in a single portfolio company in the HSLFI’s portfolio in aggregate principal amount was $11.3 million and the five largest investments in portfolio companies in the HSLFI totaled $30.3 million. As of March 31, 2020 and December 31, 2019, HSLFI had no investments on non-accrual status. HSLFI invests in portfolio companies in the same industries in which we may directly invest.</w:t>
      </w:r>
    </w:p>
    <w:p>
      <w:pPr>
        <w:spacing w:after="0" w:line="172"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We invest cash or securities in portfolio companies in HSLFI in exchange for limited liability company equity interests in HSLFI. As of March 31, 2020 and December 31, 2019, we and Arena each owned 50.0% of the equity interests of HSLFI. We had an original commitment to fund $25.0 million of equity interests in HSLFI. As of March 31, 2020 and December 31, 2019, $9.8 million was unfunded. Our investment in HSLFI consisted of an equity contribution of $15.2 million as of March 31, 2020 and December 31, 2019. During the three months ended March 31, 2020, there were no distributions from HSLFI. For the three months endedMarch 31, 2019, HSLFI distributed $0.5 million.</w:t>
      </w:r>
    </w:p>
    <w:p>
      <w:pPr>
        <w:spacing w:after="0" w:line="17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We and Arena each appointed two members to HSLFI’s four-person board of managers. All material decisions with respect to HSLFI, including those involving its investment portfolio, require unanimous approval of a quorum of the board of managers. Quorum is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Horizon Funding I, LLC, or HFI, was formed as a Delaware limited liability company on May 9, 2018, with HSLFI as its sole equity member. HFI is a special purpose bankruptcy-remote entity and is a separate legal entity from HSLFI. Any assets conveyed to HFI are not available to creditors of HSLFI or any other entity other than HFI’s lenders.</w:t>
      </w:r>
    </w:p>
    <w:p>
      <w:pPr>
        <w:spacing w:after="0" w:line="149"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 addition, on June 1, 2018, HSLFI entered into a sale and servicing agreement with HFI, as Issuer, and us, as Servicer, pursuant to which HSLFI will sell or contribute to HFI certain secured loans made to certain portfolio companies. HFI entered into a Note Funding Agreement, or the NYL Facility, with several entities owned or affiliated with New York Life Insurance Company, or the Noteholders, for an aggregate purchase price of up to $100.0 million, with an accordion feature of up to $200.0 million at the mutual discretion and agreement of HSLFI and the Noteholders. The Note Funding Agreement’s investment period has ended and the loan thereunder is in rapid amortization. Any notes issued by HFI will be collateralized by all investments held by HFI and permit an advance rate of up to 67% of the aggregate principal amount of eligible debt investments. The interest rate on the notes issued under the NYL Facility is based on the three year USD mid-market swap rate plus a margin of between 2.75% and 3.25% depending on the rating of such notes at the time of issuance. There were $2.6 million in advances made by the Noteholders as of March 31, 2020 at an interest rate of 4.98%. There were $15.0 million in advances made by the Noteholders as of December 31, 2019 at an interest rate of 4.98%.</w:t>
      </w:r>
    </w:p>
    <w:p>
      <w:pPr>
        <w:spacing w:after="0" w:line="172"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following table shows a summary of HSLFI’s investment portfolio for the three months ended March 31, 2020 and the year ended December 31, 2019:</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00" w:type="dxa"/>
            <w:vAlign w:val="bottom"/>
            <w:gridSpan w:val="2"/>
          </w:tcPr>
          <w:p>
            <w:pPr>
              <w:jc w:val="center"/>
              <w:ind w:right="138"/>
              <w:spacing w:after="0"/>
              <w:rPr>
                <w:sz w:val="20"/>
                <w:szCs w:val="20"/>
                <w:color w:val="auto"/>
              </w:rPr>
            </w:pPr>
            <w:r>
              <w:rPr>
                <w:rFonts w:ascii="Arial" w:cs="Arial" w:eastAsia="Arial" w:hAnsi="Arial"/>
                <w:sz w:val="14"/>
                <w:szCs w:val="14"/>
                <w:b w:val="1"/>
                <w:bCs w:val="1"/>
                <w:color w:val="auto"/>
                <w:w w:val="93"/>
              </w:rPr>
              <w:t>For the three</w:t>
            </w: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4"/>
              </w:rPr>
              <w:t>For the year</w:t>
            </w:r>
          </w:p>
        </w:tc>
      </w:tr>
      <w:tr>
        <w:trPr>
          <w:trHeight w:val="148"/>
        </w:trPr>
        <w:tc>
          <w:tcPr>
            <w:tcW w:w="5620" w:type="dxa"/>
            <w:vAlign w:val="bottom"/>
          </w:tcPr>
          <w:p>
            <w:pPr>
              <w:spacing w:after="0"/>
              <w:rPr>
                <w:sz w:val="12"/>
                <w:szCs w:val="12"/>
                <w:color w:val="auto"/>
              </w:rPr>
            </w:pPr>
          </w:p>
        </w:tc>
        <w:tc>
          <w:tcPr>
            <w:tcW w:w="2080" w:type="dxa"/>
            <w:vAlign w:val="bottom"/>
            <w:gridSpan w:val="3"/>
          </w:tcPr>
          <w:p>
            <w:pPr>
              <w:jc w:val="center"/>
              <w:ind w:left="656"/>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24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ended</w:t>
            </w:r>
          </w:p>
        </w:tc>
      </w:tr>
      <w:tr>
        <w:trPr>
          <w:trHeight w:val="148"/>
        </w:trPr>
        <w:tc>
          <w:tcPr>
            <w:tcW w:w="5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5"/>
              </w:rPr>
              <w:t>March 31,</w:t>
            </w:r>
          </w:p>
        </w:tc>
        <w:tc>
          <w:tcPr>
            <w:tcW w:w="12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5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38"/>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4"/>
                <w:szCs w:val="14"/>
                <w:color w:val="auto"/>
              </w:rPr>
            </w:pPr>
          </w:p>
        </w:tc>
      </w:tr>
      <w:tr>
        <w:trPr>
          <w:trHeight w:val="142"/>
        </w:trPr>
        <w:tc>
          <w:tcPr>
            <w:tcW w:w="56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3"/>
          </w:tcPr>
          <w:p>
            <w:pPr>
              <w:jc w:val="right"/>
              <w:ind w:right="216"/>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2"/>
                <w:szCs w:val="12"/>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34,069</w:t>
            </w:r>
          </w:p>
        </w:tc>
        <w:tc>
          <w:tcPr>
            <w:tcW w:w="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34,829</w:t>
            </w:r>
          </w:p>
        </w:tc>
        <w:tc>
          <w:tcPr>
            <w:tcW w:w="24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line="216" w:lineRule="exact"/>
              <w:rPr>
                <w:sz w:val="20"/>
                <w:szCs w:val="20"/>
                <w:color w:val="auto"/>
              </w:rPr>
            </w:pPr>
            <w:r>
              <w:rPr>
                <w:rFonts w:ascii="Arial" w:cs="Arial" w:eastAsia="Arial" w:hAnsi="Arial"/>
                <w:sz w:val="17"/>
                <w:szCs w:val="17"/>
                <w:color w:val="auto"/>
              </w:rPr>
              <w:t>Dollar-weighted annualized yield on average debt investments</w:t>
            </w:r>
            <w:r>
              <w:rPr>
                <w:rFonts w:ascii="Arial" w:cs="Arial" w:eastAsia="Arial" w:hAnsi="Arial"/>
                <w:sz w:val="25"/>
                <w:szCs w:val="25"/>
                <w:color w:val="auto"/>
                <w:vertAlign w:val="superscript"/>
              </w:rPr>
              <w:t>(1)</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11.9 %</w:t>
            </w:r>
          </w:p>
        </w:tc>
        <w:tc>
          <w:tcPr>
            <w:tcW w:w="2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15.8 %</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in HSLFI</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8"/>
                <w:szCs w:val="18"/>
                <w:color w:val="auto"/>
              </w:rPr>
              <w:t>9</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Largest portfolio company investment at fair value</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8"/>
              <w:spacing w:after="0"/>
              <w:rPr>
                <w:sz w:val="20"/>
                <w:szCs w:val="20"/>
                <w:color w:val="auto"/>
              </w:rPr>
            </w:pPr>
            <w:r>
              <w:rPr>
                <w:rFonts w:ascii="Arial" w:cs="Arial" w:eastAsia="Arial" w:hAnsi="Arial"/>
                <w:sz w:val="18"/>
                <w:szCs w:val="18"/>
                <w:color w:val="auto"/>
              </w:rPr>
              <w:t>11,193</w:t>
            </w:r>
          </w:p>
        </w:tc>
        <w:tc>
          <w:tcPr>
            <w:tcW w:w="24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11,186</w:t>
            </w:r>
          </w:p>
        </w:tc>
        <w:tc>
          <w:tcPr>
            <w:tcW w:w="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67945</wp:posOffset>
            </wp:positionV>
            <wp:extent cx="14141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4" w:lineRule="exact"/>
        <w:rPr>
          <w:sz w:val="20"/>
          <w:szCs w:val="20"/>
          <w:color w:val="auto"/>
        </w:rPr>
      </w:pPr>
    </w:p>
    <w:p>
      <w:pPr>
        <w:jc w:val="both"/>
        <w:ind w:left="380" w:right="79" w:hanging="330"/>
        <w:spacing w:after="0" w:line="291" w:lineRule="auto"/>
        <w:tabs>
          <w:tab w:leader="none" w:pos="3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HSLFI calculates the yield on dollar-weighted average debt investments for any period measured as (1) total investment income during the period divided by (2) the average of the fair value of debt investments outstanding on</w:t>
      </w:r>
    </w:p>
    <w:p>
      <w:pPr>
        <w:jc w:val="both"/>
        <w:ind w:left="380" w:right="79" w:hanging="6"/>
        <w:spacing w:after="0" w:line="255" w:lineRule="auto"/>
        <w:tabs>
          <w:tab w:leader="none" w:pos="639"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last day of the calendar month immediately preceding the first day of the period and (b) the last day of each calendar month during the period. The yield on dollar-weighted average debt investments represents the portfolio yield and does not reflect HSLFI’s expenses.</w:t>
      </w:r>
    </w:p>
    <w:p>
      <w:pPr>
        <w:spacing w:after="0" w:line="190" w:lineRule="exact"/>
        <w:rPr>
          <w:sz w:val="20"/>
          <w:szCs w:val="20"/>
          <w:color w:val="auto"/>
        </w:rPr>
      </w:pPr>
    </w:p>
    <w:p>
      <w:pPr>
        <w:ind w:left="60" w:right="79" w:firstLine="324"/>
        <w:spacing w:after="0" w:line="277" w:lineRule="auto"/>
        <w:rPr>
          <w:sz w:val="20"/>
          <w:szCs w:val="20"/>
          <w:color w:val="auto"/>
        </w:rPr>
      </w:pPr>
      <w:r>
        <w:rPr>
          <w:rFonts w:ascii="Arial" w:cs="Arial" w:eastAsia="Arial" w:hAnsi="Arial"/>
          <w:sz w:val="18"/>
          <w:szCs w:val="18"/>
          <w:color w:val="auto"/>
        </w:rPr>
        <w:t>The following table shows HSLFI’s total portfolio investment activity as of and for the three months ended March 31, 2020 and 2019:</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For the three months ended</w:t>
            </w:r>
          </w:p>
        </w:tc>
        <w:tc>
          <w:tcPr>
            <w:tcW w:w="0" w:type="dxa"/>
            <w:vAlign w:val="bottom"/>
          </w:tcPr>
          <w:p>
            <w:pPr>
              <w:spacing w:after="0"/>
              <w:rPr>
                <w:sz w:val="1"/>
                <w:szCs w:val="1"/>
                <w:color w:val="auto"/>
              </w:rPr>
            </w:pPr>
          </w:p>
        </w:tc>
      </w:tr>
      <w:tr>
        <w:trPr>
          <w:trHeight w:val="148"/>
        </w:trPr>
        <w:tc>
          <w:tcPr>
            <w:tcW w:w="5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left="376"/>
              <w:spacing w:after="0" w:line="149" w:lineRule="exact"/>
              <w:rPr>
                <w:sz w:val="20"/>
                <w:szCs w:val="20"/>
                <w:color w:val="auto"/>
              </w:rPr>
            </w:pPr>
            <w:r>
              <w:rPr>
                <w:rFonts w:ascii="Arial" w:cs="Arial" w:eastAsia="Arial" w:hAnsi="Arial"/>
                <w:sz w:val="14"/>
                <w:szCs w:val="14"/>
                <w:b w:val="1"/>
                <w:bCs w:val="1"/>
                <w:color w:val="auto"/>
                <w:w w:val="95"/>
              </w:rPr>
              <w:t>March 31,</w:t>
            </w:r>
          </w:p>
        </w:tc>
        <w:tc>
          <w:tcPr>
            <w:tcW w:w="6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4"/>
          </w:tcPr>
          <w:p>
            <w:pPr>
              <w:jc w:val="center"/>
              <w:ind w:right="32"/>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Beginning portfolio</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34,829</w:t>
            </w:r>
          </w:p>
        </w:tc>
        <w:tc>
          <w:tcPr>
            <w:tcW w:w="4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24,734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New debt investments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Early pay-offs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Accretion of debt investment fees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New debt investment fees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Proceeds from sale of investments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investments</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unrealized (depreciation) appreciation on investments</w:t>
            </w:r>
          </w:p>
        </w:tc>
        <w:tc>
          <w:tcPr>
            <w:tcW w:w="1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portfolio</w:t>
            </w: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34,069</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28,962</w:t>
            </w:r>
          </w:p>
        </w:tc>
        <w:tc>
          <w:tcPr>
            <w:tcW w:w="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HSLFI’s investments as of March 31, 2020:</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740" w:type="dxa"/>
            <w:vAlign w:val="bottom"/>
            <w:gridSpan w:val="2"/>
          </w:tcPr>
          <w:p>
            <w:pPr>
              <w:ind w:left="120"/>
              <w:spacing w:after="0"/>
              <w:rPr>
                <w:sz w:val="20"/>
                <w:szCs w:val="20"/>
                <w:color w:val="auto"/>
              </w:rPr>
            </w:pPr>
            <w:r>
              <w:rPr>
                <w:rFonts w:ascii="Arial" w:cs="Arial" w:eastAsia="Arial" w:hAnsi="Arial"/>
                <w:sz w:val="13"/>
                <w:szCs w:val="13"/>
                <w:b w:val="1"/>
                <w:bCs w:val="1"/>
                <w:color w:val="auto"/>
              </w:rPr>
              <w:t>Principal</w:t>
            </w:r>
          </w:p>
        </w:tc>
        <w:tc>
          <w:tcPr>
            <w:tcW w:w="14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3"/>
                <w:szCs w:val="13"/>
                <w:b w:val="1"/>
                <w:bCs w:val="1"/>
                <w:color w:val="auto"/>
              </w:rPr>
              <w:t>Cost of</w:t>
            </w:r>
          </w:p>
        </w:tc>
        <w:tc>
          <w:tcPr>
            <w:tcW w:w="80" w:type="dxa"/>
            <w:vAlign w:val="bottom"/>
          </w:tcPr>
          <w:p>
            <w:pPr>
              <w:spacing w:after="0"/>
              <w:rPr>
                <w:sz w:val="13"/>
                <w:szCs w:val="13"/>
                <w:color w:val="auto"/>
              </w:rPr>
            </w:pPr>
          </w:p>
        </w:tc>
        <w:tc>
          <w:tcPr>
            <w:tcW w:w="400" w:type="dxa"/>
            <w:vAlign w:val="bottom"/>
          </w:tcPr>
          <w:p>
            <w:pPr>
              <w:jc w:val="right"/>
              <w:ind w:right="57"/>
              <w:spacing w:after="0"/>
              <w:rPr>
                <w:sz w:val="20"/>
                <w:szCs w:val="20"/>
                <w:color w:val="auto"/>
              </w:rPr>
            </w:pPr>
            <w:r>
              <w:rPr>
                <w:rFonts w:ascii="Arial" w:cs="Arial" w:eastAsia="Arial" w:hAnsi="Arial"/>
                <w:sz w:val="13"/>
                <w:szCs w:val="13"/>
                <w:b w:val="1"/>
                <w:bCs w:val="1"/>
                <w:color w:val="auto"/>
              </w:rPr>
              <w:t>Fair</w:t>
            </w:r>
          </w:p>
        </w:tc>
      </w:tr>
      <w:tr>
        <w:trPr>
          <w:trHeight w:val="153"/>
        </w:trPr>
        <w:tc>
          <w:tcPr>
            <w:tcW w:w="3440" w:type="dxa"/>
            <w:vAlign w:val="bottom"/>
            <w:tcBorders>
              <w:bottom w:val="single" w:sz="8" w:color="auto"/>
            </w:tcBorders>
          </w:tcPr>
          <w:p>
            <w:pPr>
              <w:ind w:left="20"/>
              <w:spacing w:after="0" w:line="154" w:lineRule="exact"/>
              <w:rPr>
                <w:sz w:val="20"/>
                <w:szCs w:val="20"/>
                <w:color w:val="auto"/>
              </w:rPr>
            </w:pPr>
            <w:r>
              <w:rPr>
                <w:rFonts w:ascii="Arial" w:cs="Arial" w:eastAsia="Arial" w:hAnsi="Arial"/>
                <w:sz w:val="12"/>
                <w:szCs w:val="12"/>
                <w:b w:val="1"/>
                <w:bCs w:val="1"/>
                <w:color w:val="auto"/>
              </w:rPr>
              <w:t xml:space="preserve">Portfolio Company </w:t>
            </w:r>
            <w:r>
              <w:rPr>
                <w:rFonts w:ascii="Arial" w:cs="Arial" w:eastAsia="Arial" w:hAnsi="Arial"/>
                <w:sz w:val="17"/>
                <w:szCs w:val="17"/>
                <w:b w:val="1"/>
                <w:bCs w:val="1"/>
                <w:color w:val="auto"/>
                <w:vertAlign w:val="superscript"/>
              </w:rPr>
              <w:t>(1)</w:t>
            </w:r>
          </w:p>
        </w:tc>
        <w:tc>
          <w:tcPr>
            <w:tcW w:w="104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Sector</w:t>
            </w:r>
          </w:p>
        </w:tc>
        <w:tc>
          <w:tcPr>
            <w:tcW w:w="2300" w:type="dxa"/>
            <w:vAlign w:val="bottom"/>
            <w:tcBorders>
              <w:bottom w:val="single" w:sz="8" w:color="auto"/>
            </w:tcBorders>
          </w:tcPr>
          <w:p>
            <w:pPr>
              <w:ind w:left="480"/>
              <w:spacing w:after="0" w:line="154" w:lineRule="exact"/>
              <w:rPr>
                <w:sz w:val="20"/>
                <w:szCs w:val="20"/>
                <w:color w:val="auto"/>
              </w:rPr>
            </w:pPr>
            <w:r>
              <w:rPr>
                <w:rFonts w:ascii="Arial" w:cs="Arial" w:eastAsia="Arial" w:hAnsi="Arial"/>
                <w:sz w:val="12"/>
                <w:szCs w:val="12"/>
                <w:b w:val="1"/>
                <w:bCs w:val="1"/>
                <w:color w:val="auto"/>
              </w:rPr>
              <w:t xml:space="preserve">Type of Investment </w:t>
            </w:r>
            <w:r>
              <w:rPr>
                <w:rFonts w:ascii="Arial" w:cs="Arial" w:eastAsia="Arial" w:hAnsi="Arial"/>
                <w:sz w:val="17"/>
                <w:szCs w:val="17"/>
                <w:b w:val="1"/>
                <w:bCs w:val="1"/>
                <w:color w:val="auto"/>
                <w:vertAlign w:val="superscript"/>
              </w:rPr>
              <w:t>(2)(3)(4)</w:t>
            </w:r>
          </w:p>
        </w:tc>
        <w:tc>
          <w:tcPr>
            <w:tcW w:w="74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3"/>
                <w:szCs w:val="13"/>
                <w:b w:val="1"/>
                <w:bCs w:val="1"/>
                <w:color w:val="auto"/>
              </w:rPr>
              <w:t>Amount</w:t>
            </w:r>
          </w:p>
        </w:tc>
        <w:tc>
          <w:tcPr>
            <w:tcW w:w="900" w:type="dxa"/>
            <w:vAlign w:val="bottom"/>
            <w:tcBorders>
              <w:bottom w:val="single" w:sz="8" w:color="auto"/>
            </w:tcBorders>
            <w:gridSpan w:val="3"/>
          </w:tcPr>
          <w:p>
            <w:pPr>
              <w:ind w:left="20"/>
              <w:spacing w:after="0" w:line="154" w:lineRule="exact"/>
              <w:rPr>
                <w:sz w:val="20"/>
                <w:szCs w:val="20"/>
                <w:color w:val="auto"/>
              </w:rPr>
            </w:pPr>
            <w:r>
              <w:rPr>
                <w:rFonts w:ascii="Arial" w:cs="Arial" w:eastAsia="Arial" w:hAnsi="Arial"/>
                <w:sz w:val="12"/>
                <w:szCs w:val="12"/>
                <w:b w:val="1"/>
                <w:bCs w:val="1"/>
                <w:color w:val="auto"/>
              </w:rPr>
              <w:t>Investments</w:t>
            </w:r>
            <w:r>
              <w:rPr>
                <w:rFonts w:ascii="Arial" w:cs="Arial" w:eastAsia="Arial" w:hAnsi="Arial"/>
                <w:sz w:val="17"/>
                <w:szCs w:val="17"/>
                <w:b w:val="1"/>
                <w:bCs w:val="1"/>
                <w:color w:val="auto"/>
                <w:vertAlign w:val="superscript"/>
              </w:rPr>
              <w:t>(5)</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86"/>
              </w:rPr>
              <w:t>Value</w:t>
            </w:r>
          </w:p>
        </w:tc>
      </w:tr>
      <w:tr>
        <w:trPr>
          <w:trHeight w:val="128"/>
        </w:trPr>
        <w:tc>
          <w:tcPr>
            <w:tcW w:w="3440" w:type="dxa"/>
            <w:vAlign w:val="bottom"/>
          </w:tcPr>
          <w:p>
            <w:pPr>
              <w:spacing w:after="0"/>
              <w:rPr>
                <w:sz w:val="11"/>
                <w:szCs w:val="11"/>
                <w:color w:val="auto"/>
              </w:rPr>
            </w:pPr>
          </w:p>
        </w:tc>
        <w:tc>
          <w:tcPr>
            <w:tcW w:w="3340" w:type="dxa"/>
            <w:vAlign w:val="bottom"/>
            <w:gridSpan w:val="2"/>
          </w:tcPr>
          <w:p>
            <w:pPr>
              <w:ind w:left="420"/>
              <w:spacing w:after="0" w:line="129" w:lineRule="exact"/>
              <w:rPr>
                <w:sz w:val="20"/>
                <w:szCs w:val="20"/>
                <w:color w:val="auto"/>
              </w:rPr>
            </w:pPr>
            <w:r>
              <w:rPr>
                <w:rFonts w:ascii="Arial" w:cs="Arial" w:eastAsia="Arial" w:hAnsi="Arial"/>
                <w:sz w:val="13"/>
                <w:szCs w:val="13"/>
                <w:b w:val="1"/>
                <w:bCs w:val="1"/>
                <w:color w:val="auto"/>
              </w:rPr>
              <w:t>(Dollars in thousands)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Debt Investments — Life science</w:t>
            </w:r>
          </w:p>
        </w:tc>
        <w:tc>
          <w:tcPr>
            <w:tcW w:w="104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r>
      <w:tr>
        <w:trPr>
          <w:trHeight w:val="121"/>
        </w:trPr>
        <w:tc>
          <w:tcPr>
            <w:tcW w:w="3440" w:type="dxa"/>
            <w:vAlign w:val="bottom"/>
          </w:tcPr>
          <w:p>
            <w:pPr>
              <w:ind w:left="20"/>
              <w:spacing w:after="0" w:line="121" w:lineRule="exact"/>
              <w:rPr>
                <w:sz w:val="20"/>
                <w:szCs w:val="20"/>
                <w:color w:val="auto"/>
              </w:rPr>
            </w:pPr>
            <w:r>
              <w:rPr>
                <w:rFonts w:ascii="Arial" w:cs="Arial" w:eastAsia="Arial" w:hAnsi="Arial"/>
                <w:sz w:val="13"/>
                <w:szCs w:val="13"/>
                <w:color w:val="auto"/>
              </w:rPr>
              <w:t>Celsion Corporation (6)(7)(8)</w:t>
            </w:r>
          </w:p>
        </w:tc>
        <w:tc>
          <w:tcPr>
            <w:tcW w:w="1040" w:type="dxa"/>
            <w:vAlign w:val="bottom"/>
          </w:tcPr>
          <w:p>
            <w:pPr>
              <w:ind w:left="100"/>
              <w:spacing w:after="0" w:line="121" w:lineRule="exact"/>
              <w:rPr>
                <w:sz w:val="20"/>
                <w:szCs w:val="20"/>
                <w:color w:val="auto"/>
              </w:rPr>
            </w:pPr>
            <w:r>
              <w:rPr>
                <w:rFonts w:ascii="Arial" w:cs="Arial" w:eastAsia="Arial" w:hAnsi="Arial"/>
                <w:sz w:val="13"/>
                <w:szCs w:val="13"/>
                <w:color w:val="auto"/>
              </w:rPr>
              <w:t>Biotechnology</w:t>
            </w:r>
          </w:p>
        </w:tc>
        <w:tc>
          <w:tcPr>
            <w:tcW w:w="2300" w:type="dxa"/>
            <w:vAlign w:val="bottom"/>
          </w:tcPr>
          <w:p>
            <w:pPr>
              <w:ind w:left="60"/>
              <w:spacing w:after="0" w:line="121" w:lineRule="exact"/>
              <w:rPr>
                <w:sz w:val="20"/>
                <w:szCs w:val="20"/>
                <w:color w:val="auto"/>
              </w:rPr>
            </w:pPr>
            <w:r>
              <w:rPr>
                <w:rFonts w:ascii="Arial" w:cs="Arial" w:eastAsia="Arial" w:hAnsi="Arial"/>
                <w:sz w:val="13"/>
                <w:szCs w:val="13"/>
                <w:color w:val="auto"/>
                <w:w w:val="96"/>
              </w:rPr>
              <w:t>Term Loan (9.63% cash (Libor + 7.63%;</w:t>
            </w:r>
          </w:p>
        </w:tc>
        <w:tc>
          <w:tcPr>
            <w:tcW w:w="240" w:type="dxa"/>
            <w:vAlign w:val="bottom"/>
          </w:tcPr>
          <w:p>
            <w:pPr>
              <w:ind w:left="120"/>
              <w:spacing w:after="0" w:line="121" w:lineRule="exact"/>
              <w:rPr>
                <w:sz w:val="20"/>
                <w:szCs w:val="20"/>
                <w:color w:val="auto"/>
              </w:rPr>
            </w:pPr>
            <w:r>
              <w:rPr>
                <w:rFonts w:ascii="Arial" w:cs="Arial" w:eastAsia="Arial" w:hAnsi="Arial"/>
                <w:sz w:val="13"/>
                <w:szCs w:val="13"/>
                <w:color w:val="auto"/>
              </w:rPr>
              <w:t>$</w:t>
            </w:r>
          </w:p>
        </w:tc>
        <w:tc>
          <w:tcPr>
            <w:tcW w:w="500" w:type="dxa"/>
            <w:vAlign w:val="bottom"/>
          </w:tcPr>
          <w:p>
            <w:pPr>
              <w:jc w:val="right"/>
              <w:ind w:right="97"/>
              <w:spacing w:after="0" w:line="121" w:lineRule="exact"/>
              <w:rPr>
                <w:sz w:val="20"/>
                <w:szCs w:val="20"/>
                <w:color w:val="auto"/>
              </w:rPr>
            </w:pPr>
            <w:r>
              <w:rPr>
                <w:rFonts w:ascii="Arial" w:cs="Arial" w:eastAsia="Arial" w:hAnsi="Arial"/>
                <w:sz w:val="13"/>
                <w:szCs w:val="13"/>
                <w:color w:val="auto"/>
                <w:w w:val="98"/>
              </w:rPr>
              <w:t>2,500</w:t>
            </w:r>
          </w:p>
        </w:tc>
        <w:tc>
          <w:tcPr>
            <w:tcW w:w="140" w:type="dxa"/>
            <w:vAlign w:val="bottom"/>
          </w:tcPr>
          <w:p>
            <w:pPr>
              <w:ind w:left="20"/>
              <w:spacing w:after="0" w:line="121" w:lineRule="exact"/>
              <w:rPr>
                <w:sz w:val="20"/>
                <w:szCs w:val="20"/>
                <w:color w:val="auto"/>
              </w:rPr>
            </w:pPr>
            <w:r>
              <w:rPr>
                <w:rFonts w:ascii="Arial" w:cs="Arial" w:eastAsia="Arial" w:hAnsi="Arial"/>
                <w:sz w:val="13"/>
                <w:szCs w:val="13"/>
                <w:color w:val="auto"/>
              </w:rPr>
              <w:t>$</w:t>
            </w:r>
          </w:p>
        </w:tc>
        <w:tc>
          <w:tcPr>
            <w:tcW w:w="620" w:type="dxa"/>
            <w:vAlign w:val="bottom"/>
          </w:tcPr>
          <w:p>
            <w:pPr>
              <w:jc w:val="right"/>
              <w:spacing w:after="0" w:line="121" w:lineRule="exact"/>
              <w:rPr>
                <w:sz w:val="20"/>
                <w:szCs w:val="20"/>
                <w:color w:val="auto"/>
              </w:rPr>
            </w:pPr>
            <w:r>
              <w:rPr>
                <w:rFonts w:ascii="Arial" w:cs="Arial" w:eastAsia="Arial" w:hAnsi="Arial"/>
                <w:sz w:val="13"/>
                <w:szCs w:val="13"/>
                <w:color w:val="auto"/>
              </w:rPr>
              <w:t>2,468</w:t>
            </w:r>
          </w:p>
        </w:tc>
        <w:tc>
          <w:tcPr>
            <w:tcW w:w="14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line="121" w:lineRule="exact"/>
              <w:rPr>
                <w:sz w:val="20"/>
                <w:szCs w:val="20"/>
                <w:color w:val="auto"/>
              </w:rPr>
            </w:pPr>
            <w:r>
              <w:rPr>
                <w:rFonts w:ascii="Arial" w:cs="Arial" w:eastAsia="Arial" w:hAnsi="Arial"/>
                <w:sz w:val="13"/>
                <w:szCs w:val="13"/>
                <w:color w:val="auto"/>
              </w:rPr>
              <w:t>2,468</w:t>
            </w:r>
          </w:p>
        </w:tc>
      </w:tr>
      <w:tr>
        <w:trPr>
          <w:trHeight w:val="149"/>
        </w:trPr>
        <w:tc>
          <w:tcPr>
            <w:tcW w:w="3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00" w:type="dxa"/>
            <w:vAlign w:val="bottom"/>
          </w:tcPr>
          <w:p>
            <w:pPr>
              <w:ind w:left="60"/>
              <w:spacing w:after="0"/>
              <w:rPr>
                <w:sz w:val="20"/>
                <w:szCs w:val="20"/>
                <w:color w:val="auto"/>
              </w:rPr>
            </w:pPr>
            <w:r>
              <w:rPr>
                <w:rFonts w:ascii="Arial" w:cs="Arial" w:eastAsia="Arial" w:hAnsi="Arial"/>
                <w:sz w:val="13"/>
                <w:szCs w:val="13"/>
                <w:color w:val="auto"/>
                <w:w w:val="99"/>
              </w:rPr>
              <w:t>Floor 9.63%), 4.00% ETP, Due 7/1/22)</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21"/>
        </w:trPr>
        <w:tc>
          <w:tcPr>
            <w:tcW w:w="34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3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w w:val="96"/>
              </w:rPr>
              <w:t>Term Loan (9.63% cash (Libor + 7.63%;</w:t>
            </w: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w w:val="98"/>
              </w:rPr>
              <w:t>2,500</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2,468</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2,468</w:t>
            </w:r>
          </w:p>
        </w:tc>
      </w:tr>
      <w:tr>
        <w:trPr>
          <w:trHeight w:val="149"/>
        </w:trPr>
        <w:tc>
          <w:tcPr>
            <w:tcW w:w="34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Floor 9.63%), 4.00% ETP, Due 7/1/22)</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121"/>
        </w:trPr>
        <w:tc>
          <w:tcPr>
            <w:tcW w:w="3440" w:type="dxa"/>
            <w:vAlign w:val="bottom"/>
          </w:tcPr>
          <w:p>
            <w:pPr>
              <w:ind w:left="20"/>
              <w:spacing w:after="0" w:line="121" w:lineRule="exact"/>
              <w:rPr>
                <w:sz w:val="20"/>
                <w:szCs w:val="20"/>
                <w:color w:val="auto"/>
              </w:rPr>
            </w:pPr>
            <w:r>
              <w:rPr>
                <w:rFonts w:ascii="Arial" w:cs="Arial" w:eastAsia="Arial" w:hAnsi="Arial"/>
                <w:sz w:val="13"/>
                <w:szCs w:val="13"/>
                <w:color w:val="auto"/>
              </w:rPr>
              <w:t>Encore Dermatology, Inc. (6)(7)</w:t>
            </w:r>
          </w:p>
        </w:tc>
        <w:tc>
          <w:tcPr>
            <w:tcW w:w="1040" w:type="dxa"/>
            <w:vAlign w:val="bottom"/>
          </w:tcPr>
          <w:p>
            <w:pPr>
              <w:ind w:left="100"/>
              <w:spacing w:after="0" w:line="121" w:lineRule="exact"/>
              <w:rPr>
                <w:sz w:val="20"/>
                <w:szCs w:val="20"/>
                <w:color w:val="auto"/>
              </w:rPr>
            </w:pPr>
            <w:r>
              <w:rPr>
                <w:rFonts w:ascii="Arial" w:cs="Arial" w:eastAsia="Arial" w:hAnsi="Arial"/>
                <w:sz w:val="13"/>
                <w:szCs w:val="13"/>
                <w:color w:val="auto"/>
              </w:rPr>
              <w:t>Biotechnology</w:t>
            </w:r>
          </w:p>
        </w:tc>
        <w:tc>
          <w:tcPr>
            <w:tcW w:w="2300" w:type="dxa"/>
            <w:vAlign w:val="bottom"/>
          </w:tcPr>
          <w:p>
            <w:pPr>
              <w:ind w:left="60"/>
              <w:spacing w:after="0" w:line="121" w:lineRule="exact"/>
              <w:rPr>
                <w:sz w:val="20"/>
                <w:szCs w:val="20"/>
                <w:color w:val="auto"/>
              </w:rPr>
            </w:pPr>
            <w:r>
              <w:rPr>
                <w:rFonts w:ascii="Arial" w:cs="Arial" w:eastAsia="Arial" w:hAnsi="Arial"/>
                <w:sz w:val="13"/>
                <w:szCs w:val="13"/>
                <w:color w:val="auto"/>
                <w:w w:val="93"/>
              </w:rPr>
              <w:t>Term Loan (10.00% cash (Libor + 7.50%;</w:t>
            </w:r>
          </w:p>
        </w:tc>
        <w:tc>
          <w:tcPr>
            <w:tcW w:w="240" w:type="dxa"/>
            <w:vAlign w:val="bottom"/>
          </w:tcPr>
          <w:p>
            <w:pPr>
              <w:spacing w:after="0"/>
              <w:rPr>
                <w:sz w:val="10"/>
                <w:szCs w:val="10"/>
                <w:color w:val="auto"/>
              </w:rPr>
            </w:pPr>
          </w:p>
        </w:tc>
        <w:tc>
          <w:tcPr>
            <w:tcW w:w="500" w:type="dxa"/>
            <w:vAlign w:val="bottom"/>
          </w:tcPr>
          <w:p>
            <w:pPr>
              <w:jc w:val="right"/>
              <w:ind w:right="97"/>
              <w:spacing w:after="0" w:line="121" w:lineRule="exact"/>
              <w:rPr>
                <w:sz w:val="20"/>
                <w:szCs w:val="20"/>
                <w:color w:val="auto"/>
              </w:rPr>
            </w:pPr>
            <w:r>
              <w:rPr>
                <w:rFonts w:ascii="Arial" w:cs="Arial" w:eastAsia="Arial" w:hAnsi="Arial"/>
                <w:sz w:val="13"/>
                <w:szCs w:val="13"/>
                <w:color w:val="auto"/>
                <w:w w:val="98"/>
              </w:rPr>
              <w:t>5,000</w:t>
            </w:r>
          </w:p>
        </w:tc>
        <w:tc>
          <w:tcPr>
            <w:tcW w:w="14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3"/>
                <w:szCs w:val="13"/>
                <w:color w:val="auto"/>
              </w:rPr>
              <w:t>4,934</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3"/>
                <w:szCs w:val="13"/>
                <w:color w:val="auto"/>
              </w:rPr>
              <w:t>4,638</w:t>
            </w:r>
          </w:p>
        </w:tc>
      </w:tr>
      <w:tr>
        <w:trPr>
          <w:trHeight w:val="149"/>
        </w:trPr>
        <w:tc>
          <w:tcPr>
            <w:tcW w:w="3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00" w:type="dxa"/>
            <w:vAlign w:val="bottom"/>
          </w:tcPr>
          <w:p>
            <w:pPr>
              <w:ind w:left="60"/>
              <w:spacing w:after="0"/>
              <w:rPr>
                <w:sz w:val="20"/>
                <w:szCs w:val="20"/>
                <w:color w:val="auto"/>
              </w:rPr>
            </w:pPr>
            <w:r>
              <w:rPr>
                <w:rFonts w:ascii="Arial" w:cs="Arial" w:eastAsia="Arial" w:hAnsi="Arial"/>
                <w:sz w:val="13"/>
                <w:szCs w:val="13"/>
                <w:color w:val="auto"/>
                <w:w w:val="96"/>
              </w:rPr>
              <w:t>Floor 10.00%), 3.00% ETP, Due 4/1/23)</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21"/>
        </w:trPr>
        <w:tc>
          <w:tcPr>
            <w:tcW w:w="34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Mustang Bio, Inc. (6)(7)(8)</w:t>
            </w:r>
          </w:p>
        </w:tc>
        <w:tc>
          <w:tcPr>
            <w:tcW w:w="10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Biotechnology</w:t>
            </w:r>
          </w:p>
        </w:tc>
        <w:tc>
          <w:tcPr>
            <w:tcW w:w="23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w w:val="96"/>
              </w:rPr>
              <w:t>Term Loan (9.00% cash (Libor + 6.50%;</w:t>
            </w: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w w:val="98"/>
              </w:rPr>
              <w:t>5,000</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4,931</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4,931</w:t>
            </w:r>
          </w:p>
        </w:tc>
      </w:tr>
      <w:tr>
        <w:trPr>
          <w:trHeight w:val="149"/>
        </w:trPr>
        <w:tc>
          <w:tcPr>
            <w:tcW w:w="34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Floor 9.00%), 5.00% ETP, Due 10/1/22)</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r>
      <w:tr>
        <w:trPr>
          <w:trHeight w:val="128"/>
        </w:trPr>
        <w:tc>
          <w:tcPr>
            <w:tcW w:w="344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Debt Investments — Life science</w:t>
            </w:r>
          </w:p>
        </w:tc>
        <w:tc>
          <w:tcPr>
            <w:tcW w:w="1040" w:type="dxa"/>
            <w:vAlign w:val="bottom"/>
            <w:tcBorders>
              <w:bottom w:val="single" w:sz="8" w:color="CCEEFF"/>
            </w:tcBorders>
          </w:tcPr>
          <w:p>
            <w:pPr>
              <w:spacing w:after="0"/>
              <w:rPr>
                <w:sz w:val="11"/>
                <w:szCs w:val="11"/>
                <w:color w:val="auto"/>
              </w:rPr>
            </w:pPr>
          </w:p>
        </w:tc>
        <w:tc>
          <w:tcPr>
            <w:tcW w:w="23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14,801</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14,505</w:t>
            </w:r>
          </w:p>
        </w:tc>
      </w:tr>
      <w:tr>
        <w:trPr>
          <w:trHeight w:val="128"/>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Debt Investments — Technology</w:t>
            </w:r>
          </w:p>
        </w:tc>
        <w:tc>
          <w:tcPr>
            <w:tcW w:w="104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r>
      <w:tr>
        <w:trPr>
          <w:trHeight w:val="121"/>
        </w:trPr>
        <w:tc>
          <w:tcPr>
            <w:tcW w:w="3440" w:type="dxa"/>
            <w:vAlign w:val="bottom"/>
          </w:tcPr>
          <w:p>
            <w:pPr>
              <w:ind w:left="20"/>
              <w:spacing w:after="0" w:line="121" w:lineRule="exact"/>
              <w:rPr>
                <w:sz w:val="20"/>
                <w:szCs w:val="20"/>
                <w:color w:val="auto"/>
              </w:rPr>
            </w:pPr>
            <w:r>
              <w:rPr>
                <w:rFonts w:ascii="Arial" w:cs="Arial" w:eastAsia="Arial" w:hAnsi="Arial"/>
                <w:sz w:val="13"/>
                <w:szCs w:val="13"/>
                <w:color w:val="auto"/>
              </w:rPr>
              <w:t>New Signature US, Inc. (6)(7)(9)</w:t>
            </w:r>
          </w:p>
        </w:tc>
        <w:tc>
          <w:tcPr>
            <w:tcW w:w="1040" w:type="dxa"/>
            <w:vAlign w:val="bottom"/>
          </w:tcPr>
          <w:p>
            <w:pPr>
              <w:ind w:left="100"/>
              <w:spacing w:after="0" w:line="121" w:lineRule="exact"/>
              <w:rPr>
                <w:sz w:val="20"/>
                <w:szCs w:val="20"/>
                <w:color w:val="auto"/>
              </w:rPr>
            </w:pPr>
            <w:r>
              <w:rPr>
                <w:rFonts w:ascii="Arial" w:cs="Arial" w:eastAsia="Arial" w:hAnsi="Arial"/>
                <w:sz w:val="13"/>
                <w:szCs w:val="13"/>
                <w:color w:val="auto"/>
              </w:rPr>
              <w:t>Software</w:t>
            </w:r>
          </w:p>
        </w:tc>
        <w:tc>
          <w:tcPr>
            <w:tcW w:w="2300" w:type="dxa"/>
            <w:vAlign w:val="bottom"/>
          </w:tcPr>
          <w:p>
            <w:pPr>
              <w:ind w:left="60"/>
              <w:spacing w:after="0" w:line="121" w:lineRule="exact"/>
              <w:rPr>
                <w:sz w:val="20"/>
                <w:szCs w:val="20"/>
                <w:color w:val="auto"/>
              </w:rPr>
            </w:pPr>
            <w:r>
              <w:rPr>
                <w:rFonts w:ascii="Arial" w:cs="Arial" w:eastAsia="Arial" w:hAnsi="Arial"/>
                <w:sz w:val="13"/>
                <w:szCs w:val="13"/>
                <w:color w:val="auto"/>
                <w:w w:val="93"/>
              </w:rPr>
              <w:t>Term Loan (10.50% cash (Libor + 8.50%;</w:t>
            </w:r>
          </w:p>
        </w:tc>
        <w:tc>
          <w:tcPr>
            <w:tcW w:w="240" w:type="dxa"/>
            <w:vAlign w:val="bottom"/>
          </w:tcPr>
          <w:p>
            <w:pPr>
              <w:spacing w:after="0"/>
              <w:rPr>
                <w:sz w:val="10"/>
                <w:szCs w:val="10"/>
                <w:color w:val="auto"/>
              </w:rPr>
            </w:pPr>
          </w:p>
        </w:tc>
        <w:tc>
          <w:tcPr>
            <w:tcW w:w="500" w:type="dxa"/>
            <w:vAlign w:val="bottom"/>
          </w:tcPr>
          <w:p>
            <w:pPr>
              <w:jc w:val="right"/>
              <w:ind w:right="97"/>
              <w:spacing w:after="0" w:line="121" w:lineRule="exact"/>
              <w:rPr>
                <w:sz w:val="20"/>
                <w:szCs w:val="20"/>
                <w:color w:val="auto"/>
              </w:rPr>
            </w:pPr>
            <w:r>
              <w:rPr>
                <w:rFonts w:ascii="Arial" w:cs="Arial" w:eastAsia="Arial" w:hAnsi="Arial"/>
                <w:sz w:val="13"/>
                <w:szCs w:val="13"/>
                <w:color w:val="auto"/>
                <w:w w:val="98"/>
              </w:rPr>
              <w:t>8,250</w:t>
            </w:r>
          </w:p>
        </w:tc>
        <w:tc>
          <w:tcPr>
            <w:tcW w:w="14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3"/>
                <w:szCs w:val="13"/>
                <w:color w:val="auto"/>
              </w:rPr>
              <w:t>8,171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3"/>
                <w:szCs w:val="13"/>
                <w:color w:val="auto"/>
              </w:rPr>
              <w:t>8,171</w:t>
            </w:r>
          </w:p>
        </w:tc>
      </w:tr>
      <w:tr>
        <w:trPr>
          <w:trHeight w:val="149"/>
        </w:trPr>
        <w:tc>
          <w:tcPr>
            <w:tcW w:w="3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00" w:type="dxa"/>
            <w:vAlign w:val="bottom"/>
          </w:tcPr>
          <w:p>
            <w:pPr>
              <w:ind w:left="60"/>
              <w:spacing w:after="0"/>
              <w:rPr>
                <w:sz w:val="20"/>
                <w:szCs w:val="20"/>
                <w:color w:val="auto"/>
              </w:rPr>
            </w:pPr>
            <w:r>
              <w:rPr>
                <w:rFonts w:ascii="Arial" w:cs="Arial" w:eastAsia="Arial" w:hAnsi="Arial"/>
                <w:sz w:val="13"/>
                <w:szCs w:val="13"/>
                <w:color w:val="auto"/>
                <w:w w:val="96"/>
              </w:rPr>
              <w:t>Floor 10.50%), 3.50% ETP, Due 7/1/22)</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21"/>
        </w:trPr>
        <w:tc>
          <w:tcPr>
            <w:tcW w:w="344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23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w w:val="93"/>
              </w:rPr>
              <w:t>Term Loan (10.50% cash (Libor + 8.50%;</w:t>
            </w: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w w:val="98"/>
              </w:rPr>
              <w:t>3,000</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2,965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2,965</w:t>
            </w:r>
          </w:p>
        </w:tc>
      </w:tr>
      <w:tr>
        <w:trPr>
          <w:trHeight w:val="149"/>
        </w:trPr>
        <w:tc>
          <w:tcPr>
            <w:tcW w:w="34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6"/>
              </w:rPr>
              <w:t>Floor 10.50%), 3.50% ETP, Due 2/1/23)</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121"/>
        </w:trPr>
        <w:tc>
          <w:tcPr>
            <w:tcW w:w="3440" w:type="dxa"/>
            <w:vAlign w:val="bottom"/>
          </w:tcPr>
          <w:p>
            <w:pPr>
              <w:ind w:left="20"/>
              <w:spacing w:after="0" w:line="121" w:lineRule="exact"/>
              <w:rPr>
                <w:sz w:val="20"/>
                <w:szCs w:val="20"/>
                <w:color w:val="auto"/>
              </w:rPr>
            </w:pPr>
            <w:r>
              <w:rPr>
                <w:rFonts w:ascii="Arial" w:cs="Arial" w:eastAsia="Arial" w:hAnsi="Arial"/>
                <w:sz w:val="13"/>
                <w:szCs w:val="13"/>
                <w:color w:val="auto"/>
              </w:rPr>
              <w:t>OutboundEngine, Inc. (6)(7)</w:t>
            </w:r>
          </w:p>
        </w:tc>
        <w:tc>
          <w:tcPr>
            <w:tcW w:w="1040" w:type="dxa"/>
            <w:vAlign w:val="bottom"/>
          </w:tcPr>
          <w:p>
            <w:pPr>
              <w:ind w:left="100"/>
              <w:spacing w:after="0" w:line="121" w:lineRule="exact"/>
              <w:rPr>
                <w:sz w:val="20"/>
                <w:szCs w:val="20"/>
                <w:color w:val="auto"/>
              </w:rPr>
            </w:pPr>
            <w:r>
              <w:rPr>
                <w:rFonts w:ascii="Arial" w:cs="Arial" w:eastAsia="Arial" w:hAnsi="Arial"/>
                <w:sz w:val="13"/>
                <w:szCs w:val="13"/>
                <w:color w:val="auto"/>
              </w:rPr>
              <w:t>Software</w:t>
            </w:r>
          </w:p>
        </w:tc>
        <w:tc>
          <w:tcPr>
            <w:tcW w:w="2300" w:type="dxa"/>
            <w:vAlign w:val="bottom"/>
          </w:tcPr>
          <w:p>
            <w:pPr>
              <w:ind w:left="60"/>
              <w:spacing w:after="0" w:line="121" w:lineRule="exact"/>
              <w:rPr>
                <w:sz w:val="20"/>
                <w:szCs w:val="20"/>
                <w:color w:val="auto"/>
              </w:rPr>
            </w:pPr>
            <w:r>
              <w:rPr>
                <w:rFonts w:ascii="Arial" w:cs="Arial" w:eastAsia="Arial" w:hAnsi="Arial"/>
                <w:sz w:val="13"/>
                <w:szCs w:val="13"/>
                <w:color w:val="auto"/>
                <w:w w:val="93"/>
              </w:rPr>
              <w:t>Term Loan (11.15% cash (Libor + 8.40%;</w:t>
            </w:r>
          </w:p>
        </w:tc>
        <w:tc>
          <w:tcPr>
            <w:tcW w:w="240" w:type="dxa"/>
            <w:vAlign w:val="bottom"/>
          </w:tcPr>
          <w:p>
            <w:pPr>
              <w:spacing w:after="0"/>
              <w:rPr>
                <w:sz w:val="10"/>
                <w:szCs w:val="10"/>
                <w:color w:val="auto"/>
              </w:rPr>
            </w:pPr>
          </w:p>
        </w:tc>
        <w:tc>
          <w:tcPr>
            <w:tcW w:w="500" w:type="dxa"/>
            <w:vAlign w:val="bottom"/>
          </w:tcPr>
          <w:p>
            <w:pPr>
              <w:jc w:val="right"/>
              <w:ind w:right="97"/>
              <w:spacing w:after="0" w:line="121" w:lineRule="exact"/>
              <w:rPr>
                <w:sz w:val="20"/>
                <w:szCs w:val="20"/>
                <w:color w:val="auto"/>
              </w:rPr>
            </w:pPr>
            <w:r>
              <w:rPr>
                <w:rFonts w:ascii="Arial" w:cs="Arial" w:eastAsia="Arial" w:hAnsi="Arial"/>
                <w:sz w:val="13"/>
                <w:szCs w:val="13"/>
                <w:color w:val="auto"/>
              </w:rPr>
              <w:t>500</w:t>
            </w:r>
          </w:p>
        </w:tc>
        <w:tc>
          <w:tcPr>
            <w:tcW w:w="14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3"/>
                <w:szCs w:val="13"/>
                <w:color w:val="auto"/>
              </w:rPr>
              <w:t>491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3"/>
                <w:szCs w:val="13"/>
                <w:color w:val="auto"/>
              </w:rPr>
              <w:t>491</w:t>
            </w:r>
          </w:p>
        </w:tc>
      </w:tr>
      <w:tr>
        <w:trPr>
          <w:trHeight w:val="149"/>
        </w:trPr>
        <w:tc>
          <w:tcPr>
            <w:tcW w:w="34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300" w:type="dxa"/>
            <w:vAlign w:val="bottom"/>
          </w:tcPr>
          <w:p>
            <w:pPr>
              <w:ind w:left="60"/>
              <w:spacing w:after="0"/>
              <w:rPr>
                <w:sz w:val="20"/>
                <w:szCs w:val="20"/>
                <w:color w:val="auto"/>
              </w:rPr>
            </w:pPr>
            <w:r>
              <w:rPr>
                <w:rFonts w:ascii="Arial" w:cs="Arial" w:eastAsia="Arial" w:hAnsi="Arial"/>
                <w:sz w:val="13"/>
                <w:szCs w:val="13"/>
                <w:color w:val="auto"/>
                <w:w w:val="96"/>
              </w:rPr>
              <w:t>Floor 11.15%), 3.00% ETP, Due 7/1/23)</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21"/>
        </w:trPr>
        <w:tc>
          <w:tcPr>
            <w:tcW w:w="344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rPr>
              <w:t>Revinate, Inc. (6)(7)</w:t>
            </w:r>
          </w:p>
        </w:tc>
        <w:tc>
          <w:tcPr>
            <w:tcW w:w="104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Software</w:t>
            </w:r>
          </w:p>
        </w:tc>
        <w:tc>
          <w:tcPr>
            <w:tcW w:w="23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w w:val="96"/>
              </w:rPr>
              <w:t>Term Loan (9.50% cash (Libor + 7.00%;</w:t>
            </w:r>
          </w:p>
        </w:tc>
        <w:tc>
          <w:tcPr>
            <w:tcW w:w="240" w:type="dxa"/>
            <w:vAlign w:val="bottom"/>
            <w:shd w:val="clear" w:color="auto" w:fill="CCEEFF"/>
          </w:tcPr>
          <w:p>
            <w:pPr>
              <w:spacing w:after="0"/>
              <w:rPr>
                <w:sz w:val="10"/>
                <w:szCs w:val="10"/>
                <w:color w:val="auto"/>
              </w:rPr>
            </w:pPr>
          </w:p>
        </w:tc>
        <w:tc>
          <w:tcPr>
            <w:tcW w:w="50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w w:val="98"/>
              </w:rPr>
              <w:t>4,000</w:t>
            </w: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3,955</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3,955</w:t>
            </w:r>
          </w:p>
        </w:tc>
      </w:tr>
      <w:tr>
        <w:trPr>
          <w:trHeight w:val="149"/>
        </w:trPr>
        <w:tc>
          <w:tcPr>
            <w:tcW w:w="34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300" w:type="dxa"/>
            <w:vAlign w:val="bottom"/>
            <w:shd w:val="clear" w:color="auto" w:fill="CCEEFF"/>
          </w:tcPr>
          <w:p>
            <w:pPr>
              <w:ind w:left="60"/>
              <w:spacing w:after="0"/>
              <w:rPr>
                <w:sz w:val="20"/>
                <w:szCs w:val="20"/>
                <w:color w:val="auto"/>
              </w:rPr>
            </w:pPr>
            <w:r>
              <w:rPr>
                <w:rFonts w:ascii="Arial" w:cs="Arial" w:eastAsia="Arial" w:hAnsi="Arial"/>
                <w:sz w:val="13"/>
                <w:szCs w:val="13"/>
                <w:color w:val="auto"/>
                <w:w w:val="99"/>
              </w:rPr>
              <w:t>Floor 9.50%), 3.00% ETP, Due 6/1/23)</w:t>
            </w:r>
          </w:p>
        </w:tc>
        <w:tc>
          <w:tcPr>
            <w:tcW w:w="2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r>
      <w:tr>
        <w:trPr>
          <w:trHeight w:val="128"/>
        </w:trPr>
        <w:tc>
          <w:tcPr>
            <w:tcW w:w="344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Total Debt Investments — Technology</w:t>
            </w:r>
          </w:p>
        </w:tc>
        <w:tc>
          <w:tcPr>
            <w:tcW w:w="1040" w:type="dxa"/>
            <w:vAlign w:val="bottom"/>
            <w:tcBorders>
              <w:bottom w:val="single" w:sz="8" w:color="CCEEFF"/>
            </w:tcBorders>
          </w:tcPr>
          <w:p>
            <w:pPr>
              <w:spacing w:after="0"/>
              <w:rPr>
                <w:sz w:val="11"/>
                <w:szCs w:val="11"/>
                <w:color w:val="auto"/>
              </w:rPr>
            </w:pPr>
          </w:p>
        </w:tc>
        <w:tc>
          <w:tcPr>
            <w:tcW w:w="23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15,582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15,582</w:t>
            </w:r>
          </w:p>
        </w:tc>
      </w:tr>
      <w:tr>
        <w:trPr>
          <w:trHeight w:val="128"/>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w w:val="96"/>
              </w:rPr>
              <w:t>Debt Investments — Healthcare information and services</w:t>
            </w:r>
          </w:p>
        </w:tc>
        <w:tc>
          <w:tcPr>
            <w:tcW w:w="104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r>
      <w:tr>
        <w:trPr>
          <w:trHeight w:val="121"/>
        </w:trPr>
        <w:tc>
          <w:tcPr>
            <w:tcW w:w="3440" w:type="dxa"/>
            <w:vAlign w:val="bottom"/>
          </w:tcPr>
          <w:p>
            <w:pPr>
              <w:ind w:left="20"/>
              <w:spacing w:after="0" w:line="121" w:lineRule="exact"/>
              <w:rPr>
                <w:sz w:val="20"/>
                <w:szCs w:val="20"/>
                <w:color w:val="auto"/>
              </w:rPr>
            </w:pPr>
            <w:r>
              <w:rPr>
                <w:rFonts w:ascii="Arial" w:cs="Arial" w:eastAsia="Arial" w:hAnsi="Arial"/>
                <w:sz w:val="13"/>
                <w:szCs w:val="13"/>
                <w:color w:val="auto"/>
              </w:rPr>
              <w:t>HealthEdge Software, Inc. (6)(7)</w:t>
            </w:r>
          </w:p>
        </w:tc>
        <w:tc>
          <w:tcPr>
            <w:tcW w:w="1040" w:type="dxa"/>
            <w:vAlign w:val="bottom"/>
          </w:tcPr>
          <w:p>
            <w:pPr>
              <w:ind w:left="100"/>
              <w:spacing w:after="0" w:line="121" w:lineRule="exact"/>
              <w:rPr>
                <w:sz w:val="20"/>
                <w:szCs w:val="20"/>
                <w:color w:val="auto"/>
              </w:rPr>
            </w:pPr>
            <w:r>
              <w:rPr>
                <w:rFonts w:ascii="Arial" w:cs="Arial" w:eastAsia="Arial" w:hAnsi="Arial"/>
                <w:sz w:val="13"/>
                <w:szCs w:val="13"/>
                <w:color w:val="auto"/>
              </w:rPr>
              <w:t>Software</w:t>
            </w:r>
          </w:p>
        </w:tc>
        <w:tc>
          <w:tcPr>
            <w:tcW w:w="2300" w:type="dxa"/>
            <w:vAlign w:val="bottom"/>
          </w:tcPr>
          <w:p>
            <w:pPr>
              <w:ind w:left="60"/>
              <w:spacing w:after="0" w:line="121" w:lineRule="exact"/>
              <w:rPr>
                <w:sz w:val="20"/>
                <w:szCs w:val="20"/>
                <w:color w:val="auto"/>
              </w:rPr>
            </w:pPr>
            <w:r>
              <w:rPr>
                <w:rFonts w:ascii="Arial" w:cs="Arial" w:eastAsia="Arial" w:hAnsi="Arial"/>
                <w:sz w:val="13"/>
                <w:szCs w:val="13"/>
                <w:color w:val="auto"/>
                <w:w w:val="96"/>
              </w:rPr>
              <w:t>Term Loan (9.83% cash (Libor + 8.25%;</w:t>
            </w:r>
          </w:p>
        </w:tc>
        <w:tc>
          <w:tcPr>
            <w:tcW w:w="240" w:type="dxa"/>
            <w:vAlign w:val="bottom"/>
          </w:tcPr>
          <w:p>
            <w:pPr>
              <w:spacing w:after="0"/>
              <w:rPr>
                <w:sz w:val="10"/>
                <w:szCs w:val="10"/>
                <w:color w:val="auto"/>
              </w:rPr>
            </w:pPr>
          </w:p>
        </w:tc>
        <w:tc>
          <w:tcPr>
            <w:tcW w:w="500" w:type="dxa"/>
            <w:vAlign w:val="bottom"/>
          </w:tcPr>
          <w:p>
            <w:pPr>
              <w:jc w:val="right"/>
              <w:ind w:right="97"/>
              <w:spacing w:after="0" w:line="121" w:lineRule="exact"/>
              <w:rPr>
                <w:sz w:val="20"/>
                <w:szCs w:val="20"/>
                <w:color w:val="auto"/>
              </w:rPr>
            </w:pPr>
            <w:r>
              <w:rPr>
                <w:rFonts w:ascii="Arial" w:cs="Arial" w:eastAsia="Arial" w:hAnsi="Arial"/>
                <w:sz w:val="13"/>
                <w:szCs w:val="13"/>
                <w:color w:val="auto"/>
                <w:w w:val="98"/>
              </w:rPr>
              <w:t>3,750</w:t>
            </w:r>
          </w:p>
        </w:tc>
        <w:tc>
          <w:tcPr>
            <w:tcW w:w="140" w:type="dxa"/>
            <w:vAlign w:val="bottom"/>
          </w:tcPr>
          <w:p>
            <w:pPr>
              <w:spacing w:after="0"/>
              <w:rPr>
                <w:sz w:val="10"/>
                <w:szCs w:val="10"/>
                <w:color w:val="auto"/>
              </w:rPr>
            </w:pPr>
          </w:p>
        </w:tc>
        <w:tc>
          <w:tcPr>
            <w:tcW w:w="620" w:type="dxa"/>
            <w:vAlign w:val="bottom"/>
          </w:tcPr>
          <w:p>
            <w:pPr>
              <w:jc w:val="right"/>
              <w:spacing w:after="0" w:line="121" w:lineRule="exact"/>
              <w:rPr>
                <w:sz w:val="20"/>
                <w:szCs w:val="20"/>
                <w:color w:val="auto"/>
              </w:rPr>
            </w:pPr>
            <w:r>
              <w:rPr>
                <w:rFonts w:ascii="Arial" w:cs="Arial" w:eastAsia="Arial" w:hAnsi="Arial"/>
                <w:sz w:val="13"/>
                <w:szCs w:val="13"/>
                <w:color w:val="auto"/>
              </w:rPr>
              <w:t>3,712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jc w:val="right"/>
              <w:spacing w:after="0" w:line="121" w:lineRule="exact"/>
              <w:rPr>
                <w:sz w:val="20"/>
                <w:szCs w:val="20"/>
                <w:color w:val="auto"/>
              </w:rPr>
            </w:pPr>
            <w:r>
              <w:rPr>
                <w:rFonts w:ascii="Arial" w:cs="Arial" w:eastAsia="Arial" w:hAnsi="Arial"/>
                <w:sz w:val="13"/>
                <w:szCs w:val="13"/>
                <w:color w:val="auto"/>
              </w:rPr>
              <w:t>3,712</w:t>
            </w:r>
          </w:p>
        </w:tc>
      </w:tr>
      <w:tr>
        <w:trPr>
          <w:trHeight w:val="149"/>
        </w:trPr>
        <w:tc>
          <w:tcPr>
            <w:tcW w:w="344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300" w:type="dxa"/>
            <w:vAlign w:val="bottom"/>
            <w:tcBorders>
              <w:bottom w:val="single" w:sz="8" w:color="CCEEFF"/>
            </w:tcBorders>
          </w:tcPr>
          <w:p>
            <w:pPr>
              <w:ind w:left="60"/>
              <w:spacing w:after="0"/>
              <w:rPr>
                <w:sz w:val="20"/>
                <w:szCs w:val="20"/>
                <w:color w:val="auto"/>
              </w:rPr>
            </w:pPr>
            <w:r>
              <w:rPr>
                <w:rFonts w:ascii="Arial" w:cs="Arial" w:eastAsia="Arial" w:hAnsi="Arial"/>
                <w:sz w:val="13"/>
                <w:szCs w:val="13"/>
                <w:color w:val="auto"/>
                <w:w w:val="96"/>
              </w:rPr>
              <w:t>Floor 9.25%), 3.00% ETP, Due 10/1/23)</w:t>
            </w:r>
          </w:p>
        </w:tc>
        <w:tc>
          <w:tcPr>
            <w:tcW w:w="24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w w:val="94"/>
              </w:rPr>
              <w:t>Total Debt Investments — Healthcare information and services</w:t>
            </w:r>
          </w:p>
        </w:tc>
        <w:tc>
          <w:tcPr>
            <w:tcW w:w="104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3,712</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3,712</w:t>
            </w:r>
          </w:p>
        </w:tc>
      </w:tr>
      <w:tr>
        <w:trPr>
          <w:trHeight w:val="128"/>
        </w:trPr>
        <w:tc>
          <w:tcPr>
            <w:tcW w:w="344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b w:val="1"/>
                <w:bCs w:val="1"/>
                <w:color w:val="auto"/>
              </w:rPr>
              <w:t>Total Debt Investments</w:t>
            </w:r>
          </w:p>
        </w:tc>
        <w:tc>
          <w:tcPr>
            <w:tcW w:w="1040" w:type="dxa"/>
            <w:vAlign w:val="bottom"/>
            <w:tcBorders>
              <w:bottom w:val="single" w:sz="8" w:color="CCEEFF"/>
            </w:tcBorders>
          </w:tcPr>
          <w:p>
            <w:pPr>
              <w:spacing w:after="0"/>
              <w:rPr>
                <w:sz w:val="11"/>
                <w:szCs w:val="11"/>
                <w:color w:val="auto"/>
              </w:rPr>
            </w:pPr>
          </w:p>
        </w:tc>
        <w:tc>
          <w:tcPr>
            <w:tcW w:w="23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34,095</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w w:val="85"/>
              </w:rPr>
              <w:t>33,799</w:t>
            </w:r>
          </w:p>
        </w:tc>
      </w:tr>
      <w:tr>
        <w:trPr>
          <w:trHeight w:val="128"/>
        </w:trPr>
        <w:tc>
          <w:tcPr>
            <w:tcW w:w="34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r>
      <w:tr>
        <w:trPr>
          <w:trHeight w:val="135"/>
        </w:trPr>
        <w:tc>
          <w:tcPr>
            <w:tcW w:w="3440" w:type="dxa"/>
            <w:vAlign w:val="bottom"/>
          </w:tcPr>
          <w:p>
            <w:pPr>
              <w:ind w:left="20"/>
              <w:spacing w:after="0" w:line="135" w:lineRule="exact"/>
              <w:rPr>
                <w:sz w:val="20"/>
                <w:szCs w:val="20"/>
                <w:color w:val="auto"/>
              </w:rPr>
            </w:pPr>
            <w:r>
              <w:rPr>
                <w:rFonts w:ascii="Arial" w:cs="Arial" w:eastAsia="Arial" w:hAnsi="Arial"/>
                <w:sz w:val="13"/>
                <w:szCs w:val="13"/>
                <w:b w:val="1"/>
                <w:bCs w:val="1"/>
                <w:color w:val="auto"/>
              </w:rPr>
              <w:t>Warrant Investments — Life science</w:t>
            </w:r>
          </w:p>
        </w:tc>
        <w:tc>
          <w:tcPr>
            <w:tcW w:w="10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Celsion Corporation (6)(7)(8)</w:t>
            </w:r>
          </w:p>
        </w:tc>
        <w:tc>
          <w:tcPr>
            <w:tcW w:w="10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Biotechnology</w:t>
            </w:r>
          </w:p>
        </w:tc>
        <w:tc>
          <w:tcPr>
            <w:tcW w:w="23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95,057 Common Stock Warrants</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440" w:type="dxa"/>
            <w:vAlign w:val="bottom"/>
          </w:tcPr>
          <w:p>
            <w:pPr>
              <w:ind w:left="20"/>
              <w:spacing w:after="0" w:line="135" w:lineRule="exact"/>
              <w:rPr>
                <w:sz w:val="20"/>
                <w:szCs w:val="20"/>
                <w:color w:val="auto"/>
              </w:rPr>
            </w:pPr>
            <w:r>
              <w:rPr>
                <w:rFonts w:ascii="Arial" w:cs="Arial" w:eastAsia="Arial" w:hAnsi="Arial"/>
                <w:sz w:val="13"/>
                <w:szCs w:val="13"/>
                <w:color w:val="auto"/>
              </w:rPr>
              <w:t>Encore Dermatology, Inc. (6)(7)</w:t>
            </w:r>
          </w:p>
        </w:tc>
        <w:tc>
          <w:tcPr>
            <w:tcW w:w="1040" w:type="dxa"/>
            <w:vAlign w:val="bottom"/>
          </w:tcPr>
          <w:p>
            <w:pPr>
              <w:ind w:left="100"/>
              <w:spacing w:after="0" w:line="135" w:lineRule="exact"/>
              <w:rPr>
                <w:sz w:val="20"/>
                <w:szCs w:val="20"/>
                <w:color w:val="auto"/>
              </w:rPr>
            </w:pPr>
            <w:r>
              <w:rPr>
                <w:rFonts w:ascii="Arial" w:cs="Arial" w:eastAsia="Arial" w:hAnsi="Arial"/>
                <w:sz w:val="13"/>
                <w:szCs w:val="13"/>
                <w:color w:val="auto"/>
              </w:rPr>
              <w:t>Biotechnology</w:t>
            </w:r>
          </w:p>
        </w:tc>
        <w:tc>
          <w:tcPr>
            <w:tcW w:w="2300" w:type="dxa"/>
            <w:vAlign w:val="bottom"/>
          </w:tcPr>
          <w:p>
            <w:pPr>
              <w:ind w:left="60"/>
              <w:spacing w:after="0" w:line="135" w:lineRule="exact"/>
              <w:rPr>
                <w:sz w:val="20"/>
                <w:szCs w:val="20"/>
                <w:color w:val="auto"/>
              </w:rPr>
            </w:pPr>
            <w:r>
              <w:rPr>
                <w:rFonts w:ascii="Arial" w:cs="Arial" w:eastAsia="Arial" w:hAnsi="Arial"/>
                <w:sz w:val="13"/>
                <w:szCs w:val="13"/>
                <w:color w:val="auto"/>
              </w:rPr>
              <w:t>503,626 Preferred Stock Warrants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Mustang Bio, Inc. (6)(7)(8)</w:t>
            </w:r>
          </w:p>
        </w:tc>
        <w:tc>
          <w:tcPr>
            <w:tcW w:w="10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Biotechnology</w:t>
            </w:r>
          </w:p>
        </w:tc>
        <w:tc>
          <w:tcPr>
            <w:tcW w:w="23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72,046 Common Stock Warrants</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13</w:t>
            </w:r>
          </w:p>
        </w:tc>
      </w:tr>
      <w:tr>
        <w:trPr>
          <w:trHeight w:val="135"/>
        </w:trPr>
        <w:tc>
          <w:tcPr>
            <w:tcW w:w="344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CSA Medical, Inc. (6)(7)</w:t>
            </w:r>
          </w:p>
        </w:tc>
        <w:tc>
          <w:tcPr>
            <w:tcW w:w="104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Medical Device</w:t>
            </w:r>
          </w:p>
        </w:tc>
        <w:tc>
          <w:tcPr>
            <w:tcW w:w="2300" w:type="dxa"/>
            <w:vAlign w:val="bottom"/>
            <w:tcBorders>
              <w:bottom w:val="single" w:sz="8" w:color="CCEEFF"/>
            </w:tcBorders>
          </w:tcPr>
          <w:p>
            <w:pPr>
              <w:ind w:left="60"/>
              <w:spacing w:after="0" w:line="135" w:lineRule="exact"/>
              <w:rPr>
                <w:sz w:val="20"/>
                <w:szCs w:val="20"/>
                <w:color w:val="auto"/>
              </w:rPr>
            </w:pPr>
            <w:r>
              <w:rPr>
                <w:rFonts w:ascii="Arial" w:cs="Arial" w:eastAsia="Arial" w:hAnsi="Arial"/>
                <w:sz w:val="13"/>
                <w:szCs w:val="13"/>
                <w:color w:val="auto"/>
              </w:rPr>
              <w:t>17,751 Preferred Stock Warrants</w:t>
            </w:r>
          </w:p>
        </w:tc>
        <w:tc>
          <w:tcPr>
            <w:tcW w:w="24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w:t>
            </w:r>
          </w:p>
        </w:tc>
      </w:tr>
      <w:tr>
        <w:trPr>
          <w:trHeight w:val="128"/>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Warrant Investments — Life science</w:t>
            </w:r>
          </w:p>
        </w:tc>
        <w:tc>
          <w:tcPr>
            <w:tcW w:w="104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143</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w:t>
            </w:r>
          </w:p>
        </w:tc>
      </w:tr>
      <w:tr>
        <w:trPr>
          <w:trHeight w:val="128"/>
        </w:trPr>
        <w:tc>
          <w:tcPr>
            <w:tcW w:w="3440" w:type="dxa"/>
            <w:vAlign w:val="bottom"/>
          </w:tcPr>
          <w:p>
            <w:pPr>
              <w:ind w:left="20"/>
              <w:spacing w:after="0" w:line="129" w:lineRule="exact"/>
              <w:rPr>
                <w:sz w:val="20"/>
                <w:szCs w:val="20"/>
                <w:color w:val="auto"/>
              </w:rPr>
            </w:pPr>
            <w:r>
              <w:rPr>
                <w:rFonts w:ascii="Arial" w:cs="Arial" w:eastAsia="Arial" w:hAnsi="Arial"/>
                <w:sz w:val="13"/>
                <w:szCs w:val="13"/>
                <w:b w:val="1"/>
                <w:bCs w:val="1"/>
                <w:color w:val="auto"/>
              </w:rPr>
              <w:t>Warrant Investments — Technology</w:t>
            </w:r>
          </w:p>
        </w:tc>
        <w:tc>
          <w:tcPr>
            <w:tcW w:w="10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Intelepeer Holdings, Inc. (6)(7)</w:t>
            </w:r>
          </w:p>
        </w:tc>
        <w:tc>
          <w:tcPr>
            <w:tcW w:w="10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w w:val="94"/>
              </w:rPr>
              <w:t>Communications</w:t>
            </w:r>
          </w:p>
        </w:tc>
        <w:tc>
          <w:tcPr>
            <w:tcW w:w="23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2,081,934 Preferred Stock Warrants</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w:t>
            </w:r>
          </w:p>
        </w:tc>
      </w:tr>
      <w:tr>
        <w:trPr>
          <w:trHeight w:val="135"/>
        </w:trPr>
        <w:tc>
          <w:tcPr>
            <w:tcW w:w="3440" w:type="dxa"/>
            <w:vAlign w:val="bottom"/>
          </w:tcPr>
          <w:p>
            <w:pPr>
              <w:ind w:left="20"/>
              <w:spacing w:after="0" w:line="135" w:lineRule="exact"/>
              <w:rPr>
                <w:sz w:val="20"/>
                <w:szCs w:val="20"/>
                <w:color w:val="auto"/>
              </w:rPr>
            </w:pPr>
            <w:r>
              <w:rPr>
                <w:rFonts w:ascii="Arial" w:cs="Arial" w:eastAsia="Arial" w:hAnsi="Arial"/>
                <w:sz w:val="13"/>
                <w:szCs w:val="13"/>
                <w:color w:val="auto"/>
              </w:rPr>
              <w:t>BSI Platform Holdings, LLC (6)(7)(9)</w:t>
            </w:r>
          </w:p>
        </w:tc>
        <w:tc>
          <w:tcPr>
            <w:tcW w:w="1040" w:type="dxa"/>
            <w:vAlign w:val="bottom"/>
          </w:tcPr>
          <w:p>
            <w:pPr>
              <w:ind w:left="100"/>
              <w:spacing w:after="0" w:line="135" w:lineRule="exact"/>
              <w:rPr>
                <w:sz w:val="20"/>
                <w:szCs w:val="20"/>
                <w:color w:val="auto"/>
              </w:rPr>
            </w:pPr>
            <w:r>
              <w:rPr>
                <w:rFonts w:ascii="Arial" w:cs="Arial" w:eastAsia="Arial" w:hAnsi="Arial"/>
                <w:sz w:val="13"/>
                <w:szCs w:val="13"/>
                <w:color w:val="auto"/>
              </w:rPr>
              <w:t>Software</w:t>
            </w:r>
          </w:p>
        </w:tc>
        <w:tc>
          <w:tcPr>
            <w:tcW w:w="2300" w:type="dxa"/>
            <w:vAlign w:val="bottom"/>
          </w:tcPr>
          <w:p>
            <w:pPr>
              <w:ind w:left="60"/>
              <w:spacing w:after="0" w:line="135" w:lineRule="exact"/>
              <w:rPr>
                <w:sz w:val="20"/>
                <w:szCs w:val="20"/>
                <w:color w:val="auto"/>
              </w:rPr>
            </w:pPr>
            <w:r>
              <w:rPr>
                <w:rFonts w:ascii="Arial" w:cs="Arial" w:eastAsia="Arial" w:hAnsi="Arial"/>
                <w:sz w:val="13"/>
                <w:szCs w:val="13"/>
                <w:color w:val="auto"/>
              </w:rPr>
              <w:t>562,500 Preferred Stock Warrants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77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right"/>
              <w:spacing w:after="0" w:line="135" w:lineRule="exact"/>
              <w:rPr>
                <w:sz w:val="20"/>
                <w:szCs w:val="20"/>
                <w:color w:val="auto"/>
              </w:rPr>
            </w:pPr>
            <w:r>
              <w:rPr>
                <w:rFonts w:ascii="Arial" w:cs="Arial" w:eastAsia="Arial" w:hAnsi="Arial"/>
                <w:sz w:val="13"/>
                <w:szCs w:val="13"/>
                <w:color w:val="auto"/>
              </w:rPr>
              <w:t>57</w:t>
            </w:r>
          </w:p>
        </w:tc>
      </w:tr>
      <w:tr>
        <w:trPr>
          <w:trHeight w:val="135"/>
        </w:trPr>
        <w:tc>
          <w:tcPr>
            <w:tcW w:w="3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OutboundEngine, Inc. (6)(7)</w:t>
            </w:r>
          </w:p>
        </w:tc>
        <w:tc>
          <w:tcPr>
            <w:tcW w:w="10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Software</w:t>
            </w:r>
          </w:p>
        </w:tc>
        <w:tc>
          <w:tcPr>
            <w:tcW w:w="23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40,000 Preferred Stock Warrants</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r>
      <w:tr>
        <w:trPr>
          <w:trHeight w:val="135"/>
        </w:trPr>
        <w:tc>
          <w:tcPr>
            <w:tcW w:w="344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Revinate Inc. (6)(7)</w:t>
            </w:r>
          </w:p>
        </w:tc>
        <w:tc>
          <w:tcPr>
            <w:tcW w:w="1040" w:type="dxa"/>
            <w:vAlign w:val="bottom"/>
            <w:tcBorders>
              <w:bottom w:val="single" w:sz="8" w:color="CCEEFF"/>
            </w:tcBorders>
          </w:tcPr>
          <w:p>
            <w:pPr>
              <w:ind w:left="100"/>
              <w:spacing w:after="0" w:line="135" w:lineRule="exact"/>
              <w:rPr>
                <w:sz w:val="20"/>
                <w:szCs w:val="20"/>
                <w:color w:val="auto"/>
              </w:rPr>
            </w:pPr>
            <w:r>
              <w:rPr>
                <w:rFonts w:ascii="Arial" w:cs="Arial" w:eastAsia="Arial" w:hAnsi="Arial"/>
                <w:sz w:val="13"/>
                <w:szCs w:val="13"/>
                <w:color w:val="auto"/>
              </w:rPr>
              <w:t>Software</w:t>
            </w:r>
          </w:p>
        </w:tc>
        <w:tc>
          <w:tcPr>
            <w:tcW w:w="2300" w:type="dxa"/>
            <w:vAlign w:val="bottom"/>
            <w:tcBorders>
              <w:bottom w:val="single" w:sz="8" w:color="CCEEFF"/>
            </w:tcBorders>
          </w:tcPr>
          <w:p>
            <w:pPr>
              <w:ind w:left="60"/>
              <w:spacing w:after="0" w:line="135" w:lineRule="exact"/>
              <w:rPr>
                <w:sz w:val="20"/>
                <w:szCs w:val="20"/>
                <w:color w:val="auto"/>
              </w:rPr>
            </w:pPr>
            <w:r>
              <w:rPr>
                <w:rFonts w:ascii="Arial" w:cs="Arial" w:eastAsia="Arial" w:hAnsi="Arial"/>
                <w:sz w:val="13"/>
                <w:szCs w:val="13"/>
                <w:color w:val="auto"/>
              </w:rPr>
              <w:t>216,362 Preferred Stock Warrants</w:t>
            </w:r>
          </w:p>
        </w:tc>
        <w:tc>
          <w:tcPr>
            <w:tcW w:w="24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w:t>
            </w: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Warrant Investments — Technology</w:t>
            </w:r>
          </w:p>
        </w:tc>
        <w:tc>
          <w:tcPr>
            <w:tcW w:w="104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180</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145</w:t>
            </w:r>
          </w:p>
        </w:tc>
      </w:tr>
      <w:tr>
        <w:trPr>
          <w:trHeight w:val="128"/>
        </w:trPr>
        <w:tc>
          <w:tcPr>
            <w:tcW w:w="3440" w:type="dxa"/>
            <w:vAlign w:val="bottom"/>
          </w:tcPr>
          <w:p>
            <w:pPr>
              <w:ind w:left="20"/>
              <w:spacing w:after="0" w:line="129" w:lineRule="exact"/>
              <w:rPr>
                <w:sz w:val="20"/>
                <w:szCs w:val="20"/>
                <w:color w:val="auto"/>
              </w:rPr>
            </w:pPr>
            <w:r>
              <w:rPr>
                <w:rFonts w:ascii="Arial" w:cs="Arial" w:eastAsia="Arial" w:hAnsi="Arial"/>
                <w:sz w:val="13"/>
                <w:szCs w:val="13"/>
                <w:b w:val="1"/>
                <w:bCs w:val="1"/>
                <w:color w:val="auto"/>
                <w:w w:val="91"/>
              </w:rPr>
              <w:t>Warrant Investments — Healthcare information and services</w:t>
            </w:r>
          </w:p>
        </w:tc>
        <w:tc>
          <w:tcPr>
            <w:tcW w:w="104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35"/>
        </w:trPr>
        <w:tc>
          <w:tcPr>
            <w:tcW w:w="3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HealthEdge Software, Inc. (6)(7)</w:t>
            </w:r>
          </w:p>
        </w:tc>
        <w:tc>
          <w:tcPr>
            <w:tcW w:w="104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Software</w:t>
            </w:r>
          </w:p>
        </w:tc>
        <w:tc>
          <w:tcPr>
            <w:tcW w:w="23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47,418 Preferred Stock Warrants</w:t>
            </w: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110</w:t>
            </w:r>
          </w:p>
        </w:tc>
      </w:tr>
      <w:tr>
        <w:trPr>
          <w:trHeight w:val="128"/>
        </w:trPr>
        <w:tc>
          <w:tcPr>
            <w:tcW w:w="344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w w:val="89"/>
              </w:rPr>
              <w:t>Total Warrant Investments — Healthcare information and services</w:t>
            </w:r>
          </w:p>
        </w:tc>
        <w:tc>
          <w:tcPr>
            <w:tcW w:w="1040" w:type="dxa"/>
            <w:vAlign w:val="bottom"/>
            <w:tcBorders>
              <w:bottom w:val="single" w:sz="8" w:color="CCEEFF"/>
            </w:tcBorders>
          </w:tcPr>
          <w:p>
            <w:pPr>
              <w:spacing w:after="0"/>
              <w:rPr>
                <w:sz w:val="11"/>
                <w:szCs w:val="11"/>
                <w:color w:val="auto"/>
              </w:rPr>
            </w:pPr>
          </w:p>
        </w:tc>
        <w:tc>
          <w:tcPr>
            <w:tcW w:w="23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110</w:t>
            </w: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Warrant Investments</w:t>
            </w:r>
          </w:p>
        </w:tc>
        <w:tc>
          <w:tcPr>
            <w:tcW w:w="104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339</w:t>
            </w:r>
          </w:p>
        </w:tc>
        <w:tc>
          <w:tcPr>
            <w:tcW w:w="140" w:type="dxa"/>
            <w:vAlign w:val="bottom"/>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270</w:t>
            </w:r>
          </w:p>
        </w:tc>
      </w:tr>
      <w:tr>
        <w:trPr>
          <w:trHeight w:val="128"/>
        </w:trPr>
        <w:tc>
          <w:tcPr>
            <w:tcW w:w="3440" w:type="dxa"/>
            <w:vAlign w:val="bottom"/>
            <w:tcBorders>
              <w:bottom w:val="single" w:sz="8" w:color="CCEEFF"/>
            </w:tcBorders>
          </w:tcPr>
          <w:p>
            <w:pPr>
              <w:spacing w:after="0"/>
              <w:rPr>
                <w:sz w:val="11"/>
                <w:szCs w:val="11"/>
                <w:color w:val="auto"/>
              </w:rPr>
            </w:pPr>
          </w:p>
        </w:tc>
        <w:tc>
          <w:tcPr>
            <w:tcW w:w="1040" w:type="dxa"/>
            <w:vAlign w:val="bottom"/>
            <w:tcBorders>
              <w:bottom w:val="single" w:sz="8" w:color="CCEEFF"/>
            </w:tcBorders>
          </w:tcPr>
          <w:p>
            <w:pPr>
              <w:spacing w:after="0"/>
              <w:rPr>
                <w:sz w:val="11"/>
                <w:szCs w:val="11"/>
                <w:color w:val="auto"/>
              </w:rPr>
            </w:pPr>
          </w:p>
        </w:tc>
        <w:tc>
          <w:tcPr>
            <w:tcW w:w="23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r>
      <w:tr>
        <w:trPr>
          <w:trHeight w:val="129"/>
        </w:trPr>
        <w:tc>
          <w:tcPr>
            <w:tcW w:w="344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Portfolio Investment Assets</w:t>
            </w:r>
          </w:p>
        </w:tc>
        <w:tc>
          <w:tcPr>
            <w:tcW w:w="1040" w:type="dxa"/>
            <w:vAlign w:val="bottom"/>
            <w:tcBorders>
              <w:bottom w:val="single" w:sz="8" w:color="CCEEFF"/>
            </w:tcBorders>
            <w:shd w:val="clear" w:color="auto" w:fill="CCEEFF"/>
          </w:tcPr>
          <w:p>
            <w:pPr>
              <w:spacing w:after="0"/>
              <w:rPr>
                <w:sz w:val="11"/>
                <w:szCs w:val="11"/>
                <w:color w:val="auto"/>
              </w:rPr>
            </w:pPr>
          </w:p>
        </w:tc>
        <w:tc>
          <w:tcPr>
            <w:tcW w:w="23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34,434</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5"/>
              </w:rPr>
              <w:t>34,069</w:t>
            </w:r>
          </w:p>
        </w:tc>
      </w:tr>
      <w:tr>
        <w:trPr>
          <w:trHeight w:val="20"/>
        </w:trPr>
        <w:tc>
          <w:tcPr>
            <w:tcW w:w="3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15"/>
        </w:trPr>
        <w:tc>
          <w:tcPr>
            <w:tcW w:w="34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r>
      <w:tr>
        <w:trPr>
          <w:trHeight w:val="135"/>
        </w:trPr>
        <w:tc>
          <w:tcPr>
            <w:tcW w:w="344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Short Term Investments — Unrestricted Investments</w:t>
            </w:r>
          </w:p>
        </w:tc>
        <w:tc>
          <w:tcPr>
            <w:tcW w:w="1040" w:type="dxa"/>
            <w:vAlign w:val="bottom"/>
            <w:shd w:val="clear" w:color="auto" w:fill="CCEEFF"/>
          </w:tcPr>
          <w:p>
            <w:pPr>
              <w:spacing w:after="0"/>
              <w:rPr>
                <w:sz w:val="11"/>
                <w:szCs w:val="11"/>
                <w:color w:val="auto"/>
              </w:rPr>
            </w:pPr>
          </w:p>
        </w:tc>
        <w:tc>
          <w:tcPr>
            <w:tcW w:w="2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r>
      <w:tr>
        <w:trPr>
          <w:trHeight w:val="135"/>
        </w:trPr>
        <w:tc>
          <w:tcPr>
            <w:tcW w:w="344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US Bank Money Market Deposit Account (6)</w:t>
            </w:r>
          </w:p>
        </w:tc>
        <w:tc>
          <w:tcPr>
            <w:tcW w:w="1040" w:type="dxa"/>
            <w:vAlign w:val="bottom"/>
            <w:tcBorders>
              <w:bottom w:val="single" w:sz="8" w:color="CCEEFF"/>
            </w:tcBorders>
          </w:tcPr>
          <w:p>
            <w:pPr>
              <w:spacing w:after="0"/>
              <w:rPr>
                <w:sz w:val="11"/>
                <w:szCs w:val="11"/>
                <w:color w:val="auto"/>
              </w:rPr>
            </w:pPr>
          </w:p>
        </w:tc>
        <w:tc>
          <w:tcPr>
            <w:tcW w:w="2300" w:type="dxa"/>
            <w:vAlign w:val="bottom"/>
            <w:tcBorders>
              <w:bottom w:val="single" w:sz="8" w:color="CCEEFF"/>
            </w:tcBorders>
          </w:tcPr>
          <w:p>
            <w:pPr>
              <w:spacing w:after="0"/>
              <w:rPr>
                <w:sz w:val="11"/>
                <w:szCs w:val="11"/>
                <w:color w:val="auto"/>
              </w:rPr>
            </w:pPr>
          </w:p>
        </w:tc>
        <w:tc>
          <w:tcPr>
            <w:tcW w:w="240" w:type="dxa"/>
            <w:vAlign w:val="bottom"/>
            <w:tcBorders>
              <w:bottom w:val="single" w:sz="8" w:color="CCEEFF"/>
            </w:tcBorders>
          </w:tcPr>
          <w:p>
            <w:pPr>
              <w:spacing w:after="0"/>
              <w:rPr>
                <w:sz w:val="11"/>
                <w:szCs w:val="11"/>
                <w:color w:val="auto"/>
              </w:rPr>
            </w:pPr>
          </w:p>
        </w:tc>
        <w:tc>
          <w:tcPr>
            <w:tcW w:w="5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ind w:left="20"/>
              <w:spacing w:after="0" w:line="135"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287</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287</w:t>
            </w:r>
          </w:p>
        </w:tc>
      </w:tr>
      <w:tr>
        <w:trPr>
          <w:trHeight w:val="128"/>
        </w:trPr>
        <w:tc>
          <w:tcPr>
            <w:tcW w:w="344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w w:val="94"/>
              </w:rPr>
              <w:t>Total Short Term Investments — Unrestricted Investments</w:t>
            </w:r>
          </w:p>
        </w:tc>
        <w:tc>
          <w:tcPr>
            <w:tcW w:w="1040" w:type="dxa"/>
            <w:vAlign w:val="bottom"/>
            <w:tcBorders>
              <w:bottom w:val="single" w:sz="8" w:color="CCEEFF"/>
            </w:tcBorders>
            <w:shd w:val="clear" w:color="auto" w:fill="CCEEFF"/>
          </w:tcPr>
          <w:p>
            <w:pPr>
              <w:spacing w:after="0"/>
              <w:rPr>
                <w:sz w:val="11"/>
                <w:szCs w:val="11"/>
                <w:color w:val="auto"/>
              </w:rPr>
            </w:pPr>
          </w:p>
        </w:tc>
        <w:tc>
          <w:tcPr>
            <w:tcW w:w="23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287</w:t>
            </w:r>
          </w:p>
        </w:tc>
        <w:tc>
          <w:tcPr>
            <w:tcW w:w="1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287</w:t>
            </w:r>
          </w:p>
        </w:tc>
      </w:tr>
      <w:tr>
        <w:trPr>
          <w:trHeight w:val="20"/>
        </w:trPr>
        <w:tc>
          <w:tcPr>
            <w:tcW w:w="3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214630</wp:posOffset>
            </wp:positionV>
            <wp:extent cx="141414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380" w:hanging="330"/>
        <w:spacing w:after="0"/>
        <w:tabs>
          <w:tab w:leader="none" w:pos="38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All investments of HSLFI are in entities which are organized under the laws of the United States and have a principal place of business in the United States.</w:t>
      </w:r>
    </w:p>
    <w:p>
      <w:pPr>
        <w:spacing w:after="0" w:line="226" w:lineRule="exact"/>
        <w:rPr>
          <w:rFonts w:ascii="Arial" w:cs="Arial" w:eastAsia="Arial" w:hAnsi="Arial"/>
          <w:sz w:val="12"/>
          <w:szCs w:val="12"/>
          <w:color w:val="auto"/>
        </w:rPr>
      </w:pPr>
    </w:p>
    <w:p>
      <w:pPr>
        <w:jc w:val="both"/>
        <w:ind w:left="380" w:right="79" w:hanging="330"/>
        <w:spacing w:after="0" w:line="247" w:lineRule="auto"/>
        <w:tabs>
          <w:tab w:leader="none" w:pos="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All interest is payable in cash due monthly in arrears, unless otherwise indicated, and applies only to HSLFI’s debt investments. Interest rate is the annual interest rate on the debt investment and does not include end-of-term payments, or ETPs, and any additional fees related to the investments, such as deferred interest, commitment fees or prepayment fees. Debt investments are at variable rates for the term of the debt investment, unless otherwise indicated. All debt investments based on the London InterBank Offered Rate, or LIBOR, are based on one-month LIBOR. For each debt investment, the current interest rate in effect as of March 31, 2020 is provided.</w:t>
      </w:r>
    </w:p>
    <w:p>
      <w:pPr>
        <w:spacing w:after="0" w:line="189" w:lineRule="exact"/>
        <w:rPr>
          <w:rFonts w:ascii="Arial" w:cs="Arial" w:eastAsia="Arial" w:hAnsi="Arial"/>
          <w:sz w:val="13"/>
          <w:szCs w:val="13"/>
          <w:color w:val="auto"/>
        </w:rPr>
      </w:pPr>
    </w:p>
    <w:p>
      <w:pPr>
        <w:jc w:val="both"/>
        <w:ind w:left="380" w:right="79" w:hanging="330"/>
        <w:spacing w:after="0" w:line="256" w:lineRule="auto"/>
        <w:tabs>
          <w:tab w:leader="none" w:pos="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83" w:lineRule="exact"/>
        <w:rPr>
          <w:rFonts w:ascii="Arial" w:cs="Arial" w:eastAsia="Arial" w:hAnsi="Arial"/>
          <w:sz w:val="13"/>
          <w:szCs w:val="13"/>
          <w:color w:val="auto"/>
        </w:rPr>
      </w:pPr>
    </w:p>
    <w:p>
      <w:pPr>
        <w:ind w:left="380" w:hanging="330"/>
        <w:spacing w:after="0"/>
        <w:tabs>
          <w:tab w:leader="none" w:pos="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Warrants are non-income producing.</w:t>
      </w:r>
    </w:p>
    <w:p>
      <w:pPr>
        <w:spacing w:after="0" w:line="215" w:lineRule="exact"/>
        <w:rPr>
          <w:rFonts w:ascii="Arial" w:cs="Arial" w:eastAsia="Arial" w:hAnsi="Arial"/>
          <w:sz w:val="13"/>
          <w:szCs w:val="13"/>
          <w:color w:val="auto"/>
        </w:rPr>
      </w:pPr>
    </w:p>
    <w:p>
      <w:pPr>
        <w:ind w:left="380" w:hanging="330"/>
        <w:spacing w:after="0"/>
        <w:tabs>
          <w:tab w:leader="none" w:pos="380" w:val="left"/>
        </w:tabs>
        <w:numPr>
          <w:ilvl w:val="0"/>
          <w:numId w:val="22"/>
        </w:numPr>
        <w:rPr>
          <w:rFonts w:ascii="Arial" w:cs="Arial" w:eastAsia="Arial" w:hAnsi="Arial"/>
          <w:sz w:val="13"/>
          <w:szCs w:val="13"/>
          <w:color w:val="auto"/>
        </w:rPr>
      </w:pPr>
      <w:r>
        <w:rPr>
          <w:rFonts w:ascii="Arial" w:cs="Arial" w:eastAsia="Arial" w:hAnsi="Arial"/>
          <w:sz w:val="13"/>
          <w:szCs w:val="13"/>
          <w:color w:val="auto"/>
        </w:rPr>
        <w:t>For debt investments, represents principal balance less unearned income.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80" w:hanging="330"/>
        <w:spacing w:after="0"/>
        <w:tabs>
          <w:tab w:leader="none" w:pos="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Has been pledged as collateral under the NYL Facility.</w:t>
      </w:r>
    </w:p>
    <w:p>
      <w:pPr>
        <w:spacing w:after="0" w:line="215" w:lineRule="exact"/>
        <w:rPr>
          <w:rFonts w:ascii="Arial" w:cs="Arial" w:eastAsia="Arial" w:hAnsi="Arial"/>
          <w:sz w:val="13"/>
          <w:szCs w:val="13"/>
          <w:color w:val="auto"/>
        </w:rPr>
      </w:pPr>
    </w:p>
    <w:p>
      <w:pPr>
        <w:ind w:left="380" w:hanging="330"/>
        <w:spacing w:after="0"/>
        <w:tabs>
          <w:tab w:leader="none" w:pos="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The fair value of the investment was valued using significant unobservable inputs.</w:t>
      </w:r>
    </w:p>
    <w:p>
      <w:pPr>
        <w:spacing w:after="0" w:line="215" w:lineRule="exact"/>
        <w:rPr>
          <w:rFonts w:ascii="Arial" w:cs="Arial" w:eastAsia="Arial" w:hAnsi="Arial"/>
          <w:sz w:val="13"/>
          <w:szCs w:val="13"/>
          <w:color w:val="auto"/>
        </w:rPr>
      </w:pPr>
    </w:p>
    <w:p>
      <w:pPr>
        <w:ind w:left="380" w:hanging="330"/>
        <w:spacing w:after="0"/>
        <w:tabs>
          <w:tab w:leader="none" w:pos="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Portfolio company is a public company.</w:t>
      </w:r>
    </w:p>
    <w:p>
      <w:pPr>
        <w:spacing w:after="0" w:line="215" w:lineRule="exact"/>
        <w:rPr>
          <w:rFonts w:ascii="Arial" w:cs="Arial" w:eastAsia="Arial" w:hAnsi="Arial"/>
          <w:sz w:val="13"/>
          <w:szCs w:val="13"/>
          <w:color w:val="auto"/>
        </w:rPr>
      </w:pPr>
    </w:p>
    <w:p>
      <w:pPr>
        <w:ind w:left="380" w:hanging="330"/>
        <w:spacing w:after="0"/>
        <w:tabs>
          <w:tab w:leader="none" w:pos="380" w:val="left"/>
        </w:tabs>
        <w:numPr>
          <w:ilvl w:val="0"/>
          <w:numId w:val="23"/>
        </w:numPr>
        <w:rPr>
          <w:rFonts w:ascii="Arial" w:cs="Arial" w:eastAsia="Arial" w:hAnsi="Arial"/>
          <w:sz w:val="13"/>
          <w:szCs w:val="13"/>
          <w:color w:val="auto"/>
        </w:rPr>
      </w:pPr>
      <w:r>
        <w:rPr>
          <w:rFonts w:ascii="Arial" w:cs="Arial" w:eastAsia="Arial" w:hAnsi="Arial"/>
          <w:sz w:val="13"/>
          <w:szCs w:val="13"/>
          <w:color w:val="auto"/>
        </w:rPr>
        <w:t>New Signature US, Inc. is a subsidiary of BSI Platform Holdings, LLC.</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HSLFI’s investments as of December 31, 2019:</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jc w:val="right"/>
              <w:ind w:right="157"/>
              <w:spacing w:after="0"/>
              <w:rPr>
                <w:sz w:val="20"/>
                <w:szCs w:val="20"/>
                <w:color w:val="auto"/>
              </w:rPr>
            </w:pPr>
            <w:r>
              <w:rPr>
                <w:rFonts w:ascii="Arial" w:cs="Arial" w:eastAsia="Arial" w:hAnsi="Arial"/>
                <w:sz w:val="13"/>
                <w:szCs w:val="13"/>
                <w:b w:val="1"/>
                <w:bCs w:val="1"/>
                <w:color w:val="auto"/>
                <w:w w:val="87"/>
              </w:rPr>
              <w:t>Principal</w:t>
            </w:r>
          </w:p>
        </w:tc>
        <w:tc>
          <w:tcPr>
            <w:tcW w:w="12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3"/>
                <w:szCs w:val="13"/>
                <w:b w:val="1"/>
                <w:bCs w:val="1"/>
                <w:color w:val="auto"/>
              </w:rPr>
              <w:t>Cost of</w:t>
            </w:r>
          </w:p>
        </w:tc>
        <w:tc>
          <w:tcPr>
            <w:tcW w:w="140" w:type="dxa"/>
            <w:vAlign w:val="bottom"/>
          </w:tcPr>
          <w:p>
            <w:pPr>
              <w:spacing w:after="0"/>
              <w:rPr>
                <w:sz w:val="13"/>
                <w:szCs w:val="13"/>
                <w:color w:val="auto"/>
              </w:rPr>
            </w:pPr>
          </w:p>
        </w:tc>
        <w:tc>
          <w:tcPr>
            <w:tcW w:w="560" w:type="dxa"/>
            <w:vAlign w:val="bottom"/>
          </w:tcPr>
          <w:p>
            <w:pPr>
              <w:jc w:val="right"/>
              <w:ind w:right="157"/>
              <w:spacing w:after="0"/>
              <w:rPr>
                <w:sz w:val="20"/>
                <w:szCs w:val="20"/>
                <w:color w:val="auto"/>
              </w:rPr>
            </w:pPr>
            <w:r>
              <w:rPr>
                <w:rFonts w:ascii="Arial" w:cs="Arial" w:eastAsia="Arial" w:hAnsi="Arial"/>
                <w:sz w:val="13"/>
                <w:szCs w:val="13"/>
                <w:b w:val="1"/>
                <w:bCs w:val="1"/>
                <w:color w:val="auto"/>
              </w:rPr>
              <w:t>Fair</w:t>
            </w:r>
          </w:p>
        </w:tc>
      </w:tr>
      <w:tr>
        <w:trPr>
          <w:trHeight w:val="153"/>
        </w:trPr>
        <w:tc>
          <w:tcPr>
            <w:tcW w:w="2380" w:type="dxa"/>
            <w:vAlign w:val="bottom"/>
            <w:tcBorders>
              <w:bottom w:val="single" w:sz="8" w:color="auto"/>
            </w:tcBorders>
            <w:gridSpan w:val="2"/>
          </w:tcPr>
          <w:p>
            <w:pPr>
              <w:ind w:left="20"/>
              <w:spacing w:after="0" w:line="154" w:lineRule="exact"/>
              <w:rPr>
                <w:sz w:val="20"/>
                <w:szCs w:val="20"/>
                <w:color w:val="auto"/>
              </w:rPr>
            </w:pPr>
            <w:r>
              <w:rPr>
                <w:rFonts w:ascii="Arial" w:cs="Arial" w:eastAsia="Arial" w:hAnsi="Arial"/>
                <w:sz w:val="12"/>
                <w:szCs w:val="12"/>
                <w:b w:val="1"/>
                <w:bCs w:val="1"/>
                <w:color w:val="auto"/>
              </w:rPr>
              <w:t xml:space="preserve">Portfolio Company </w:t>
            </w:r>
            <w:r>
              <w:rPr>
                <w:rFonts w:ascii="Arial" w:cs="Arial" w:eastAsia="Arial" w:hAnsi="Arial"/>
                <w:sz w:val="17"/>
                <w:szCs w:val="17"/>
                <w:b w:val="1"/>
                <w:bCs w:val="1"/>
                <w:color w:val="auto"/>
                <w:vertAlign w:val="superscript"/>
              </w:rPr>
              <w:t>(1)</w:t>
            </w:r>
          </w:p>
        </w:tc>
        <w:tc>
          <w:tcPr>
            <w:tcW w:w="110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Sector</w:t>
            </w:r>
          </w:p>
        </w:tc>
        <w:tc>
          <w:tcPr>
            <w:tcW w:w="2800" w:type="dxa"/>
            <w:vAlign w:val="bottom"/>
            <w:tcBorders>
              <w:bottom w:val="single" w:sz="8" w:color="auto"/>
            </w:tcBorders>
          </w:tcPr>
          <w:p>
            <w:pPr>
              <w:ind w:left="820"/>
              <w:spacing w:after="0" w:line="154" w:lineRule="exact"/>
              <w:rPr>
                <w:sz w:val="20"/>
                <w:szCs w:val="20"/>
                <w:color w:val="auto"/>
              </w:rPr>
            </w:pPr>
            <w:r>
              <w:rPr>
                <w:rFonts w:ascii="Arial" w:cs="Arial" w:eastAsia="Arial" w:hAnsi="Arial"/>
                <w:sz w:val="12"/>
                <w:szCs w:val="12"/>
                <w:b w:val="1"/>
                <w:bCs w:val="1"/>
                <w:color w:val="auto"/>
              </w:rPr>
              <w:t xml:space="preserve">Type of Investment </w:t>
            </w:r>
            <w:r>
              <w:rPr>
                <w:rFonts w:ascii="Arial" w:cs="Arial" w:eastAsia="Arial" w:hAnsi="Arial"/>
                <w:sz w:val="17"/>
                <w:szCs w:val="17"/>
                <w:b w:val="1"/>
                <w:bCs w:val="1"/>
                <w:color w:val="auto"/>
                <w:vertAlign w:val="superscript"/>
              </w:rPr>
              <w:t>(2)(3)(4)</w:t>
            </w:r>
          </w:p>
        </w:tc>
        <w:tc>
          <w:tcPr>
            <w:tcW w:w="3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93"/>
              </w:rPr>
              <w:t>Amount</w:t>
            </w:r>
          </w:p>
        </w:tc>
        <w:tc>
          <w:tcPr>
            <w:tcW w:w="900" w:type="dxa"/>
            <w:vAlign w:val="bottom"/>
            <w:tcBorders>
              <w:bottom w:val="single" w:sz="8" w:color="auto"/>
            </w:tcBorders>
            <w:gridSpan w:val="3"/>
          </w:tcPr>
          <w:p>
            <w:pPr>
              <w:spacing w:after="0" w:line="154" w:lineRule="exact"/>
              <w:rPr>
                <w:sz w:val="20"/>
                <w:szCs w:val="20"/>
                <w:color w:val="auto"/>
              </w:rPr>
            </w:pPr>
            <w:r>
              <w:rPr>
                <w:rFonts w:ascii="Arial" w:cs="Arial" w:eastAsia="Arial" w:hAnsi="Arial"/>
                <w:sz w:val="12"/>
                <w:szCs w:val="12"/>
                <w:b w:val="1"/>
                <w:bCs w:val="1"/>
                <w:color w:val="auto"/>
              </w:rPr>
              <w:t>Investments</w:t>
            </w:r>
            <w:r>
              <w:rPr>
                <w:rFonts w:ascii="Arial" w:cs="Arial" w:eastAsia="Arial" w:hAnsi="Arial"/>
                <w:sz w:val="17"/>
                <w:szCs w:val="17"/>
                <w:b w:val="1"/>
                <w:bCs w:val="1"/>
                <w:color w:val="auto"/>
                <w:vertAlign w:val="superscript"/>
              </w:rPr>
              <w:t>(5)</w:t>
            </w:r>
          </w:p>
        </w:tc>
        <w:tc>
          <w:tcPr>
            <w:tcW w:w="1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7"/>
              </w:rPr>
              <w:t>Value</w:t>
            </w:r>
          </w:p>
        </w:tc>
      </w:tr>
      <w:tr>
        <w:trPr>
          <w:trHeight w:val="128"/>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0" w:type="dxa"/>
            <w:vAlign w:val="bottom"/>
          </w:tcPr>
          <w:p>
            <w:pPr>
              <w:ind w:left="380"/>
              <w:spacing w:after="0" w:line="129" w:lineRule="exact"/>
              <w:rPr>
                <w:sz w:val="20"/>
                <w:szCs w:val="20"/>
                <w:color w:val="auto"/>
              </w:rPr>
            </w:pPr>
            <w:r>
              <w:rPr>
                <w:rFonts w:ascii="Arial" w:cs="Arial" w:eastAsia="Arial" w:hAnsi="Arial"/>
                <w:sz w:val="13"/>
                <w:szCs w:val="13"/>
                <w:b w:val="1"/>
                <w:bCs w:val="1"/>
                <w:color w:val="auto"/>
              </w:rPr>
              <w:t>(Dollars in thousands)</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Debt Investments — Life science</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21"/>
        </w:trPr>
        <w:tc>
          <w:tcPr>
            <w:tcW w:w="2380" w:type="dxa"/>
            <w:vAlign w:val="bottom"/>
            <w:gridSpan w:val="2"/>
          </w:tcPr>
          <w:p>
            <w:pPr>
              <w:ind w:left="20"/>
              <w:spacing w:after="0" w:line="121" w:lineRule="exact"/>
              <w:rPr>
                <w:sz w:val="20"/>
                <w:szCs w:val="20"/>
                <w:color w:val="auto"/>
              </w:rPr>
            </w:pPr>
            <w:r>
              <w:rPr>
                <w:rFonts w:ascii="Arial" w:cs="Arial" w:eastAsia="Arial" w:hAnsi="Arial"/>
                <w:sz w:val="13"/>
                <w:szCs w:val="13"/>
                <w:color w:val="auto"/>
              </w:rPr>
              <w:t>Celsion Corporation (6)(7)(8)</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Biotechnology</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9"/>
              </w:rPr>
              <w:t>Term Loan (9.63% cash (Libor + 7.63%; Floor</w:t>
            </w:r>
          </w:p>
        </w:tc>
        <w:tc>
          <w:tcPr>
            <w:tcW w:w="30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72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2,500</w:t>
            </w:r>
          </w:p>
        </w:tc>
        <w:tc>
          <w:tcPr>
            <w:tcW w:w="120" w:type="dxa"/>
            <w:vAlign w:val="bottom"/>
          </w:tcPr>
          <w:p>
            <w:pPr>
              <w:spacing w:after="0" w:line="121"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2,464</w:t>
            </w:r>
          </w:p>
        </w:tc>
        <w:tc>
          <w:tcPr>
            <w:tcW w:w="140" w:type="dxa"/>
            <w:vAlign w:val="bottom"/>
          </w:tcPr>
          <w:p>
            <w:pPr>
              <w:spacing w:after="0"/>
              <w:rPr>
                <w:sz w:val="10"/>
                <w:szCs w:val="10"/>
                <w:color w:val="auto"/>
              </w:rPr>
            </w:pPr>
          </w:p>
        </w:tc>
        <w:tc>
          <w:tcPr>
            <w:tcW w:w="140" w:type="dxa"/>
            <w:vAlign w:val="bottom"/>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2,464</w:t>
            </w:r>
          </w:p>
        </w:tc>
      </w:tr>
      <w:tr>
        <w:trPr>
          <w:trHeight w:val="149"/>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9.63%), 4.00% ETP, Due 7/1/22)</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21"/>
        </w:trPr>
        <w:tc>
          <w:tcPr>
            <w:tcW w:w="22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9"/>
              </w:rPr>
              <w:t>Term Loan (9.63% cash (Libor + 7.63%; Floor</w:t>
            </w:r>
          </w:p>
        </w:tc>
        <w:tc>
          <w:tcPr>
            <w:tcW w:w="30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2,500</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2,464</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2,464</w:t>
            </w:r>
          </w:p>
        </w:tc>
      </w:tr>
      <w:tr>
        <w:trPr>
          <w:trHeight w:val="149"/>
        </w:trPr>
        <w:tc>
          <w:tcPr>
            <w:tcW w:w="2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9.63%), 4.00% ETP, Due 7/1/22)</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21"/>
        </w:trPr>
        <w:tc>
          <w:tcPr>
            <w:tcW w:w="2380" w:type="dxa"/>
            <w:vAlign w:val="bottom"/>
            <w:gridSpan w:val="2"/>
          </w:tcPr>
          <w:p>
            <w:pPr>
              <w:ind w:left="20"/>
              <w:spacing w:after="0" w:line="121" w:lineRule="exact"/>
              <w:rPr>
                <w:sz w:val="20"/>
                <w:szCs w:val="20"/>
                <w:color w:val="auto"/>
              </w:rPr>
            </w:pPr>
            <w:r>
              <w:rPr>
                <w:rFonts w:ascii="Arial" w:cs="Arial" w:eastAsia="Arial" w:hAnsi="Arial"/>
                <w:sz w:val="13"/>
                <w:szCs w:val="13"/>
                <w:color w:val="auto"/>
              </w:rPr>
              <w:t>Encore Dermatology, Inc. (6)(7)</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Biotechnology</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7"/>
              </w:rPr>
              <w:t>Term Loan (10.00% cash (Libor + 7.50%; Floor</w:t>
            </w:r>
          </w:p>
        </w:tc>
        <w:tc>
          <w:tcPr>
            <w:tcW w:w="300" w:type="dxa"/>
            <w:vAlign w:val="bottom"/>
          </w:tcPr>
          <w:p>
            <w:pPr>
              <w:spacing w:after="0"/>
              <w:rPr>
                <w:sz w:val="10"/>
                <w:szCs w:val="10"/>
                <w:color w:val="auto"/>
              </w:rPr>
            </w:pPr>
          </w:p>
        </w:tc>
        <w:tc>
          <w:tcPr>
            <w:tcW w:w="72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5,000</w:t>
            </w: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4,929</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4,929</w:t>
            </w:r>
          </w:p>
        </w:tc>
      </w:tr>
      <w:tr>
        <w:trPr>
          <w:trHeight w:val="149"/>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10.00%), 3.00% ETP, Due 4/1/23)</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21"/>
        </w:trPr>
        <w:tc>
          <w:tcPr>
            <w:tcW w:w="23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rPr>
              <w:t>Mustang Bio, Inc. (6)(7)(8)</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Biotechnology</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9"/>
              </w:rPr>
              <w:t>Term Loan (9.00% cash (Libor + 6.50%; Floor</w:t>
            </w:r>
          </w:p>
        </w:tc>
        <w:tc>
          <w:tcPr>
            <w:tcW w:w="30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5,000</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4,924</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4,924</w:t>
            </w:r>
          </w:p>
        </w:tc>
      </w:tr>
      <w:tr>
        <w:trPr>
          <w:trHeight w:val="149"/>
        </w:trPr>
        <w:tc>
          <w:tcPr>
            <w:tcW w:w="2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9.00%), 5.00% ETP, Due 10/1/22)</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r>
      <w:tr>
        <w:trPr>
          <w:trHeight w:val="128"/>
        </w:trPr>
        <w:tc>
          <w:tcPr>
            <w:tcW w:w="2380" w:type="dxa"/>
            <w:vAlign w:val="bottom"/>
            <w:tcBorders>
              <w:bottom w:val="single" w:sz="8" w:color="CCEEFF"/>
            </w:tcBorders>
            <w:gridSpan w:val="2"/>
          </w:tcPr>
          <w:p>
            <w:pPr>
              <w:ind w:left="20"/>
              <w:spacing w:after="0" w:line="129" w:lineRule="exact"/>
              <w:rPr>
                <w:sz w:val="20"/>
                <w:szCs w:val="20"/>
                <w:color w:val="auto"/>
              </w:rPr>
            </w:pPr>
            <w:r>
              <w:rPr>
                <w:rFonts w:ascii="Arial" w:cs="Arial" w:eastAsia="Arial" w:hAnsi="Arial"/>
                <w:sz w:val="13"/>
                <w:szCs w:val="13"/>
                <w:color w:val="auto"/>
              </w:rPr>
              <w:t>Total Debt Investments — Life science</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14,781</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14,781</w:t>
            </w:r>
          </w:p>
        </w:tc>
      </w:tr>
      <w:tr>
        <w:trPr>
          <w:trHeight w:val="129"/>
        </w:trPr>
        <w:tc>
          <w:tcPr>
            <w:tcW w:w="23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Debt Investments — Technology</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21"/>
        </w:trPr>
        <w:tc>
          <w:tcPr>
            <w:tcW w:w="2380" w:type="dxa"/>
            <w:vAlign w:val="bottom"/>
            <w:gridSpan w:val="2"/>
          </w:tcPr>
          <w:p>
            <w:pPr>
              <w:ind w:left="20"/>
              <w:spacing w:after="0" w:line="121" w:lineRule="exact"/>
              <w:rPr>
                <w:sz w:val="20"/>
                <w:szCs w:val="20"/>
                <w:color w:val="auto"/>
              </w:rPr>
            </w:pPr>
            <w:r>
              <w:rPr>
                <w:rFonts w:ascii="Arial" w:cs="Arial" w:eastAsia="Arial" w:hAnsi="Arial"/>
                <w:sz w:val="13"/>
                <w:szCs w:val="13"/>
                <w:color w:val="auto"/>
              </w:rPr>
              <w:t>Bridge2 Solutions, LLC (6)(7)</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9"/>
              </w:rPr>
              <w:t>Term Loan (11.00% cash (Libor + 8.4%; Floor</w:t>
            </w:r>
          </w:p>
        </w:tc>
        <w:tc>
          <w:tcPr>
            <w:tcW w:w="300" w:type="dxa"/>
            <w:vAlign w:val="bottom"/>
          </w:tcPr>
          <w:p>
            <w:pPr>
              <w:spacing w:after="0"/>
              <w:rPr>
                <w:sz w:val="10"/>
                <w:szCs w:val="10"/>
                <w:color w:val="auto"/>
              </w:rPr>
            </w:pPr>
          </w:p>
        </w:tc>
        <w:tc>
          <w:tcPr>
            <w:tcW w:w="72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500</w:t>
            </w: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481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481</w:t>
            </w:r>
          </w:p>
        </w:tc>
      </w:tr>
      <w:tr>
        <w:trPr>
          <w:trHeight w:val="149"/>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11.00%), 2.00% ETP, Due 9/1/23)</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21"/>
        </w:trPr>
        <w:tc>
          <w:tcPr>
            <w:tcW w:w="23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rPr>
              <w:t>New Signature US, Inc. (6)(7)(9)</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7"/>
              </w:rPr>
              <w:t>Term Loan (10.50% cash (Libor + 8.50%; Floor</w:t>
            </w:r>
          </w:p>
        </w:tc>
        <w:tc>
          <w:tcPr>
            <w:tcW w:w="30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8,250</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8,163</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8,163</w:t>
            </w:r>
          </w:p>
        </w:tc>
      </w:tr>
      <w:tr>
        <w:trPr>
          <w:trHeight w:val="149"/>
        </w:trPr>
        <w:tc>
          <w:tcPr>
            <w:tcW w:w="2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10.50%), 3.50% ETP, Due 7/1/22)</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21"/>
        </w:trPr>
        <w:tc>
          <w:tcPr>
            <w:tcW w:w="2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7"/>
              </w:rPr>
              <w:t>Term Loan (10.50% cash (Libor + 8.50%; Floor</w:t>
            </w:r>
          </w:p>
        </w:tc>
        <w:tc>
          <w:tcPr>
            <w:tcW w:w="300" w:type="dxa"/>
            <w:vAlign w:val="bottom"/>
          </w:tcPr>
          <w:p>
            <w:pPr>
              <w:spacing w:after="0"/>
              <w:rPr>
                <w:sz w:val="10"/>
                <w:szCs w:val="10"/>
                <w:color w:val="auto"/>
              </w:rPr>
            </w:pPr>
          </w:p>
        </w:tc>
        <w:tc>
          <w:tcPr>
            <w:tcW w:w="72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3,000</w:t>
            </w: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2,961</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2,961</w:t>
            </w:r>
          </w:p>
        </w:tc>
      </w:tr>
      <w:tr>
        <w:trPr>
          <w:trHeight w:val="149"/>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800" w:type="dxa"/>
            <w:vAlign w:val="bottom"/>
          </w:tcPr>
          <w:p>
            <w:pPr>
              <w:ind w:left="140"/>
              <w:spacing w:after="0"/>
              <w:rPr>
                <w:sz w:val="20"/>
                <w:szCs w:val="20"/>
                <w:color w:val="auto"/>
              </w:rPr>
            </w:pPr>
            <w:r>
              <w:rPr>
                <w:rFonts w:ascii="Arial" w:cs="Arial" w:eastAsia="Arial" w:hAnsi="Arial"/>
                <w:sz w:val="13"/>
                <w:szCs w:val="13"/>
                <w:color w:val="auto"/>
              </w:rPr>
              <w:t>10.50%), 3.50% ETP, Due 2/1/23)</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21"/>
        </w:trPr>
        <w:tc>
          <w:tcPr>
            <w:tcW w:w="23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rPr>
              <w:t>OutboundEngine, Inc. (6)(7)</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7"/>
              </w:rPr>
              <w:t>Term Loan (11.15% cash (Libor + 8.40%; Floor</w:t>
            </w:r>
          </w:p>
        </w:tc>
        <w:tc>
          <w:tcPr>
            <w:tcW w:w="30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500</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491</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491</w:t>
            </w:r>
          </w:p>
        </w:tc>
      </w:tr>
      <w:tr>
        <w:trPr>
          <w:trHeight w:val="149"/>
        </w:trPr>
        <w:tc>
          <w:tcPr>
            <w:tcW w:w="2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11.15%), 3.00% ETP, Due 7/1/23)</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21"/>
        </w:trPr>
        <w:tc>
          <w:tcPr>
            <w:tcW w:w="2380" w:type="dxa"/>
            <w:vAlign w:val="bottom"/>
            <w:gridSpan w:val="2"/>
          </w:tcPr>
          <w:p>
            <w:pPr>
              <w:ind w:left="20"/>
              <w:spacing w:after="0" w:line="121" w:lineRule="exact"/>
              <w:rPr>
                <w:sz w:val="20"/>
                <w:szCs w:val="20"/>
                <w:color w:val="auto"/>
              </w:rPr>
            </w:pPr>
            <w:r>
              <w:rPr>
                <w:rFonts w:ascii="Arial" w:cs="Arial" w:eastAsia="Arial" w:hAnsi="Arial"/>
                <w:sz w:val="13"/>
                <w:szCs w:val="13"/>
                <w:color w:val="auto"/>
              </w:rPr>
              <w:t>Revinate, Inc. (6)(7)</w:t>
            </w:r>
          </w:p>
        </w:tc>
        <w:tc>
          <w:tcPr>
            <w:tcW w:w="1100" w:type="dxa"/>
            <w:vAlign w:val="bottom"/>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21" w:lineRule="exact"/>
              <w:rPr>
                <w:sz w:val="20"/>
                <w:szCs w:val="20"/>
                <w:color w:val="auto"/>
              </w:rPr>
            </w:pPr>
            <w:r>
              <w:rPr>
                <w:rFonts w:ascii="Arial" w:cs="Arial" w:eastAsia="Arial" w:hAnsi="Arial"/>
                <w:sz w:val="13"/>
                <w:szCs w:val="13"/>
                <w:color w:val="auto"/>
                <w:w w:val="99"/>
              </w:rPr>
              <w:t>Term Loan (9.50% cash (Libor + 7.00%; Floor</w:t>
            </w:r>
          </w:p>
        </w:tc>
        <w:tc>
          <w:tcPr>
            <w:tcW w:w="300" w:type="dxa"/>
            <w:vAlign w:val="bottom"/>
          </w:tcPr>
          <w:p>
            <w:pPr>
              <w:spacing w:after="0"/>
              <w:rPr>
                <w:sz w:val="10"/>
                <w:szCs w:val="10"/>
                <w:color w:val="auto"/>
              </w:rPr>
            </w:pPr>
          </w:p>
        </w:tc>
        <w:tc>
          <w:tcPr>
            <w:tcW w:w="720" w:type="dxa"/>
            <w:vAlign w:val="bottom"/>
          </w:tcPr>
          <w:p>
            <w:pPr>
              <w:jc w:val="right"/>
              <w:ind w:right="117"/>
              <w:spacing w:after="0" w:line="121" w:lineRule="exact"/>
              <w:rPr>
                <w:sz w:val="20"/>
                <w:szCs w:val="20"/>
                <w:color w:val="auto"/>
              </w:rPr>
            </w:pPr>
            <w:r>
              <w:rPr>
                <w:rFonts w:ascii="Arial" w:cs="Arial" w:eastAsia="Arial" w:hAnsi="Arial"/>
                <w:sz w:val="13"/>
                <w:szCs w:val="13"/>
                <w:color w:val="auto"/>
              </w:rPr>
              <w:t>4,000</w:t>
            </w:r>
          </w:p>
        </w:tc>
        <w:tc>
          <w:tcPr>
            <w:tcW w:w="120" w:type="dxa"/>
            <w:vAlign w:val="bottom"/>
          </w:tcPr>
          <w:p>
            <w:pPr>
              <w:spacing w:after="0"/>
              <w:rPr>
                <w:sz w:val="10"/>
                <w:szCs w:val="10"/>
                <w:color w:val="auto"/>
              </w:rPr>
            </w:pPr>
          </w:p>
        </w:tc>
        <w:tc>
          <w:tcPr>
            <w:tcW w:w="640" w:type="dxa"/>
            <w:vAlign w:val="bottom"/>
          </w:tcPr>
          <w:p>
            <w:pPr>
              <w:jc w:val="right"/>
              <w:spacing w:after="0" w:line="121" w:lineRule="exact"/>
              <w:rPr>
                <w:sz w:val="20"/>
                <w:szCs w:val="20"/>
                <w:color w:val="auto"/>
              </w:rPr>
            </w:pPr>
            <w:r>
              <w:rPr>
                <w:rFonts w:ascii="Arial" w:cs="Arial" w:eastAsia="Arial" w:hAnsi="Arial"/>
                <w:sz w:val="13"/>
                <w:szCs w:val="13"/>
                <w:color w:val="auto"/>
              </w:rPr>
              <w:t>3,952</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jc w:val="right"/>
              <w:spacing w:after="0" w:line="121" w:lineRule="exact"/>
              <w:rPr>
                <w:sz w:val="20"/>
                <w:szCs w:val="20"/>
                <w:color w:val="auto"/>
              </w:rPr>
            </w:pPr>
            <w:r>
              <w:rPr>
                <w:rFonts w:ascii="Arial" w:cs="Arial" w:eastAsia="Arial" w:hAnsi="Arial"/>
                <w:sz w:val="13"/>
                <w:szCs w:val="13"/>
                <w:color w:val="auto"/>
              </w:rPr>
              <w:t>3,952</w:t>
            </w:r>
          </w:p>
        </w:tc>
      </w:tr>
      <w:tr>
        <w:trPr>
          <w:trHeight w:val="149"/>
        </w:trPr>
        <w:tc>
          <w:tcPr>
            <w:tcW w:w="22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8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9.50%), 3.00% ETP, Due 6/1/23)</w:t>
            </w:r>
          </w:p>
        </w:tc>
        <w:tc>
          <w:tcPr>
            <w:tcW w:w="30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r>
      <w:tr>
        <w:trPr>
          <w:trHeight w:val="128"/>
        </w:trPr>
        <w:tc>
          <w:tcPr>
            <w:tcW w:w="23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w w:val="99"/>
              </w:rPr>
              <w:t>Total Debt Investments — Technology</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16,048</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16,048</w:t>
            </w:r>
          </w:p>
        </w:tc>
      </w:tr>
      <w:tr>
        <w:trPr>
          <w:trHeight w:val="129"/>
        </w:trPr>
        <w:tc>
          <w:tcPr>
            <w:tcW w:w="348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7"/>
              </w:rPr>
              <w:t>Debt Investments — Healthcare information and services</w:t>
            </w: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21"/>
        </w:trPr>
        <w:tc>
          <w:tcPr>
            <w:tcW w:w="2380" w:type="dxa"/>
            <w:vAlign w:val="bottom"/>
            <w:gridSpan w:val="2"/>
            <w:shd w:val="clear" w:color="auto" w:fill="CCEEFF"/>
          </w:tcPr>
          <w:p>
            <w:pPr>
              <w:ind w:left="20"/>
              <w:spacing w:after="0" w:line="121" w:lineRule="exact"/>
              <w:rPr>
                <w:sz w:val="20"/>
                <w:szCs w:val="20"/>
                <w:color w:val="auto"/>
              </w:rPr>
            </w:pPr>
            <w:r>
              <w:rPr>
                <w:rFonts w:ascii="Arial" w:cs="Arial" w:eastAsia="Arial" w:hAnsi="Arial"/>
                <w:sz w:val="13"/>
                <w:szCs w:val="13"/>
                <w:color w:val="auto"/>
              </w:rPr>
              <w:t>HealthEdge Software, Inc. (6)(7)</w:t>
            </w:r>
          </w:p>
        </w:tc>
        <w:tc>
          <w:tcPr>
            <w:tcW w:w="1100" w:type="dxa"/>
            <w:vAlign w:val="bottom"/>
            <w:shd w:val="clear" w:color="auto" w:fill="CCEEFF"/>
          </w:tcPr>
          <w:p>
            <w:pPr>
              <w:ind w:left="60"/>
              <w:spacing w:after="0" w:line="121"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21" w:lineRule="exact"/>
              <w:rPr>
                <w:sz w:val="20"/>
                <w:szCs w:val="20"/>
                <w:color w:val="auto"/>
              </w:rPr>
            </w:pPr>
            <w:r>
              <w:rPr>
                <w:rFonts w:ascii="Arial" w:cs="Arial" w:eastAsia="Arial" w:hAnsi="Arial"/>
                <w:sz w:val="13"/>
                <w:szCs w:val="13"/>
                <w:color w:val="auto"/>
                <w:w w:val="99"/>
              </w:rPr>
              <w:t>Term Loan (9.94% cash (Libor + 8.25%; Floor</w:t>
            </w:r>
          </w:p>
        </w:tc>
        <w:tc>
          <w:tcPr>
            <w:tcW w:w="300" w:type="dxa"/>
            <w:vAlign w:val="bottom"/>
            <w:shd w:val="clear" w:color="auto" w:fill="CCEEFF"/>
          </w:tcPr>
          <w:p>
            <w:pPr>
              <w:spacing w:after="0"/>
              <w:rPr>
                <w:sz w:val="10"/>
                <w:szCs w:val="10"/>
                <w:color w:val="auto"/>
              </w:rPr>
            </w:pPr>
          </w:p>
        </w:tc>
        <w:tc>
          <w:tcPr>
            <w:tcW w:w="72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3,750</w:t>
            </w: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3,709</w:t>
            </w: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line="121" w:lineRule="exact"/>
              <w:rPr>
                <w:sz w:val="20"/>
                <w:szCs w:val="20"/>
                <w:color w:val="auto"/>
              </w:rPr>
            </w:pPr>
            <w:r>
              <w:rPr>
                <w:rFonts w:ascii="Arial" w:cs="Arial" w:eastAsia="Arial" w:hAnsi="Arial"/>
                <w:sz w:val="13"/>
                <w:szCs w:val="13"/>
                <w:color w:val="auto"/>
              </w:rPr>
              <w:t>3,709</w:t>
            </w:r>
          </w:p>
        </w:tc>
      </w:tr>
      <w:tr>
        <w:trPr>
          <w:trHeight w:val="149"/>
        </w:trPr>
        <w:tc>
          <w:tcPr>
            <w:tcW w:w="2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9.25%), 3.00% ETP, Due 10/1/23)</w:t>
            </w: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r>
      <w:tr>
        <w:trPr>
          <w:trHeight w:val="128"/>
        </w:trPr>
        <w:tc>
          <w:tcPr>
            <w:tcW w:w="3480" w:type="dxa"/>
            <w:vAlign w:val="bottom"/>
            <w:tcBorders>
              <w:bottom w:val="single" w:sz="8" w:color="CCEEFF"/>
            </w:tcBorders>
            <w:gridSpan w:val="3"/>
          </w:tcPr>
          <w:p>
            <w:pPr>
              <w:ind w:left="20"/>
              <w:spacing w:after="0" w:line="129" w:lineRule="exact"/>
              <w:rPr>
                <w:sz w:val="20"/>
                <w:szCs w:val="20"/>
                <w:color w:val="auto"/>
              </w:rPr>
            </w:pPr>
            <w:r>
              <w:rPr>
                <w:rFonts w:ascii="Arial" w:cs="Arial" w:eastAsia="Arial" w:hAnsi="Arial"/>
                <w:sz w:val="13"/>
                <w:szCs w:val="13"/>
                <w:color w:val="auto"/>
                <w:w w:val="95"/>
              </w:rPr>
              <w:t>Total Debt Investments — Healthcare information and services</w:t>
            </w:r>
          </w:p>
        </w:tc>
        <w:tc>
          <w:tcPr>
            <w:tcW w:w="28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3,709</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3,709</w:t>
            </w:r>
          </w:p>
        </w:tc>
      </w:tr>
      <w:tr>
        <w:trPr>
          <w:trHeight w:val="128"/>
        </w:trPr>
        <w:tc>
          <w:tcPr>
            <w:tcW w:w="23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Debt Investments</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34,538</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34,538</w:t>
            </w:r>
          </w:p>
        </w:tc>
      </w:tr>
      <w:tr>
        <w:trPr>
          <w:trHeight w:val="129"/>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Warrant Investments — Life science</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35"/>
        </w:trPr>
        <w:tc>
          <w:tcPr>
            <w:tcW w:w="23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Celsion Corporation (6)(7)(8)</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Biotechnology</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95,057 Common Stock Warrants</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58</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w:t>
            </w: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Encore Dermatology, Inc.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Biotechnology</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503,626 Preferred Stock Warrants</w:t>
            </w: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23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Mustang Bio, Inc. (6)(7)(8)</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Biotechnology</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72,046 Common Stock Warrants</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45</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74</w:t>
            </w: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CSA Medical, Inc.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Medical Device</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17,751 Preferred Stock Warrants</w:t>
            </w: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r>
      <w:tr>
        <w:trPr>
          <w:trHeight w:val="128"/>
        </w:trPr>
        <w:tc>
          <w:tcPr>
            <w:tcW w:w="2380" w:type="dxa"/>
            <w:vAlign w:val="bottom"/>
            <w:tcBorders>
              <w:bottom w:val="single" w:sz="8" w:color="CCEEFF"/>
            </w:tcBorders>
            <w:gridSpan w:val="2"/>
          </w:tcPr>
          <w:p>
            <w:pPr>
              <w:ind w:left="20"/>
              <w:spacing w:after="0" w:line="129" w:lineRule="exact"/>
              <w:rPr>
                <w:sz w:val="20"/>
                <w:szCs w:val="20"/>
                <w:color w:val="auto"/>
              </w:rPr>
            </w:pPr>
            <w:r>
              <w:rPr>
                <w:rFonts w:ascii="Arial" w:cs="Arial" w:eastAsia="Arial" w:hAnsi="Arial"/>
                <w:sz w:val="13"/>
                <w:szCs w:val="13"/>
                <w:color w:val="auto"/>
                <w:w w:val="96"/>
              </w:rPr>
              <w:t>Total Warrant Investments — Life science</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143</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82</w:t>
            </w:r>
          </w:p>
        </w:tc>
      </w:tr>
      <w:tr>
        <w:trPr>
          <w:trHeight w:val="128"/>
        </w:trPr>
        <w:tc>
          <w:tcPr>
            <w:tcW w:w="23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Warrant Investments — Technology</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35"/>
        </w:trPr>
        <w:tc>
          <w:tcPr>
            <w:tcW w:w="23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Intelepeer Holdings, Inc. (6)(7)</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Communications</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2,081,934 Preferred Stock Warrants</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82</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72</w:t>
            </w: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Bridge2 Solutions, LLC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2,500 Common Stock Warrants</w:t>
            </w: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r>
      <w:tr>
        <w:trPr>
          <w:trHeight w:val="135"/>
        </w:trPr>
        <w:tc>
          <w:tcPr>
            <w:tcW w:w="2380" w:type="dxa"/>
            <w:vAlign w:val="bottom"/>
            <w:gridSpan w:val="2"/>
          </w:tcPr>
          <w:p>
            <w:pPr>
              <w:ind w:left="20"/>
              <w:spacing w:after="0" w:line="135" w:lineRule="exact"/>
              <w:rPr>
                <w:sz w:val="20"/>
                <w:szCs w:val="20"/>
                <w:color w:val="auto"/>
              </w:rPr>
            </w:pPr>
            <w:r>
              <w:rPr>
                <w:rFonts w:ascii="Arial" w:cs="Arial" w:eastAsia="Arial" w:hAnsi="Arial"/>
                <w:sz w:val="13"/>
                <w:szCs w:val="13"/>
                <w:color w:val="auto"/>
              </w:rPr>
              <w:t>BSI Platform Holdings, LLC (6)(7)(9)</w:t>
            </w:r>
          </w:p>
        </w:tc>
        <w:tc>
          <w:tcPr>
            <w:tcW w:w="1100" w:type="dxa"/>
            <w:vAlign w:val="bottom"/>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tcPr>
          <w:p>
            <w:pPr>
              <w:ind w:left="140"/>
              <w:spacing w:after="0" w:line="135" w:lineRule="exact"/>
              <w:rPr>
                <w:sz w:val="20"/>
                <w:szCs w:val="20"/>
                <w:color w:val="auto"/>
              </w:rPr>
            </w:pPr>
            <w:r>
              <w:rPr>
                <w:rFonts w:ascii="Arial" w:cs="Arial" w:eastAsia="Arial" w:hAnsi="Arial"/>
                <w:sz w:val="13"/>
                <w:szCs w:val="13"/>
                <w:color w:val="auto"/>
              </w:rPr>
              <w:t>562,500 Preferred Stock Warrants</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77</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62</w:t>
            </w: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OutboundEngine, Inc.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40,000 Preferred Stock Warrants</w:t>
            </w: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w:t>
            </w:r>
          </w:p>
        </w:tc>
      </w:tr>
      <w:tr>
        <w:trPr>
          <w:trHeight w:val="135"/>
        </w:trPr>
        <w:tc>
          <w:tcPr>
            <w:tcW w:w="2380" w:type="dxa"/>
            <w:vAlign w:val="bottom"/>
            <w:tcBorders>
              <w:bottom w:val="single" w:sz="8" w:color="CCEEFF"/>
            </w:tcBorders>
            <w:gridSpan w:val="2"/>
          </w:tcPr>
          <w:p>
            <w:pPr>
              <w:ind w:left="20"/>
              <w:spacing w:after="0" w:line="135" w:lineRule="exact"/>
              <w:rPr>
                <w:sz w:val="20"/>
                <w:szCs w:val="20"/>
                <w:color w:val="auto"/>
              </w:rPr>
            </w:pPr>
            <w:r>
              <w:rPr>
                <w:rFonts w:ascii="Arial" w:cs="Arial" w:eastAsia="Arial" w:hAnsi="Arial"/>
                <w:sz w:val="13"/>
                <w:szCs w:val="13"/>
                <w:color w:val="auto"/>
              </w:rPr>
              <w:t>Revinate Inc. (6)(7)</w:t>
            </w:r>
          </w:p>
        </w:tc>
        <w:tc>
          <w:tcPr>
            <w:tcW w:w="1100" w:type="dxa"/>
            <w:vAlign w:val="bottom"/>
            <w:tcBorders>
              <w:bottom w:val="single" w:sz="8" w:color="CCEEFF"/>
            </w:tcBorders>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tcBorders>
              <w:bottom w:val="single" w:sz="8" w:color="CCEEFF"/>
            </w:tcBorders>
          </w:tcPr>
          <w:p>
            <w:pPr>
              <w:ind w:left="140"/>
              <w:spacing w:after="0" w:line="135" w:lineRule="exact"/>
              <w:rPr>
                <w:sz w:val="20"/>
                <w:szCs w:val="20"/>
                <w:color w:val="auto"/>
              </w:rPr>
            </w:pPr>
            <w:r>
              <w:rPr>
                <w:rFonts w:ascii="Arial" w:cs="Arial" w:eastAsia="Arial" w:hAnsi="Arial"/>
                <w:sz w:val="13"/>
                <w:szCs w:val="13"/>
                <w:color w:val="auto"/>
              </w:rPr>
              <w:t>216,362 Preferred Stock Warrants</w:t>
            </w:r>
          </w:p>
        </w:tc>
        <w:tc>
          <w:tcPr>
            <w:tcW w:w="30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w:t>
            </w:r>
          </w:p>
        </w:tc>
      </w:tr>
      <w:tr>
        <w:trPr>
          <w:trHeight w:val="129"/>
        </w:trPr>
        <w:tc>
          <w:tcPr>
            <w:tcW w:w="23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7"/>
              </w:rPr>
              <w:t>Total Warrant Investments — Technology</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198</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192</w:t>
            </w:r>
          </w:p>
        </w:tc>
      </w:tr>
      <w:tr>
        <w:trPr>
          <w:trHeight w:val="128"/>
        </w:trPr>
        <w:tc>
          <w:tcPr>
            <w:tcW w:w="3480" w:type="dxa"/>
            <w:vAlign w:val="bottom"/>
            <w:gridSpan w:val="3"/>
          </w:tcPr>
          <w:p>
            <w:pPr>
              <w:ind w:left="20"/>
              <w:spacing w:after="0" w:line="129" w:lineRule="exact"/>
              <w:rPr>
                <w:sz w:val="20"/>
                <w:szCs w:val="20"/>
                <w:color w:val="auto"/>
              </w:rPr>
            </w:pPr>
            <w:r>
              <w:rPr>
                <w:rFonts w:ascii="Arial" w:cs="Arial" w:eastAsia="Arial" w:hAnsi="Arial"/>
                <w:sz w:val="13"/>
                <w:szCs w:val="13"/>
                <w:b w:val="1"/>
                <w:bCs w:val="1"/>
                <w:color w:val="auto"/>
                <w:w w:val="92"/>
              </w:rPr>
              <w:t>Warrant Investments — Healthcare information and services</w:t>
            </w:r>
          </w:p>
        </w:tc>
        <w:tc>
          <w:tcPr>
            <w:tcW w:w="2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35"/>
        </w:trPr>
        <w:tc>
          <w:tcPr>
            <w:tcW w:w="238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3"/>
                <w:szCs w:val="13"/>
                <w:color w:val="auto"/>
              </w:rPr>
              <w:t>HealthEdge Software, Inc. (6)(7)</w:t>
            </w:r>
          </w:p>
        </w:tc>
        <w:tc>
          <w:tcPr>
            <w:tcW w:w="11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Software</w:t>
            </w:r>
          </w:p>
        </w:tc>
        <w:tc>
          <w:tcPr>
            <w:tcW w:w="2800" w:type="dxa"/>
            <w:vAlign w:val="bottom"/>
            <w:shd w:val="clear" w:color="auto" w:fill="CCEEFF"/>
          </w:tcPr>
          <w:p>
            <w:pPr>
              <w:ind w:left="140"/>
              <w:spacing w:after="0" w:line="135" w:lineRule="exact"/>
              <w:rPr>
                <w:sz w:val="20"/>
                <w:szCs w:val="20"/>
                <w:color w:val="auto"/>
              </w:rPr>
            </w:pPr>
            <w:r>
              <w:rPr>
                <w:rFonts w:ascii="Arial" w:cs="Arial" w:eastAsia="Arial" w:hAnsi="Arial"/>
                <w:sz w:val="13"/>
                <w:szCs w:val="13"/>
                <w:color w:val="auto"/>
              </w:rPr>
              <w:t>47,418 Preferred Stock Warrants</w:t>
            </w: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17</w:t>
            </w:r>
          </w:p>
        </w:tc>
      </w:tr>
      <w:tr>
        <w:trPr>
          <w:trHeight w:val="128"/>
        </w:trPr>
        <w:tc>
          <w:tcPr>
            <w:tcW w:w="3480" w:type="dxa"/>
            <w:vAlign w:val="bottom"/>
            <w:tcBorders>
              <w:bottom w:val="single" w:sz="8" w:color="CCEEFF"/>
            </w:tcBorders>
            <w:gridSpan w:val="3"/>
          </w:tcPr>
          <w:p>
            <w:pPr>
              <w:ind w:left="20"/>
              <w:spacing w:after="0" w:line="129" w:lineRule="exact"/>
              <w:rPr>
                <w:sz w:val="20"/>
                <w:szCs w:val="20"/>
                <w:color w:val="auto"/>
              </w:rPr>
            </w:pPr>
            <w:r>
              <w:rPr>
                <w:rFonts w:ascii="Arial" w:cs="Arial" w:eastAsia="Arial" w:hAnsi="Arial"/>
                <w:sz w:val="13"/>
                <w:szCs w:val="13"/>
                <w:color w:val="auto"/>
                <w:w w:val="90"/>
              </w:rPr>
              <w:t>Total Warrant Investments — Healthcare information and services</w:t>
            </w:r>
          </w:p>
        </w:tc>
        <w:tc>
          <w:tcPr>
            <w:tcW w:w="28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w:t>
            </w:r>
          </w:p>
        </w:tc>
      </w:tr>
      <w:tr>
        <w:trPr>
          <w:trHeight w:val="129"/>
        </w:trPr>
        <w:tc>
          <w:tcPr>
            <w:tcW w:w="238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Warrant Investments</w:t>
            </w:r>
          </w:p>
        </w:tc>
        <w:tc>
          <w:tcPr>
            <w:tcW w:w="1100" w:type="dxa"/>
            <w:vAlign w:val="bottom"/>
            <w:shd w:val="clear" w:color="auto" w:fill="CCEEFF"/>
          </w:tcPr>
          <w:p>
            <w:pPr>
              <w:spacing w:after="0"/>
              <w:rPr>
                <w:sz w:val="11"/>
                <w:szCs w:val="11"/>
                <w:color w:val="auto"/>
              </w:rPr>
            </w:pP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357</w:t>
            </w:r>
          </w:p>
        </w:tc>
        <w:tc>
          <w:tcPr>
            <w:tcW w:w="14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291</w:t>
            </w:r>
          </w:p>
        </w:tc>
      </w:tr>
      <w:tr>
        <w:trPr>
          <w:trHeight w:val="128"/>
        </w:trPr>
        <w:tc>
          <w:tcPr>
            <w:tcW w:w="224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r>
      <w:tr>
        <w:trPr>
          <w:trHeight w:val="129"/>
        </w:trPr>
        <w:tc>
          <w:tcPr>
            <w:tcW w:w="2380" w:type="dxa"/>
            <w:vAlign w:val="bottom"/>
            <w:tcBorders>
              <w:bottom w:val="single" w:sz="8" w:color="CCEEFF"/>
            </w:tcBorders>
            <w:gridSpan w:val="2"/>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rPr>
              <w:t>Total Portfolio Investment Assets</w:t>
            </w:r>
          </w:p>
        </w:tc>
        <w:tc>
          <w:tcPr>
            <w:tcW w:w="1100" w:type="dxa"/>
            <w:vAlign w:val="bottom"/>
            <w:tcBorders>
              <w:bottom w:val="single" w:sz="8" w:color="CCEEFF"/>
            </w:tcBorders>
            <w:shd w:val="clear" w:color="auto" w:fill="CCEEFF"/>
          </w:tcPr>
          <w:p>
            <w:pPr>
              <w:spacing w:after="0"/>
              <w:rPr>
                <w:sz w:val="11"/>
                <w:szCs w:val="11"/>
                <w:color w:val="auto"/>
              </w:rPr>
            </w:pPr>
          </w:p>
        </w:tc>
        <w:tc>
          <w:tcPr>
            <w:tcW w:w="28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34,895</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34,829</w:t>
            </w:r>
          </w:p>
        </w:tc>
      </w:tr>
      <w:tr>
        <w:trPr>
          <w:trHeight w:val="20"/>
        </w:trPr>
        <w:tc>
          <w:tcPr>
            <w:tcW w:w="2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15"/>
        </w:trPr>
        <w:tc>
          <w:tcPr>
            <w:tcW w:w="2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35"/>
        </w:trPr>
        <w:tc>
          <w:tcPr>
            <w:tcW w:w="34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Short Term Investments — Unrestricted Investments</w:t>
            </w: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35"/>
        </w:trPr>
        <w:tc>
          <w:tcPr>
            <w:tcW w:w="2380" w:type="dxa"/>
            <w:vAlign w:val="bottom"/>
            <w:tcBorders>
              <w:bottom w:val="single" w:sz="8" w:color="CCEEFF"/>
            </w:tcBorders>
            <w:gridSpan w:val="2"/>
          </w:tcPr>
          <w:p>
            <w:pPr>
              <w:ind w:left="20"/>
              <w:spacing w:after="0" w:line="135" w:lineRule="exact"/>
              <w:rPr>
                <w:sz w:val="20"/>
                <w:szCs w:val="20"/>
                <w:color w:val="auto"/>
              </w:rPr>
            </w:pPr>
            <w:r>
              <w:rPr>
                <w:rFonts w:ascii="Arial" w:cs="Arial" w:eastAsia="Arial" w:hAnsi="Arial"/>
                <w:sz w:val="13"/>
                <w:szCs w:val="13"/>
                <w:color w:val="auto"/>
                <w:w w:val="91"/>
              </w:rPr>
              <w:t>US Bank Money Market Deposit Account (6)</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line="135"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11,201</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11,201</w:t>
            </w:r>
          </w:p>
        </w:tc>
      </w:tr>
      <w:tr>
        <w:trPr>
          <w:trHeight w:val="128"/>
        </w:trPr>
        <w:tc>
          <w:tcPr>
            <w:tcW w:w="3480" w:type="dxa"/>
            <w:vAlign w:val="bottom"/>
            <w:tcBorders>
              <w:bottom w:val="single" w:sz="8" w:color="CCEEFF"/>
            </w:tcBorders>
            <w:gridSpan w:val="3"/>
            <w:shd w:val="clear" w:color="auto" w:fill="CCEEFF"/>
          </w:tcPr>
          <w:p>
            <w:pPr>
              <w:ind w:left="20"/>
              <w:spacing w:after="0" w:line="129" w:lineRule="exact"/>
              <w:rPr>
                <w:sz w:val="20"/>
                <w:szCs w:val="20"/>
                <w:color w:val="auto"/>
              </w:rPr>
            </w:pPr>
            <w:r>
              <w:rPr>
                <w:rFonts w:ascii="Arial" w:cs="Arial" w:eastAsia="Arial" w:hAnsi="Arial"/>
                <w:sz w:val="13"/>
                <w:szCs w:val="13"/>
                <w:b w:val="1"/>
                <w:bCs w:val="1"/>
                <w:color w:val="auto"/>
                <w:w w:val="95"/>
              </w:rPr>
              <w:t>Total Short Term Investments — Unrestricted Investments</w:t>
            </w:r>
          </w:p>
        </w:tc>
        <w:tc>
          <w:tcPr>
            <w:tcW w:w="28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11,201</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11,201</w:t>
            </w:r>
          </w:p>
        </w:tc>
      </w:tr>
      <w:tr>
        <w:trPr>
          <w:trHeight w:val="20"/>
        </w:trPr>
        <w:tc>
          <w:tcPr>
            <w:tcW w:w="22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15"/>
        </w:trPr>
        <w:tc>
          <w:tcPr>
            <w:tcW w:w="2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35"/>
        </w:trPr>
        <w:tc>
          <w:tcPr>
            <w:tcW w:w="3480" w:type="dxa"/>
            <w:vAlign w:val="bottom"/>
            <w:gridSpan w:val="3"/>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w w:val="94"/>
              </w:rPr>
              <w:t>Short Term Investments — Restricted Money Market Funds</w:t>
            </w:r>
          </w:p>
        </w:tc>
        <w:tc>
          <w:tcPr>
            <w:tcW w:w="28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35"/>
        </w:trPr>
        <w:tc>
          <w:tcPr>
            <w:tcW w:w="2380" w:type="dxa"/>
            <w:vAlign w:val="bottom"/>
            <w:tcBorders>
              <w:bottom w:val="single" w:sz="8" w:color="CCEEFF"/>
            </w:tcBorders>
            <w:gridSpan w:val="2"/>
          </w:tcPr>
          <w:p>
            <w:pPr>
              <w:ind w:left="20"/>
              <w:spacing w:after="0" w:line="135" w:lineRule="exact"/>
              <w:rPr>
                <w:sz w:val="20"/>
                <w:szCs w:val="20"/>
                <w:color w:val="auto"/>
              </w:rPr>
            </w:pPr>
            <w:r>
              <w:rPr>
                <w:rFonts w:ascii="Arial" w:cs="Arial" w:eastAsia="Arial" w:hAnsi="Arial"/>
                <w:sz w:val="13"/>
                <w:szCs w:val="13"/>
                <w:color w:val="auto"/>
                <w:w w:val="91"/>
              </w:rPr>
              <w:t>US Bank Money Market Deposit Account (6)</w:t>
            </w:r>
          </w:p>
        </w:tc>
        <w:tc>
          <w:tcPr>
            <w:tcW w:w="1100" w:type="dxa"/>
            <w:vAlign w:val="bottom"/>
            <w:tcBorders>
              <w:bottom w:val="single" w:sz="8" w:color="CCEEFF"/>
            </w:tcBorders>
          </w:tcPr>
          <w:p>
            <w:pPr>
              <w:spacing w:after="0"/>
              <w:rPr>
                <w:sz w:val="11"/>
                <w:szCs w:val="11"/>
                <w:color w:val="auto"/>
              </w:rPr>
            </w:pPr>
          </w:p>
        </w:tc>
        <w:tc>
          <w:tcPr>
            <w:tcW w:w="2800" w:type="dxa"/>
            <w:vAlign w:val="bottom"/>
            <w:tcBorders>
              <w:bottom w:val="single" w:sz="8" w:color="CCEEFF"/>
            </w:tcBorders>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7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line="135"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138</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138</w:t>
            </w:r>
          </w:p>
        </w:tc>
      </w:tr>
      <w:tr>
        <w:trPr>
          <w:trHeight w:val="129"/>
        </w:trPr>
        <w:tc>
          <w:tcPr>
            <w:tcW w:w="3480" w:type="dxa"/>
            <w:vAlign w:val="bottom"/>
            <w:tcBorders>
              <w:bottom w:val="single" w:sz="8" w:color="CCEEFF"/>
            </w:tcBorders>
            <w:gridSpan w:val="3"/>
            <w:shd w:val="clear" w:color="auto" w:fill="CCEEFF"/>
          </w:tcPr>
          <w:p>
            <w:pPr>
              <w:ind w:left="20"/>
              <w:spacing w:after="0" w:line="129" w:lineRule="exact"/>
              <w:rPr>
                <w:sz w:val="20"/>
                <w:szCs w:val="20"/>
                <w:color w:val="auto"/>
              </w:rPr>
            </w:pPr>
            <w:r>
              <w:rPr>
                <w:rFonts w:ascii="Arial" w:cs="Arial" w:eastAsia="Arial" w:hAnsi="Arial"/>
                <w:sz w:val="13"/>
                <w:szCs w:val="13"/>
                <w:color w:val="auto"/>
                <w:w w:val="91"/>
              </w:rPr>
              <w:t>Total Short Term Investments — Restricted Money Market Funds</w:t>
            </w:r>
          </w:p>
        </w:tc>
        <w:tc>
          <w:tcPr>
            <w:tcW w:w="28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138</w:t>
            </w:r>
          </w:p>
        </w:tc>
        <w:tc>
          <w:tcPr>
            <w:tcW w:w="14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138</w:t>
            </w:r>
          </w:p>
        </w:tc>
      </w:tr>
      <w:tr>
        <w:trPr>
          <w:trHeight w:val="20"/>
        </w:trPr>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109"/>
        </w:trPr>
        <w:tc>
          <w:tcPr>
            <w:tcW w:w="224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r>
    </w:tbl>
    <w:p>
      <w:pPr>
        <w:spacing w:after="0" w:line="76" w:lineRule="exact"/>
        <w:rPr>
          <w:sz w:val="20"/>
          <w:szCs w:val="20"/>
          <w:color w:val="auto"/>
        </w:rPr>
      </w:pPr>
    </w:p>
    <w:p>
      <w:pPr>
        <w:ind w:left="380" w:right="79" w:hanging="330"/>
        <w:spacing w:after="0" w:line="253" w:lineRule="auto"/>
        <w:tabs>
          <w:tab w:leader="none" w:pos="3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All investments of HSLFI are in entities which are organized under the laws of the United States and have a principal place of business in the United States.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left="380" w:right="79" w:hanging="330"/>
        <w:spacing w:after="0" w:line="231"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2019 is provided.</w:t>
      </w:r>
    </w:p>
    <w:p>
      <w:pPr>
        <w:spacing w:after="0" w:line="183" w:lineRule="exact"/>
        <w:rPr>
          <w:rFonts w:ascii="Arial" w:cs="Arial" w:eastAsia="Arial" w:hAnsi="Arial"/>
          <w:sz w:val="14"/>
          <w:szCs w:val="14"/>
          <w:color w:val="auto"/>
        </w:rPr>
      </w:pPr>
    </w:p>
    <w:p>
      <w:pPr>
        <w:jc w:val="both"/>
        <w:ind w:left="380" w:right="79" w:hanging="330"/>
        <w:spacing w:after="0" w:line="238" w:lineRule="auto"/>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82" w:lineRule="exact"/>
        <w:rPr>
          <w:rFonts w:ascii="Arial" w:cs="Arial" w:eastAsia="Arial" w:hAnsi="Arial"/>
          <w:sz w:val="14"/>
          <w:szCs w:val="14"/>
          <w:color w:val="auto"/>
        </w:rPr>
      </w:pPr>
    </w:p>
    <w:p>
      <w:pPr>
        <w:ind w:left="380" w:hanging="330"/>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Warrants are non-income producing.</w:t>
      </w:r>
    </w:p>
    <w:p>
      <w:pPr>
        <w:spacing w:after="0" w:line="203" w:lineRule="exact"/>
        <w:rPr>
          <w:rFonts w:ascii="Arial" w:cs="Arial" w:eastAsia="Arial" w:hAnsi="Arial"/>
          <w:sz w:val="14"/>
          <w:szCs w:val="14"/>
          <w:color w:val="auto"/>
        </w:rPr>
      </w:pPr>
    </w:p>
    <w:p>
      <w:pPr>
        <w:ind w:left="380" w:hanging="330"/>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For debt investments, represents principal balance less unearned income.</w:t>
      </w:r>
    </w:p>
    <w:p>
      <w:pPr>
        <w:spacing w:after="0" w:line="203" w:lineRule="exact"/>
        <w:rPr>
          <w:rFonts w:ascii="Arial" w:cs="Arial" w:eastAsia="Arial" w:hAnsi="Arial"/>
          <w:sz w:val="14"/>
          <w:szCs w:val="14"/>
          <w:color w:val="auto"/>
        </w:rPr>
      </w:pPr>
    </w:p>
    <w:p>
      <w:pPr>
        <w:ind w:left="380" w:hanging="330"/>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Has been pledged as collateral under the NYL Facility.</w:t>
      </w:r>
    </w:p>
    <w:p>
      <w:pPr>
        <w:spacing w:after="0" w:line="203" w:lineRule="exact"/>
        <w:rPr>
          <w:rFonts w:ascii="Arial" w:cs="Arial" w:eastAsia="Arial" w:hAnsi="Arial"/>
          <w:sz w:val="14"/>
          <w:szCs w:val="14"/>
          <w:color w:val="auto"/>
        </w:rPr>
      </w:pPr>
    </w:p>
    <w:p>
      <w:pPr>
        <w:ind w:left="380" w:hanging="330"/>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fair value of the investment was valued using significant unobservable inputs.</w:t>
      </w:r>
    </w:p>
    <w:p>
      <w:pPr>
        <w:spacing w:after="0" w:line="203" w:lineRule="exact"/>
        <w:rPr>
          <w:rFonts w:ascii="Arial" w:cs="Arial" w:eastAsia="Arial" w:hAnsi="Arial"/>
          <w:sz w:val="14"/>
          <w:szCs w:val="14"/>
          <w:color w:val="auto"/>
        </w:rPr>
      </w:pPr>
    </w:p>
    <w:p>
      <w:pPr>
        <w:ind w:left="380" w:hanging="330"/>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Portfolio company is a public company.</w:t>
      </w:r>
    </w:p>
    <w:p>
      <w:pPr>
        <w:spacing w:after="0" w:line="203" w:lineRule="exact"/>
        <w:rPr>
          <w:rFonts w:ascii="Arial" w:cs="Arial" w:eastAsia="Arial" w:hAnsi="Arial"/>
          <w:sz w:val="14"/>
          <w:szCs w:val="14"/>
          <w:color w:val="auto"/>
        </w:rPr>
      </w:pPr>
    </w:p>
    <w:p>
      <w:pPr>
        <w:ind w:left="380" w:hanging="330"/>
        <w:spacing w:after="0"/>
        <w:tabs>
          <w:tab w:leader="none" w:pos="3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New Signature US, Inc. is a subsidiary of BSI Platform Holdings, LLC.</w:t>
      </w:r>
    </w:p>
    <w:p>
      <w:pPr>
        <w:spacing w:after="0" w:line="20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tables show certain summarized financial information for HSLFI as of March 31, 2020 and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2019:</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98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2019</w:t>
            </w:r>
          </w:p>
        </w:tc>
      </w:tr>
      <w:tr>
        <w:trPr>
          <w:trHeight w:val="142"/>
        </w:trPr>
        <w:tc>
          <w:tcPr>
            <w:tcW w:w="6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80" w:type="dxa"/>
            <w:vAlign w:val="bottom"/>
            <w:gridSpan w:val="4"/>
          </w:tcPr>
          <w:p>
            <w:pPr>
              <w:jc w:val="right"/>
              <w:ind w:right="613"/>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Selected Statement of Assets and Liabilities Information</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Total investments at fair value (cost of $34,434 and $34,895, respectively)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34,069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34,829</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Investments in money market funds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11,201</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investments in money market funds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Interest receivable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50"/>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36,465</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48,257</w:t>
            </w:r>
          </w:p>
        </w:tc>
      </w:tr>
      <w:tr>
        <w:trPr>
          <w:trHeight w:val="196"/>
        </w:trPr>
        <w:tc>
          <w:tcPr>
            <w:tcW w:w="6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Borrowings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2,648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14,955</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10"/>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15,081</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Members’ equity</w:t>
            </w: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33,764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33,176</w:t>
            </w:r>
          </w:p>
        </w:tc>
      </w:tr>
      <w:tr>
        <w:trPr>
          <w:trHeight w:val="209"/>
        </w:trPr>
        <w:tc>
          <w:tcPr>
            <w:tcW w:w="65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members’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36,465</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48,257</w:t>
            </w:r>
          </w:p>
        </w:tc>
      </w:tr>
      <w:tr>
        <w:trPr>
          <w:trHeight w:val="20"/>
        </w:trPr>
        <w:tc>
          <w:tcPr>
            <w:tcW w:w="6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For the three months ended</w:t>
            </w:r>
          </w:p>
        </w:tc>
      </w:tr>
      <w:tr>
        <w:trPr>
          <w:trHeight w:val="171"/>
        </w:trPr>
        <w:tc>
          <w:tcPr>
            <w:tcW w:w="42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2"/>
          </w:tcPr>
          <w:p>
            <w:pPr>
              <w:jc w:val="center"/>
              <w:ind w:left="337"/>
              <w:spacing w:after="0"/>
              <w:rPr>
                <w:sz w:val="20"/>
                <w:szCs w:val="20"/>
                <w:color w:val="auto"/>
              </w:rPr>
            </w:pPr>
            <w:r>
              <w:rPr>
                <w:rFonts w:ascii="Arial" w:cs="Arial" w:eastAsia="Arial" w:hAnsi="Arial"/>
                <w:sz w:val="14"/>
                <w:szCs w:val="14"/>
                <w:b w:val="1"/>
                <w:bCs w:val="1"/>
                <w:color w:val="auto"/>
                <w:w w:val="99"/>
              </w:rPr>
              <w:t>March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2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17"/>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2"/>
                <w:szCs w:val="12"/>
                <w:color w:val="auto"/>
              </w:rPr>
            </w:pPr>
          </w:p>
        </w:tc>
      </w:tr>
      <w:tr>
        <w:trPr>
          <w:trHeight w:val="142"/>
        </w:trPr>
        <w:tc>
          <w:tcPr>
            <w:tcW w:w="42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left="377"/>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Selected Statements of Operations Information</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Interest income on investments</w:t>
            </w:r>
          </w:p>
        </w:tc>
        <w:tc>
          <w:tcPr>
            <w:tcW w:w="2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1,024</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849</w:t>
            </w: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164</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2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860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662</w:t>
            </w: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realized gain on investments</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26</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color w:val="auto"/>
                <w:w w:val="92"/>
              </w:rPr>
              <w:t>Net unrealized (depreciation) appreciation on investments</w:t>
            </w:r>
          </w:p>
        </w:tc>
        <w:tc>
          <w:tcPr>
            <w:tcW w:w="2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(298)</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r>
      <w:tr>
        <w:trPr>
          <w:trHeight w:val="21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increase in net assets resulting from operations</w:t>
            </w:r>
          </w:p>
        </w:tc>
        <w:tc>
          <w:tcPr>
            <w:tcW w:w="2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7"/>
              <w:spacing w:after="0"/>
              <w:rPr>
                <w:sz w:val="20"/>
                <w:szCs w:val="20"/>
                <w:color w:val="auto"/>
              </w:rPr>
            </w:pPr>
            <w:r>
              <w:rPr>
                <w:rFonts w:ascii="Arial" w:cs="Arial" w:eastAsia="Arial" w:hAnsi="Arial"/>
                <w:sz w:val="18"/>
                <w:szCs w:val="18"/>
                <w:color w:val="auto"/>
              </w:rPr>
              <w:t>588</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8"/>
                <w:szCs w:val="18"/>
                <w:color w:val="auto"/>
              </w:rPr>
            </w:pPr>
          </w:p>
        </w:tc>
      </w:tr>
      <w:tr>
        <w:trPr>
          <w:trHeight w:val="878"/>
        </w:trPr>
        <w:tc>
          <w:tcPr>
            <w:tcW w:w="4280" w:type="dxa"/>
            <w:vAlign w:val="bottom"/>
          </w:tcPr>
          <w:p>
            <w:pPr>
              <w:spacing w:after="0"/>
              <w:rPr>
                <w:sz w:val="24"/>
                <w:szCs w:val="24"/>
                <w:color w:val="auto"/>
              </w:rPr>
            </w:pPr>
          </w:p>
        </w:tc>
        <w:tc>
          <w:tcPr>
            <w:tcW w:w="2420" w:type="dxa"/>
            <w:vAlign w:val="bottom"/>
          </w:tcPr>
          <w:p>
            <w:pPr>
              <w:jc w:val="right"/>
              <w:ind w:right="205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4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results of operations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As a BDC and a RIC, we are subject to certain constraints on our operations, including limitations imposed by the 1940 Act and the Code. The consolidated results of operations described below may not be indicative of the results we report in future periods.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March 31, 2020 and 2019</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following table shows consolidated results of operations for the three months ended March, 2020 and 2019:</w:t>
      </w:r>
    </w:p>
    <w:p>
      <w:pPr>
        <w:spacing w:after="0" w:line="242" w:lineRule="exact"/>
        <w:rPr>
          <w:sz w:val="20"/>
          <w:szCs w:val="20"/>
          <w:color w:val="auto"/>
        </w:rPr>
      </w:pPr>
    </w:p>
    <w:p>
      <w:pPr>
        <w:jc w:val="center"/>
        <w:ind w:left="6340"/>
        <w:spacing w:after="0"/>
        <w:rPr>
          <w:sz w:val="20"/>
          <w:szCs w:val="20"/>
          <w:color w:val="auto"/>
        </w:rPr>
      </w:pPr>
      <w:r>
        <w:rPr>
          <w:rFonts w:ascii="Arial" w:cs="Arial" w:eastAsia="Arial" w:hAnsi="Arial"/>
          <w:sz w:val="14"/>
          <w:szCs w:val="14"/>
          <w:b w:val="1"/>
          <w:bCs w:val="1"/>
          <w:color w:val="auto"/>
        </w:rPr>
        <w:t>For the three months ended</w:t>
      </w:r>
    </w:p>
    <w:p>
      <w:pPr>
        <w:jc w:val="center"/>
        <w:ind w:left="632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5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5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00" w:type="dxa"/>
            <w:vAlign w:val="bottom"/>
            <w:gridSpan w:val="4"/>
          </w:tcPr>
          <w:p>
            <w:pPr>
              <w:jc w:val="right"/>
              <w:ind w:right="9"/>
              <w:spacing w:after="0" w:line="142"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122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10,114</w:t>
            </w:r>
          </w:p>
        </w:tc>
        <w:tc>
          <w:tcPr>
            <w:tcW w:w="2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49"/>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8,306</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expenses</w:t>
            </w:r>
          </w:p>
        </w:tc>
        <w:tc>
          <w:tcPr>
            <w:tcW w:w="9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Performance based incentive fee waived</w:t>
            </w:r>
          </w:p>
        </w:tc>
        <w:tc>
          <w:tcPr>
            <w:tcW w:w="9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expenses</w:t>
            </w:r>
          </w:p>
        </w:tc>
        <w:tc>
          <w:tcPr>
            <w:tcW w:w="9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5,832</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5,073</w:t>
            </w: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9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3,233</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Arial" w:cs="Arial" w:eastAsia="Arial" w:hAnsi="Arial"/>
                <w:sz w:val="18"/>
                <w:szCs w:val="18"/>
                <w:color w:val="auto"/>
              </w:rPr>
              <w:t>Net realized gain on investments</w:t>
            </w: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9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50"/>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9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2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3,025</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Average debt investments, at fair value</w:t>
            </w:r>
          </w:p>
        </w:tc>
        <w:tc>
          <w:tcPr>
            <w:tcW w:w="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292,806</w:t>
            </w: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221,933</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Average borrowings outstanding</w:t>
            </w:r>
          </w:p>
        </w:tc>
        <w:tc>
          <w:tcPr>
            <w:tcW w:w="96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155,111</w:t>
            </w:r>
          </w:p>
        </w:tc>
        <w:tc>
          <w:tcPr>
            <w:tcW w:w="2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124,697</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324"/>
        <w:spacing w:after="0" w:line="311" w:lineRule="auto"/>
        <w:rPr>
          <w:sz w:val="20"/>
          <w:szCs w:val="20"/>
          <w:color w:val="auto"/>
        </w:rPr>
      </w:pPr>
      <w:r>
        <w:rPr>
          <w:rFonts w:ascii="Arial" w:cs="Arial" w:eastAsia="Arial" w:hAnsi="Arial"/>
          <w:sz w:val="16"/>
          <w:szCs w:val="16"/>
          <w:color w:val="auto"/>
        </w:rPr>
        <w:t>Net (decrease) increase in net assets resulting from operations can vary substantially from period to period for various reasons, including the recognition of realized gains and losses and unrealized appreciation and depreciation on investments. As a result, quarterly comparisons of net increase in net assets resulting from operations may not be meaningful.</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left="60" w:right="59" w:firstLine="324"/>
        <w:spacing w:after="0" w:line="269" w:lineRule="auto"/>
        <w:rPr>
          <w:sz w:val="20"/>
          <w:szCs w:val="20"/>
          <w:color w:val="auto"/>
        </w:rPr>
      </w:pPr>
      <w:r>
        <w:rPr>
          <w:rFonts w:ascii="Arial" w:cs="Arial" w:eastAsia="Arial" w:hAnsi="Arial"/>
          <w:sz w:val="17"/>
          <w:szCs w:val="17"/>
          <w:color w:val="auto"/>
        </w:rPr>
        <w:t>Total investment income increased by $1.8 million, or 21.8%, to $10.1 million for the three months ended March 31, 2020 as compared to the three months ended March 31, 2019. For the three months ended March 31, 2020, total investment income consisted primarily of $9.6 million in interest income from investments, which included $2.1 million in income from the accretion of origination fees and ETPs, $0.1 million in fee income and $0.4 million in dividend income. Interest income on debt investments increased by $1.9 million, or 25.1%, to $9.6 million for the three months ended March 31, 2020 compared to the three months ended March 31, 2019. Interest income on debt investments for the three months ended March 31, 2020 as compared to the three months ended March 31, 2019 increased primarily due to an increase of $70.9 million, or 31.9%, in the average size of our debt investment portfolio, partially offset by a decrease in one-month LIBOR which is the base rate for most of our variable rate debt investments. Fee income, which includes success fee, other fee and prepayment fee income on debt investments, decreased by $0.2 million, or 66.0%, to $0.1 million for the three months ended March 31, 2020 compared to the three months ended March 31, 2019 primarily due to an decrease in fees earned on lower principal prepayments received.</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shows our dollar-weighted annualized yield for the three months ended March 31, 2020 and 2019: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Investment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15240</wp:posOffset>
            </wp:positionV>
            <wp:extent cx="564896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5" w:lineRule="exact"/>
        <w:rPr>
          <w:sz w:val="20"/>
          <w:szCs w:val="20"/>
          <w:color w:val="auto"/>
        </w:rPr>
      </w:pPr>
    </w:p>
    <w:p>
      <w:pPr>
        <w:ind w:left="60"/>
        <w:spacing w:after="0"/>
        <w:rPr>
          <w:sz w:val="20"/>
          <w:szCs w:val="20"/>
          <w:color w:val="auto"/>
        </w:rPr>
      </w:pPr>
      <w:r>
        <w:rPr>
          <w:rFonts w:ascii="Arial" w:cs="Arial" w:eastAsia="Arial" w:hAnsi="Arial"/>
          <w:sz w:val="14"/>
          <w:szCs w:val="14"/>
          <w:color w:val="auto"/>
        </w:rPr>
        <w:t>Debt investments</w:t>
      </w:r>
      <w:r>
        <w:rPr>
          <w:rFonts w:ascii="Arial" w:cs="Arial" w:eastAsia="Arial" w:hAnsi="Arial"/>
          <w:sz w:val="10"/>
          <w:szCs w:val="10"/>
          <w:color w:val="auto"/>
        </w:rPr>
        <w:t>(1)(2)</w:t>
      </w:r>
    </w:p>
    <w:p>
      <w:pPr>
        <w:spacing w:after="0" w:line="48" w:lineRule="exact"/>
        <w:rPr>
          <w:sz w:val="20"/>
          <w:szCs w:val="20"/>
          <w:color w:val="auto"/>
        </w:rPr>
      </w:pPr>
    </w:p>
    <w:p>
      <w:pPr>
        <w:ind w:left="60"/>
        <w:spacing w:after="0"/>
        <w:rPr>
          <w:sz w:val="20"/>
          <w:szCs w:val="20"/>
          <w:color w:val="auto"/>
        </w:rPr>
      </w:pPr>
      <w:r>
        <w:rPr>
          <w:rFonts w:ascii="Arial" w:cs="Arial" w:eastAsia="Arial" w:hAnsi="Arial"/>
          <w:sz w:val="13"/>
          <w:szCs w:val="13"/>
          <w:color w:val="auto"/>
        </w:rPr>
        <w:t>Equity interest in HSLFI and debt investments</w:t>
      </w:r>
      <w:r>
        <w:rPr>
          <w:rFonts w:ascii="Arial" w:cs="Arial" w:eastAsia="Arial" w:hAnsi="Arial"/>
          <w:sz w:val="9"/>
          <w:szCs w:val="9"/>
          <w:color w:val="auto"/>
        </w:rPr>
        <w:t>(1)(3)</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4"/>
          <w:szCs w:val="14"/>
          <w:color w:val="auto"/>
        </w:rPr>
        <w:t>Equity interest in HSLFI</w:t>
      </w:r>
      <w:r>
        <w:rPr>
          <w:rFonts w:ascii="Arial" w:cs="Arial" w:eastAsia="Arial" w:hAnsi="Arial"/>
          <w:sz w:val="10"/>
          <w:szCs w:val="1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-89535</wp:posOffset>
            </wp:positionV>
            <wp:extent cx="564896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5" w:lineRule="exact"/>
        <w:rPr>
          <w:sz w:val="20"/>
          <w:szCs w:val="20"/>
          <w:color w:val="auto"/>
        </w:rPr>
      </w:pPr>
    </w:p>
    <w:p>
      <w:pPr>
        <w:ind w:left="60"/>
        <w:spacing w:after="0"/>
        <w:rPr>
          <w:sz w:val="20"/>
          <w:szCs w:val="20"/>
          <w:color w:val="auto"/>
        </w:rPr>
      </w:pPr>
      <w:r>
        <w:rPr>
          <w:rFonts w:ascii="Arial" w:cs="Arial" w:eastAsia="Arial" w:hAnsi="Arial"/>
          <w:sz w:val="14"/>
          <w:szCs w:val="14"/>
          <w:color w:val="auto"/>
        </w:rPr>
        <w:t>All investments</w:t>
      </w:r>
      <w:r>
        <w:rPr>
          <w:rFonts w:ascii="Arial" w:cs="Arial" w:eastAsia="Arial" w:hAnsi="Arial"/>
          <w:sz w:val="10"/>
          <w:szCs w:val="1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123825</wp:posOffset>
            </wp:positionV>
            <wp:extent cx="141414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jc w:val="center"/>
        <w:ind w:right="319"/>
        <w:spacing w:after="0"/>
        <w:rPr>
          <w:sz w:val="20"/>
          <w:szCs w:val="20"/>
          <w:color w:val="auto"/>
        </w:rPr>
      </w:pPr>
      <w:r>
        <w:rPr>
          <w:rFonts w:ascii="Arial" w:cs="Arial" w:eastAsia="Arial" w:hAnsi="Arial"/>
          <w:sz w:val="12"/>
          <w:szCs w:val="12"/>
          <w:b w:val="1"/>
          <w:bCs w:val="1"/>
          <w:color w:val="auto"/>
        </w:rPr>
        <w:t>For the three months ended</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-3175</wp:posOffset>
            </wp:positionV>
            <wp:extent cx="118300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83005" cy="8890"/>
                    </a:xfrm>
                    <a:prstGeom prst="rect">
                      <a:avLst/>
                    </a:prstGeom>
                    <a:noFill/>
                  </pic:spPr>
                </pic:pic>
              </a:graphicData>
            </a:graphic>
          </wp:anchor>
        </w:drawing>
      </w:r>
    </w:p>
    <w:p>
      <w:pPr>
        <w:ind w:left="180"/>
        <w:spacing w:after="0"/>
        <w:tabs>
          <w:tab w:leader="none" w:pos="122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9" w:lineRule="exact"/>
        <w:rPr>
          <w:sz w:val="20"/>
          <w:szCs w:val="20"/>
          <w:color w:val="auto"/>
        </w:rPr>
      </w:pPr>
    </w:p>
    <w:p>
      <w:pPr>
        <w:jc w:val="right"/>
        <w:ind w:right="79"/>
        <w:spacing w:after="0"/>
        <w:tabs>
          <w:tab w:leader="none" w:pos="500" w:val="left"/>
        </w:tabs>
        <w:rPr>
          <w:sz w:val="20"/>
          <w:szCs w:val="20"/>
          <w:color w:val="auto"/>
        </w:rPr>
      </w:pPr>
      <w:r>
        <w:rPr>
          <w:rFonts w:ascii="Arial" w:cs="Arial" w:eastAsia="Arial" w:hAnsi="Arial"/>
          <w:sz w:val="18"/>
          <w:szCs w:val="18"/>
          <w:color w:val="auto"/>
        </w:rPr>
        <w:t>13.2 %</w:t>
      </w:r>
      <w:r>
        <w:rPr>
          <w:sz w:val="20"/>
          <w:szCs w:val="20"/>
          <w:color w:val="auto"/>
        </w:rPr>
        <w:tab/>
      </w:r>
      <w:r>
        <w:rPr>
          <w:rFonts w:ascii="Arial" w:cs="Arial" w:eastAsia="Arial" w:hAnsi="Arial"/>
          <w:sz w:val="16"/>
          <w:szCs w:val="16"/>
          <w:color w:val="auto"/>
        </w:rPr>
        <w:t>14.4 %</w:t>
      </w:r>
    </w:p>
    <w:p>
      <w:pPr>
        <w:spacing w:after="0" w:line="8" w:lineRule="exact"/>
        <w:rPr>
          <w:sz w:val="20"/>
          <w:szCs w:val="20"/>
          <w:color w:val="auto"/>
        </w:rPr>
      </w:pPr>
    </w:p>
    <w:p>
      <w:pPr>
        <w:jc w:val="right"/>
        <w:ind w:right="79"/>
        <w:spacing w:after="0"/>
        <w:tabs>
          <w:tab w:leader="none" w:pos="500" w:val="left"/>
        </w:tabs>
        <w:rPr>
          <w:sz w:val="20"/>
          <w:szCs w:val="20"/>
          <w:color w:val="auto"/>
        </w:rPr>
      </w:pPr>
      <w:r>
        <w:rPr>
          <w:rFonts w:ascii="Arial" w:cs="Arial" w:eastAsia="Arial" w:hAnsi="Arial"/>
          <w:sz w:val="18"/>
          <w:szCs w:val="18"/>
          <w:color w:val="auto"/>
        </w:rPr>
        <w:t>13.1 %</w:t>
      </w:r>
      <w:r>
        <w:rPr>
          <w:sz w:val="20"/>
          <w:szCs w:val="20"/>
          <w:color w:val="auto"/>
        </w:rPr>
        <w:tab/>
      </w:r>
      <w:r>
        <w:rPr>
          <w:rFonts w:ascii="Arial" w:cs="Arial" w:eastAsia="Arial" w:hAnsi="Arial"/>
          <w:sz w:val="16"/>
          <w:szCs w:val="16"/>
          <w:color w:val="auto"/>
        </w:rPr>
        <w:t>14.1 %</w:t>
      </w:r>
    </w:p>
    <w:p>
      <w:pPr>
        <w:spacing w:after="0" w:line="9" w:lineRule="exact"/>
        <w:rPr>
          <w:sz w:val="20"/>
          <w:szCs w:val="20"/>
          <w:color w:val="auto"/>
        </w:rPr>
      </w:pPr>
    </w:p>
    <w:p>
      <w:pPr>
        <w:ind w:left="360"/>
        <w:spacing w:after="0"/>
        <w:tabs>
          <w:tab w:leader="none" w:pos="1400" w:val="left"/>
        </w:tabs>
        <w:rPr>
          <w:sz w:val="20"/>
          <w:szCs w:val="20"/>
          <w:color w:val="auto"/>
        </w:rPr>
      </w:pPr>
      <w:r>
        <w:rPr>
          <w:rFonts w:ascii="Arial" w:cs="Arial" w:eastAsia="Arial" w:hAnsi="Arial"/>
          <w:sz w:val="18"/>
          <w:szCs w:val="18"/>
          <w:color w:val="auto"/>
        </w:rPr>
        <w:t>10.9 %</w:t>
      </w:r>
      <w:r>
        <w:rPr>
          <w:sz w:val="20"/>
          <w:szCs w:val="20"/>
          <w:color w:val="auto"/>
        </w:rPr>
        <w:tab/>
      </w:r>
      <w:r>
        <w:rPr>
          <w:rFonts w:ascii="Arial" w:cs="Arial" w:eastAsia="Arial" w:hAnsi="Arial"/>
          <w:sz w:val="16"/>
          <w:szCs w:val="16"/>
          <w:color w:val="auto"/>
        </w:rPr>
        <w:t>10.0</w:t>
      </w:r>
    </w:p>
    <w:p>
      <w:pPr>
        <w:spacing w:after="0" w:line="9" w:lineRule="exact"/>
        <w:rPr>
          <w:sz w:val="20"/>
          <w:szCs w:val="20"/>
          <w:color w:val="auto"/>
        </w:rPr>
      </w:pPr>
    </w:p>
    <w:p>
      <w:pPr>
        <w:jc w:val="right"/>
        <w:ind w:right="79"/>
        <w:spacing w:after="0"/>
        <w:tabs>
          <w:tab w:leader="none" w:pos="500" w:val="left"/>
        </w:tabs>
        <w:rPr>
          <w:sz w:val="20"/>
          <w:szCs w:val="20"/>
          <w:color w:val="auto"/>
        </w:rPr>
      </w:pPr>
      <w:r>
        <w:rPr>
          <w:rFonts w:ascii="Arial" w:cs="Arial" w:eastAsia="Arial" w:hAnsi="Arial"/>
          <w:sz w:val="18"/>
          <w:szCs w:val="18"/>
          <w:color w:val="auto"/>
        </w:rPr>
        <w:t>12.6 %</w:t>
      </w:r>
      <w:r>
        <w:rPr>
          <w:sz w:val="20"/>
          <w:szCs w:val="20"/>
          <w:color w:val="auto"/>
        </w:rPr>
        <w:tab/>
      </w:r>
      <w:r>
        <w:rPr>
          <w:rFonts w:ascii="Arial" w:cs="Arial" w:eastAsia="Arial" w:hAnsi="Arial"/>
          <w:sz w:val="16"/>
          <w:szCs w:val="16"/>
          <w:color w:val="auto"/>
        </w:rPr>
        <w:t>13.1 %</w:t>
      </w:r>
    </w:p>
    <w:p>
      <w:pPr>
        <w:spacing w:after="0" w:line="200" w:lineRule="exact"/>
        <w:rPr>
          <w:sz w:val="20"/>
          <w:szCs w:val="20"/>
          <w:color w:val="auto"/>
        </w:rPr>
      </w:pPr>
    </w:p>
    <w:p>
      <w:pPr>
        <w:sectPr>
          <w:pgSz w:w="11900" w:h="16838" w:orient="portrait"/>
          <w:cols w:equalWidth="0" w:num="2">
            <w:col w:w="6280" w:space="720"/>
            <w:col w:w="2019"/>
          </w:cols>
          <w:pgMar w:left="1440" w:top="517"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380" w:right="79" w:hanging="330"/>
        <w:spacing w:after="0" w:line="291" w:lineRule="auto"/>
        <w:tabs>
          <w:tab w:leader="none" w:pos="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calculate the dollar-weighted annualized yield on average investment type for any period as (1) total related investment income during the period divided by (2) the average of the fair value of the investment type outstanding on</w:t>
      </w:r>
    </w:p>
    <w:p>
      <w:pPr>
        <w:jc w:val="both"/>
        <w:ind w:left="380" w:right="79" w:hanging="6"/>
        <w:spacing w:after="0" w:line="302" w:lineRule="auto"/>
        <w:tabs>
          <w:tab w:leader="none" w:pos="639" w:val="left"/>
        </w:tabs>
        <w:numPr>
          <w:ilvl w:val="1"/>
          <w:numId w:val="26"/>
        </w:numPr>
        <w:rPr>
          <w:rFonts w:ascii="Arial" w:cs="Arial" w:eastAsia="Arial" w:hAnsi="Arial"/>
          <w:sz w:val="16"/>
          <w:szCs w:val="16"/>
          <w:color w:val="auto"/>
        </w:rPr>
      </w:pPr>
      <w:r>
        <w:rPr>
          <w:rFonts w:ascii="Arial" w:cs="Arial" w:eastAsia="Arial" w:hAnsi="Arial"/>
          <w:sz w:val="16"/>
          <w:szCs w:val="16"/>
          <w:color w:val="auto"/>
        </w:rPr>
        <w:t>the last day of the calendar month immediately preceding the first day of the period and (b) the last day of each calendar month during the period. The dollar-weighted annualized yield on average investment type is higher than what investors will realize because it does not reflect our expenses or any sales load paid by investors</w:t>
      </w:r>
    </w:p>
    <w:p>
      <w:pPr>
        <w:spacing w:after="0" w:line="155" w:lineRule="exact"/>
        <w:rPr>
          <w:rFonts w:ascii="Arial" w:cs="Arial" w:eastAsia="Arial" w:hAnsi="Arial"/>
          <w:sz w:val="16"/>
          <w:szCs w:val="16"/>
          <w:color w:val="auto"/>
        </w:rPr>
      </w:pPr>
    </w:p>
    <w:p>
      <w:pPr>
        <w:ind w:left="380" w:right="79" w:hanging="330"/>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any yield from warrants, equity, other investments and equity interest in HSLFI. Related investment income includes interest income and fee income from debt investments.</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any yield from warrants, equity and other investments. Related investment income includes interest income and fee income from debt investments and dividend income from equity interest in HSLFI.</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any yield from debt investments, warrants, equity and other investments. Related investment income includes dividend income from equity interest in HSLFI.</w:t>
      </w:r>
    </w:p>
    <w:p>
      <w:pPr>
        <w:spacing w:after="0" w:line="170" w:lineRule="exact"/>
        <w:rPr>
          <w:rFonts w:ascii="Arial" w:cs="Arial" w:eastAsia="Arial" w:hAnsi="Arial"/>
          <w:sz w:val="18"/>
          <w:szCs w:val="18"/>
          <w:color w:val="auto"/>
        </w:rPr>
      </w:pPr>
    </w:p>
    <w:p>
      <w:pPr>
        <w:ind w:left="380" w:right="79" w:hanging="330"/>
        <w:spacing w:after="0" w:line="277"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any yield from debt investments, warrants, equity, other investments and equity interest in HSFLI. Related investment income includes interest income, fee income and dividend income.</w:t>
      </w:r>
    </w:p>
    <w:p>
      <w:pPr>
        <w:spacing w:after="0" w:line="170"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Investment income, consisting of interest income and fees on debt investments, can fluctuate significantly upon repayment of large debt investments. Interest income from the five largest debt investments in the aggregate accounted for 28% and 26% of investment income for the three months ended March 31, 2020 and 2019, respectively.</w:t>
      </w:r>
    </w:p>
    <w:p>
      <w:pPr>
        <w:spacing w:after="0" w:line="14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7"/>
          <w:szCs w:val="17"/>
          <w:color w:val="auto"/>
        </w:rPr>
        <w:t>Net expenses increased by $0.8 million, or 15.0%, to $5.8 million for the three months ended March 31, 2020 as compared to the three months ended March 31, 2019. Total expenses for each period consisted of interest expense, base management fee, incentive and administrative fees, professional fees and general and administrative expenses.</w:t>
      </w:r>
    </w:p>
    <w:p>
      <w:pPr>
        <w:spacing w:after="0" w:line="165" w:lineRule="exact"/>
        <w:rPr>
          <w:sz w:val="20"/>
          <w:szCs w:val="20"/>
          <w:color w:val="auto"/>
        </w:rPr>
      </w:pPr>
    </w:p>
    <w:p>
      <w:pPr>
        <w:jc w:val="both"/>
        <w:ind w:left="60" w:right="79" w:firstLine="324"/>
        <w:spacing w:after="0" w:line="301" w:lineRule="auto"/>
        <w:rPr>
          <w:sz w:val="20"/>
          <w:szCs w:val="20"/>
          <w:color w:val="auto"/>
        </w:rPr>
      </w:pPr>
      <w:r>
        <w:rPr>
          <w:rFonts w:ascii="Arial" w:cs="Arial" w:eastAsia="Arial" w:hAnsi="Arial"/>
          <w:sz w:val="16"/>
          <w:szCs w:val="16"/>
          <w:color w:val="auto"/>
        </w:rPr>
        <w:t>Interest expense increased by $0.1 million, or 5.6%, to $2.2 million for the three months ended March 31, 2020 as compared to the three months ended March 31, 2019. Interest expense, which includes the amortization of debt issuance costs, increased primarily due to an increase in average borrowings of $30.4 million, or 24.4% offset by a reduction in our effective cost of debt, for the three months ended March 31, 2020 as compared to the three months ended March 31, 2019.</w:t>
      </w:r>
    </w:p>
    <w:p>
      <w:pPr>
        <w:spacing w:after="0" w:line="157"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Base management fee expense increased by $0.3 million, or 22.0%, to $1.6 million for the three months ended March 31, 2020 as compared to the three months ended March 31, 2019. Base management fee increased primarily due to an increase of $70.9 million, or 31.9%, in the average size of our investment portfolio for the three months ended March 31, 2020 as compared to the three months ended March 31, 2019, offset by the reduced management fee rate on which the base management fee is calculated for assets in excess of $250 million.</w:t>
      </w:r>
    </w:p>
    <w:p>
      <w:pPr>
        <w:spacing w:after="0" w:line="176"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On March 5, 2019, our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 During the three months ended March 31, 2019, our Advisor waived performance based incentive fees of $1.1 million which our Advisor would have otherwise been paid. This resulted in $1.1 million of reduced expense and additional net investment income for the three months ended March 31, 2019.</w:t>
      </w:r>
    </w:p>
    <w:p>
      <w:pPr>
        <w:spacing w:after="0" w:line="192"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Performance based incentive fee expense, net of the waiver above, increased by $0.3 million, or 32.5%, to $1.1 million for the three months ended March 31, 2020 as compared to the three months ended March 31, 2019. This increase was due to an increase of $1.3 million, or 32.5%, in Pre-Incentive Fee Net Investment Income for the three months ended March 31, 2020 compared to the three months ended March 31, 2019.</w:t>
      </w:r>
    </w:p>
    <w:p>
      <w:pPr>
        <w:spacing w:after="0" w:line="18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Administrative fee expense, professional fees and general and administrative were $1.0 million and $0.9 million for the three months ended March 31, 2020 and 2019, respectively.</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realized gains and losses and net unrealized appreciation and depreciation</w:t>
      </w:r>
    </w:p>
    <w:p>
      <w:pPr>
        <w:spacing w:after="0" w:line="225"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92"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During the three months ended March 31, 2020, we realized net gains totaling $3.5 million primarily due to the realized gain from the consideration we received from the termination of warrants upon the sale of two portfolio companies. During the three months ended March 31, 2019, we realized net gains totaling $1.2 million primarily from the sale of our equity investment in one portfolio company and from the consideration we received from the termination of warrants upon the sale of one portfolio company.</w:t>
      </w:r>
    </w:p>
    <w:p>
      <w:pPr>
        <w:spacing w:after="0" w:line="188"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During the three months ended March 31, 2020, net unrealized depreciation on investments totaled $8.5 million which was primarily due to (1) the unrealized depreciation on four of our debt investments and (2) the reversal of previously recorded unrealized appreciation from the termination of warrants upon the sale of two portfolio companies. During the three months ended March 31, 2019, net unrealized depreciation on investments totaled $1.4 million which was primarily due to the unrealized depreciation on one of our other investments.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As of March 31, 2020 and December 31, 2019, we had cash and investments in money market funds of $38.8 million and $16.3 million, respectively. Cash is available to fund new investments, reduce borrowings, pay expenses, repurchase common stock and pay distributions. In addition, as of March 31, 2020 and December 31, 2019, we had $1.2 million and $1.1 million, respectively, of restricted investments in money market funds. Restricted investments in money market funds may be used to make monthly interest and principal payments on our Asset-Backed Notes. Our primary sources of capital have been from our public and private equity offerings, use of our revolving credit facilities and issuance of our public debt offerings.</w:t>
      </w:r>
    </w:p>
    <w:p>
      <w:pPr>
        <w:spacing w:after="0" w:line="195" w:lineRule="exact"/>
        <w:rPr>
          <w:sz w:val="20"/>
          <w:szCs w:val="20"/>
          <w:color w:val="auto"/>
        </w:rPr>
      </w:pPr>
    </w:p>
    <w:p>
      <w:pPr>
        <w:jc w:val="both"/>
        <w:ind w:left="60" w:right="59" w:firstLine="401"/>
        <w:spacing w:after="0" w:line="263" w:lineRule="auto"/>
        <w:rPr>
          <w:sz w:val="20"/>
          <w:szCs w:val="20"/>
          <w:color w:val="auto"/>
        </w:rPr>
      </w:pPr>
      <w:r>
        <w:rPr>
          <w:rFonts w:ascii="Arial" w:cs="Arial" w:eastAsia="Arial" w:hAnsi="Arial"/>
          <w:sz w:val="18"/>
          <w:szCs w:val="18"/>
          <w:color w:val="auto"/>
        </w:rPr>
        <w:t>On March 26, 2019, we completed a follow-on public offering of 2,000,000 shares of our common stock at a public offering price of $12.14 per share, for total net proceeds to us of $23.1 million, after deducting underwriting commission and discounts and other offering expenses.</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August 2, 2019 we entered into an At-The-Market (“ATM”) sales agreement (the “Equity Distribution Agreement”), with Goldman Sachs &amp; Co. LLC and B. Riley FBR, Inc. (each a “Sales Agent” and, collectively, the “Sales Agents”). The Equity Distribution Agreement provides that we may offer and sell shares of common stock from time to time through the Sales Agents representing up to $50.0 million worth of our common stock, in amounts and at times to be determined by us.</w:t>
      </w:r>
    </w:p>
    <w:p>
      <w:pPr>
        <w:spacing w:after="0" w:line="188"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During the three months ended March 31, 2020, we sold 1,285,410 shares of common stock under the Equity Distribution Agreement. For the same period, we received total accumulated net proceeds of approximately $16.2 million, including $0.3 million of offering expenses, from these sales.</w:t>
      </w:r>
    </w:p>
    <w:p>
      <w:pPr>
        <w:spacing w:after="0" w:line="184"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On April 24, 2020, our Board extended a previously authorized stock repurchase program which allows us to repurchase up to $5.0 million of our common stock at prices below our net asset value per share as reported in our most recent consolidated financial statements. Under the repurchase program, we may, but are not obligated to, repurchase shares of our outstanding common stock in the open market or in privately negotiated transactions from time to time. Any repurchases by us will comply with the requirements of Rule 10b-18 under the Securities Exchange Act of 1934, as amended, or the Exchange Act, and any applicable requirements of the 1940 Act. Unless extended by our Board, the repurchase program will terminate on the earlier of June 30, 2021 or the repurchase of $5.0 million of our common stock. During the three months ended March 31, 2020 and 2019, we did not make any repurchases of our common stock. From</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inception of the stock repurchase program through March 31, 2020, we repurchased 167,465 shares of our common stock at an average price of $11.22 on the open market at a total cost of $1.9 million.</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At March 31, 2020 and December 31, 2019, the outstanding principal balance under our revolving credit facility, or the Key Facility, with KeyBank National Association was $45.0 million and $17.0 million, respectively. As of March 31, 2020 and December 31, 2019, we had borrowing capacity under the Key Facility of $80.0 million and $108.0 million, respectively. At March 31, 2020 and December 31, 2019, $12.8 million and $24.2 million, respectively, were available, subject to existing terms and advance rates.</w:t>
      </w:r>
    </w:p>
    <w:p>
      <w:pPr>
        <w:spacing w:after="0" w:line="188"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operating activities used cash of $16.7 million for the three months ended March 31, 2020, and our financing activities provided cash of $39.3 million for the same period. Our operating activities used cash primarily to purchase investments in portfolio companies partially offset by principal payments received on our debt investments. Our financing activities provided cash primarily from advances on our Key Facility and the sale of shares through our ATM for net proceeds of $16.2 million, after deducting underwriting commission and discounts and other offering expenses, partially offset by cash used to repay our Key Facility and pay distributions to our stockholders.</w:t>
      </w:r>
    </w:p>
    <w:p>
      <w:pPr>
        <w:spacing w:after="0" w:line="178"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Our operating activities used cash of $15.2 million for the three months ended March 31, 2019, and our financing activities provided cash of $24.7 million for the same period. Our operating activities used cash primarily to purchase investments in portfolio companies partially offset by principal payments received on our debt investments. Our financing activities provided cash primarily from the completion of a follow-on public offering of 2.0 million shares of common stock for net proceeds of $23.2 million, after deducting underwriting commission and discounts and other offering expenses and advances on our Key Facility, partially offset by cash used to repay our Key Facility and pay distributions to our stockholders.</w:t>
      </w:r>
    </w:p>
    <w:p>
      <w:pPr>
        <w:spacing w:after="0" w:line="195"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Our primary use of available funds is to make debt investments in portfolio companies and for general corporate purposes. We expect to raise additional equity and debt capital opportunistically as needed and, subject to market conditions, to support our future growth to the extent permitted by the 1940 Act.</w:t>
      </w:r>
    </w:p>
    <w:p>
      <w:pPr>
        <w:spacing w:after="0" w:line="184"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In order to remain subject to taxation as a RIC, we intend to distribute to our stockholders all or substantially all of our investment company taxable income. In addition, as a BDC, we are required to maintain asset coverage of at least 150%. This requirement limits the amount that we may borrow.</w:t>
      </w:r>
    </w:p>
    <w:p>
      <w:pPr>
        <w:spacing w:after="0" w:line="184" w:lineRule="exact"/>
        <w:rPr>
          <w:sz w:val="20"/>
          <w:szCs w:val="20"/>
          <w:color w:val="auto"/>
        </w:rPr>
      </w:pPr>
    </w:p>
    <w:p>
      <w:pPr>
        <w:jc w:val="both"/>
        <w:ind w:left="60" w:right="59" w:firstLine="324"/>
        <w:spacing w:after="0" w:line="308" w:lineRule="auto"/>
        <w:rPr>
          <w:sz w:val="20"/>
          <w:szCs w:val="20"/>
          <w:color w:val="auto"/>
        </w:rPr>
      </w:pPr>
      <w:r>
        <w:rPr>
          <w:rFonts w:ascii="Arial" w:cs="Arial" w:eastAsia="Arial" w:hAnsi="Arial"/>
          <w:sz w:val="17"/>
          <w:szCs w:val="17"/>
          <w:color w:val="auto"/>
        </w:rPr>
        <w:t>We believe that our current cash, cash generated from operations, and funds available from our Key Facility will be sufficient to meet our working capital and capital expenditure commitments for at least the next 12 months.</w:t>
      </w:r>
    </w:p>
    <w:p>
      <w:pPr>
        <w:spacing w:after="0" w:line="14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Current borrowings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The following table shows our borrowings as of March 31, 2020 and December 31, 2019:</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8"/>
              </w:rPr>
              <w:t>March 31, 2020</w:t>
            </w: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6"/>
          </w:tcPr>
          <w:p>
            <w:pPr>
              <w:ind w:left="660"/>
              <w:spacing w:after="0"/>
              <w:rPr>
                <w:sz w:val="20"/>
                <w:szCs w:val="20"/>
                <w:color w:val="auto"/>
              </w:rPr>
            </w:pPr>
            <w:r>
              <w:rPr>
                <w:rFonts w:ascii="Arial" w:cs="Arial" w:eastAsia="Arial" w:hAnsi="Arial"/>
                <w:sz w:val="14"/>
                <w:szCs w:val="14"/>
                <w:b w:val="1"/>
                <w:bCs w:val="1"/>
                <w:color w:val="auto"/>
                <w:w w:val="98"/>
              </w:rPr>
              <w:t>December 31, 2019</w:t>
            </w:r>
          </w:p>
        </w:tc>
        <w:tc>
          <w:tcPr>
            <w:tcW w:w="680" w:type="dxa"/>
            <w:vAlign w:val="bottom"/>
            <w:tcBorders>
              <w:bottom w:val="single" w:sz="8" w:color="auto"/>
            </w:tcBorders>
          </w:tcPr>
          <w:p>
            <w:pPr>
              <w:spacing w:after="0"/>
              <w:rPr>
                <w:sz w:val="14"/>
                <w:szCs w:val="14"/>
                <w:color w:val="auto"/>
              </w:rPr>
            </w:pPr>
          </w:p>
        </w:tc>
      </w:tr>
      <w:tr>
        <w:trPr>
          <w:trHeight w:val="119"/>
        </w:trPr>
        <w:tc>
          <w:tcPr>
            <w:tcW w:w="3300" w:type="dxa"/>
            <w:vAlign w:val="bottom"/>
          </w:tcPr>
          <w:p>
            <w:pPr>
              <w:spacing w:after="0"/>
              <w:rPr>
                <w:sz w:val="10"/>
                <w:szCs w:val="10"/>
                <w:color w:val="auto"/>
              </w:rPr>
            </w:pPr>
          </w:p>
        </w:tc>
        <w:tc>
          <w:tcPr>
            <w:tcW w:w="84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6"/>
              </w:rPr>
              <w:t>Total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Balance</w:t>
            </w:r>
          </w:p>
        </w:tc>
        <w:tc>
          <w:tcPr>
            <w:tcW w:w="140" w:type="dxa"/>
            <w:vAlign w:val="bottom"/>
          </w:tcPr>
          <w:p>
            <w:pPr>
              <w:spacing w:after="0"/>
              <w:rPr>
                <w:sz w:val="10"/>
                <w:szCs w:val="10"/>
                <w:color w:val="auto"/>
              </w:rPr>
            </w:pPr>
          </w:p>
        </w:tc>
        <w:tc>
          <w:tcPr>
            <w:tcW w:w="66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Unused</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Total</w:t>
            </w:r>
          </w:p>
        </w:tc>
        <w:tc>
          <w:tcPr>
            <w:tcW w:w="120" w:type="dxa"/>
            <w:vAlign w:val="bottom"/>
          </w:tcPr>
          <w:p>
            <w:pPr>
              <w:spacing w:after="0"/>
              <w:rPr>
                <w:sz w:val="10"/>
                <w:szCs w:val="10"/>
                <w:color w:val="auto"/>
              </w:rPr>
            </w:pPr>
          </w:p>
        </w:tc>
        <w:tc>
          <w:tcPr>
            <w:tcW w:w="8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Balance</w:t>
            </w:r>
          </w:p>
        </w:tc>
        <w:tc>
          <w:tcPr>
            <w:tcW w:w="160" w:type="dxa"/>
            <w:vAlign w:val="bottom"/>
          </w:tcPr>
          <w:p>
            <w:pPr>
              <w:spacing w:after="0"/>
              <w:rPr>
                <w:sz w:val="10"/>
                <w:szCs w:val="10"/>
                <w:color w:val="auto"/>
              </w:rPr>
            </w:pPr>
          </w:p>
        </w:tc>
        <w:tc>
          <w:tcPr>
            <w:tcW w:w="680" w:type="dxa"/>
            <w:vAlign w:val="bottom"/>
          </w:tcPr>
          <w:p>
            <w:pPr>
              <w:jc w:val="right"/>
              <w:ind w:right="93"/>
              <w:spacing w:after="0" w:line="119" w:lineRule="exact"/>
              <w:rPr>
                <w:sz w:val="20"/>
                <w:szCs w:val="20"/>
                <w:color w:val="auto"/>
              </w:rPr>
            </w:pPr>
            <w:r>
              <w:rPr>
                <w:rFonts w:ascii="Arial" w:cs="Arial" w:eastAsia="Arial" w:hAnsi="Arial"/>
                <w:sz w:val="13"/>
                <w:szCs w:val="13"/>
                <w:b w:val="1"/>
                <w:bCs w:val="1"/>
                <w:color w:val="auto"/>
              </w:rPr>
              <w:t>Unused</w:t>
            </w:r>
          </w:p>
        </w:tc>
      </w:tr>
      <w:tr>
        <w:trPr>
          <w:trHeight w:val="171"/>
        </w:trPr>
        <w:tc>
          <w:tcPr>
            <w:tcW w:w="3300" w:type="dxa"/>
            <w:vAlign w:val="bottom"/>
          </w:tcPr>
          <w:p>
            <w:pPr>
              <w:spacing w:after="0"/>
              <w:rPr>
                <w:sz w:val="14"/>
                <w:szCs w:val="14"/>
                <w:color w:val="auto"/>
              </w:rPr>
            </w:pPr>
          </w:p>
        </w:tc>
        <w:tc>
          <w:tcPr>
            <w:tcW w:w="8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5"/>
              </w:rPr>
              <w:t>Commitment</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Outstanding</w:t>
            </w:r>
          </w:p>
        </w:tc>
        <w:tc>
          <w:tcPr>
            <w:tcW w:w="9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Commitment</w:t>
            </w:r>
          </w:p>
        </w:tc>
        <w:tc>
          <w:tcPr>
            <w:tcW w:w="96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5"/>
              </w:rPr>
              <w:t>Commitment</w:t>
            </w:r>
          </w:p>
        </w:tc>
        <w:tc>
          <w:tcPr>
            <w:tcW w:w="9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Outstanding</w:t>
            </w: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Commitment</w:t>
            </w:r>
          </w:p>
        </w:tc>
      </w:tr>
      <w:tr>
        <w:trPr>
          <w:trHeight w:val="142"/>
        </w:trPr>
        <w:tc>
          <w:tcPr>
            <w:tcW w:w="3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5"/>
          </w:tcPr>
          <w:p>
            <w:pPr>
              <w:ind w:left="3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Key Facility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$ 125,000</w:t>
            </w:r>
          </w:p>
        </w:tc>
        <w:tc>
          <w:tcPr>
            <w:tcW w:w="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108,000</w:t>
            </w:r>
          </w:p>
        </w:tc>
      </w:tr>
      <w:tr>
        <w:trPr>
          <w:trHeight w:val="216"/>
        </w:trPr>
        <w:tc>
          <w:tcPr>
            <w:tcW w:w="3300" w:type="dxa"/>
            <w:vAlign w:val="bottom"/>
          </w:tcPr>
          <w:p>
            <w:pPr>
              <w:ind w:left="20"/>
              <w:spacing w:after="0"/>
              <w:rPr>
                <w:sz w:val="20"/>
                <w:szCs w:val="20"/>
                <w:color w:val="auto"/>
              </w:rPr>
            </w:pPr>
            <w:r>
              <w:rPr>
                <w:rFonts w:ascii="Arial" w:cs="Arial" w:eastAsia="Arial" w:hAnsi="Arial"/>
                <w:sz w:val="18"/>
                <w:szCs w:val="18"/>
                <w:color w:val="auto"/>
              </w:rPr>
              <w:t>Asset-Backed Notes</w:t>
            </w:r>
          </w:p>
        </w:tc>
        <w:tc>
          <w:tcPr>
            <w:tcW w:w="820" w:type="dxa"/>
            <w:vAlign w:val="bottom"/>
          </w:tcPr>
          <w:p>
            <w:pPr>
              <w:jc w:val="right"/>
              <w:spacing w:after="0"/>
              <w:rPr>
                <w:sz w:val="20"/>
                <w:szCs w:val="20"/>
                <w:color w:val="auto"/>
              </w:rPr>
            </w:pPr>
            <w:r>
              <w:rPr>
                <w:rFonts w:ascii="Arial" w:cs="Arial" w:eastAsia="Arial" w:hAnsi="Arial"/>
                <w:sz w:val="18"/>
                <w:szCs w:val="18"/>
                <w:color w:val="auto"/>
              </w:rPr>
              <w:t>100,000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Notes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before debt issuance costs</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262,375</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182,375</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262,375</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154,375</w:t>
            </w:r>
          </w:p>
        </w:tc>
        <w:tc>
          <w:tcPr>
            <w:tcW w:w="1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108,000</w:t>
            </w:r>
          </w:p>
        </w:tc>
      </w:tr>
      <w:tr>
        <w:trPr>
          <w:trHeight w:val="182"/>
        </w:trPr>
        <w:tc>
          <w:tcPr>
            <w:tcW w:w="33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Unamortized debt issuance costs</w:t>
            </w: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30"/>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 term borrowings</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(2,195)</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(2,325)</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3300" w:type="dxa"/>
            <w:vAlign w:val="bottom"/>
          </w:tcPr>
          <w:p>
            <w:pPr>
              <w:ind w:left="20"/>
              <w:spacing w:after="0"/>
              <w:rPr>
                <w:sz w:val="20"/>
                <w:szCs w:val="20"/>
                <w:color w:val="auto"/>
              </w:rPr>
            </w:pPr>
            <w:r>
              <w:rPr>
                <w:rFonts w:ascii="Arial" w:cs="Arial" w:eastAsia="Arial" w:hAnsi="Arial"/>
                <w:sz w:val="18"/>
                <w:szCs w:val="18"/>
                <w:color w:val="auto"/>
              </w:rPr>
              <w:t>Total borrowings outstanding, net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$ 262,375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180,180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262,375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152,050</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108,000</w:t>
            </w:r>
          </w:p>
        </w:tc>
      </w:tr>
      <w:tr>
        <w:trPr>
          <w:trHeight w:val="20"/>
        </w:trPr>
        <w:tc>
          <w:tcPr>
            <w:tcW w:w="3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We entered into the Key Facility effective November 4, 2013. The interest rate on the Key Facility is based upon the one-month LIBOR plus a spread of 3.25%, with a LIBOR floor of 0.75%. The LIBOR rate was 0.99% and 1.76% as of March 31, 2020 and December 31, 2019, respectively. The interest rates in effect were 4.83% and 4.94% as of March 31,</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2020 and December 31, 2019, respectively. The Key Facility requires the payment of an unused line fee in an amount equal to 0.50% of any unborrowed amount available under the facility annually.</w:t>
      </w:r>
    </w:p>
    <w:p>
      <w:pPr>
        <w:spacing w:after="0" w:line="170" w:lineRule="exact"/>
        <w:rPr>
          <w:sz w:val="20"/>
          <w:szCs w:val="20"/>
          <w:color w:val="auto"/>
        </w:rPr>
      </w:pPr>
    </w:p>
    <w:p>
      <w:pPr>
        <w:jc w:val="both"/>
        <w:ind w:left="60" w:right="59" w:firstLine="324"/>
        <w:spacing w:after="0" w:line="286" w:lineRule="auto"/>
        <w:rPr>
          <w:sz w:val="20"/>
          <w:szCs w:val="20"/>
          <w:color w:val="auto"/>
        </w:rPr>
      </w:pPr>
      <w:r>
        <w:rPr>
          <w:rFonts w:ascii="Arial" w:cs="Arial" w:eastAsia="Arial" w:hAnsi="Arial"/>
          <w:sz w:val="16"/>
          <w:szCs w:val="16"/>
          <w:color w:val="auto"/>
        </w:rPr>
        <w:t>The Key Facility has an accordion feature which allows for an increase in the total loan commitment to $150 million. On December 28, 2018, we amended the Key Facility, increasing the aggregate commitments under the Key Facility by $25 million to $125 million. The Key Facility is collateralized by debt investments held by Horizon Credit II LLC, or Credit II, and permits an advance rate of up to fifty percent (50%) of eligible debt investments held by Credit II. The Key Facility contains covenants that, among other things, require us to maintain a minimum net worth, to restrict the debt investments securing the Key Facility to certain criteria for qualified debt investments and to comply with portfolio company concentration limits as defined in the related loan agreement. The period during which we may request advances under the Key Facility, or the Revolving Period, extends through April 6, 2021. After the Revolving Period, we may not request new advances, and we must repay the outstanding advances under the Key Facility as of such date, at such times and in such amounts as are necessary to maintain compliance with the terms and conditions of the Key Facility, particularly the condition that the principal balance of the Key Facility not exceed fifty percent (50%) of the aggregate principal balance of our eligible debt investments to our portfolio companies. The maturity of the Key Facility, the date on which all outstanding advances under the Key Facility are due and payable, is on April 6, 2023.</w:t>
      </w:r>
    </w:p>
    <w:p>
      <w:pPr>
        <w:spacing w:after="0" w:line="174" w:lineRule="exact"/>
        <w:rPr>
          <w:sz w:val="20"/>
          <w:szCs w:val="20"/>
          <w:color w:val="auto"/>
        </w:rPr>
      </w:pPr>
    </w:p>
    <w:p>
      <w:pPr>
        <w:jc w:val="both"/>
        <w:ind w:left="60" w:right="59" w:firstLine="324"/>
        <w:spacing w:after="0" w:line="284" w:lineRule="auto"/>
        <w:rPr>
          <w:sz w:val="20"/>
          <w:szCs w:val="20"/>
          <w:color w:val="auto"/>
        </w:rPr>
      </w:pPr>
      <w:r>
        <w:rPr>
          <w:rFonts w:ascii="Arial" w:cs="Arial" w:eastAsia="Arial" w:hAnsi="Arial"/>
          <w:sz w:val="16"/>
          <w:szCs w:val="16"/>
          <w:color w:val="auto"/>
        </w:rPr>
        <w:t>On September 29, 2017, we issued and sold an aggregate principal amount of $32.5 million of our 6.25% notes due 2022, or the 2022 Notes, and on October 11, 2017, pursuant to the underwriters’ 30-day option to purchase additional notes, we sold an additional $4.9 million of the 2022 Notes. The 2022 Notes have a stated maturity of September 15, 2022 and may be redeemed in whole or in part at our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our direct, unsecured obligations and (1) rank equally in right of payment with our current and future unsecured indebtedness;</w:t>
      </w:r>
    </w:p>
    <w:p>
      <w:pPr>
        <w:spacing w:after="0" w:line="2" w:lineRule="exact"/>
        <w:rPr>
          <w:sz w:val="20"/>
          <w:szCs w:val="20"/>
          <w:color w:val="auto"/>
        </w:rPr>
      </w:pPr>
    </w:p>
    <w:p>
      <w:pPr>
        <w:jc w:val="both"/>
        <w:ind w:left="60" w:right="59" w:hanging="10"/>
        <w:spacing w:after="0" w:line="270" w:lineRule="auto"/>
        <w:tabs>
          <w:tab w:leader="none" w:pos="327" w:val="left"/>
        </w:tabs>
        <w:numPr>
          <w:ilvl w:val="0"/>
          <w:numId w:val="27"/>
        </w:numPr>
        <w:rPr>
          <w:rFonts w:ascii="Arial" w:cs="Arial" w:eastAsia="Arial" w:hAnsi="Arial"/>
          <w:sz w:val="17"/>
          <w:szCs w:val="17"/>
          <w:color w:val="auto"/>
        </w:rPr>
      </w:pPr>
      <w:r>
        <w:rPr>
          <w:rFonts w:ascii="Arial" w:cs="Arial" w:eastAsia="Arial" w:hAnsi="Arial"/>
          <w:sz w:val="17"/>
          <w:szCs w:val="17"/>
          <w:color w:val="auto"/>
        </w:rPr>
        <w:t>are senior in right of payment to any of our future indebtedness that expressly provides it is subordinated to the 2022 Notes; (3) are effectively subordinated to all of our existing and future secured indebtedness (including indebtedness that is initially unsecured to which we subsequently grant security), to the extent of the value of the assets securing such indebtedness and (4) are structurally subordinated to all existing and future indebtedness and other obligations of any of our subsidiaries. As of March 31, 2020, we were in material compliance with the terms of the 2022 Notes. The 2022 Notes are listed on the New York Stock Exchange under the symbol “HTFA”.</w:t>
      </w:r>
    </w:p>
    <w:p>
      <w:pPr>
        <w:spacing w:after="0" w:line="178"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On August 13, 2019, the Asset-Backed Notes were issued by the 2019-1 Trust pursuant to a note purchase agreement, dated as of August 13, 2019, by and among us and Keybanc Capital Markets Inc. as Initial Purchaser, and are backed by a pool of loans made to certain portfolio companies of ours and secured by certain assets of those portfolio companies and are to be serviced by us. Interest on the Asset-Backed Notes will be paid, to the extent of funds available, at a fixed rate of 4.21% per annum. The Asset-Backed Notes have a two-year reinvestment period and a stated maturity of September 15, 2027. The Asset-Backed Notes were rated A+(sf) by Morningstar Credit Ratings, LLC on August 13, 2019. There has been no change in the rating since August 13, 2019.</w:t>
      </w:r>
    </w:p>
    <w:p>
      <w:pPr>
        <w:spacing w:after="0" w:line="177"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At March 31, 2020, and December 31, 2019, the Asset-Backed Notes had an outstanding principal balance of $100.0 million.</w:t>
      </w:r>
    </w:p>
    <w:p>
      <w:pPr>
        <w:spacing w:after="0" w:line="170"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Under the terms of the Asset-Backed Notes, we are required to maintain a reserve cash balance, funded through proceeds from the sale of the Asset-Backed Notes, which may be used to pay monthly interest and principal payments on the Asset-Backed Notes. The Company has segregated these funds and classified them as restricted investments in money market funds. At March 31, 2020, and December 31, 2019, there was approximately $1.2 million and $1.1 million, respectively, of restricted investments.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assets</w:t>
      </w:r>
    </w:p>
    <w:p>
      <w:pPr>
        <w:spacing w:after="0" w:line="225" w:lineRule="exact"/>
        <w:rPr>
          <w:sz w:val="20"/>
          <w:szCs w:val="20"/>
          <w:color w:val="auto"/>
        </w:rPr>
      </w:pPr>
    </w:p>
    <w:p>
      <w:pPr>
        <w:jc w:val="both"/>
        <w:ind w:left="60" w:right="79" w:firstLine="324"/>
        <w:spacing w:after="0" w:line="277" w:lineRule="auto"/>
        <w:rPr>
          <w:sz w:val="20"/>
          <w:szCs w:val="20"/>
          <w:color w:val="auto"/>
        </w:rPr>
      </w:pPr>
      <w:r>
        <w:rPr>
          <w:rFonts w:ascii="Arial" w:cs="Arial" w:eastAsia="Arial" w:hAnsi="Arial"/>
          <w:sz w:val="18"/>
          <w:szCs w:val="18"/>
          <w:color w:val="auto"/>
        </w:rPr>
        <w:t>As of March 31, 2020 and December 31, 2019, other assets were $1.3 million and $1.5 million, respectively, which is primarily comprised of debt issuance costs and prepaid expenses.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Contractual obligations and off-balance sheet arrangements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following table shows our significant contractual payment obligations and off-balance sheet arrangements as of</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31, 2020:</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center"/>
              <w:ind w:right="420"/>
              <w:spacing w:after="0"/>
              <w:rPr>
                <w:sz w:val="20"/>
                <w:szCs w:val="20"/>
                <w:color w:val="auto"/>
              </w:rPr>
            </w:pPr>
            <w:r>
              <w:rPr>
                <w:rFonts w:ascii="Arial" w:cs="Arial" w:eastAsia="Arial" w:hAnsi="Arial"/>
                <w:sz w:val="14"/>
                <w:szCs w:val="14"/>
                <w:b w:val="1"/>
                <w:bCs w:val="1"/>
                <w:color w:val="auto"/>
                <w:w w:val="92"/>
              </w:rPr>
              <w:t>Payments due by period</w:t>
            </w: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9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1 – 3</w:t>
            </w:r>
          </w:p>
        </w:tc>
        <w:tc>
          <w:tcPr>
            <w:tcW w:w="8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3 – 5</w:t>
            </w:r>
          </w:p>
        </w:tc>
        <w:tc>
          <w:tcPr>
            <w:tcW w:w="5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After 5</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940" w:type="dxa"/>
            <w:vAlign w:val="bottom"/>
            <w:tcBorders>
              <w:bottom w:val="single" w:sz="8" w:color="auto"/>
            </w:tcBorders>
            <w:gridSpan w:val="2"/>
            <w:vMerge w:val="continue"/>
          </w:tcPr>
          <w:p>
            <w:pPr>
              <w:spacing w:after="0"/>
              <w:rPr>
                <w:sz w:val="14"/>
                <w:szCs w:val="14"/>
                <w:color w:val="auto"/>
              </w:rPr>
            </w:pPr>
          </w:p>
        </w:tc>
        <w:tc>
          <w:tcPr>
            <w:tcW w:w="64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1 year</w:t>
            </w: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Years</w:t>
            </w:r>
          </w:p>
        </w:tc>
        <w:tc>
          <w:tcPr>
            <w:tcW w:w="8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Years</w:t>
            </w:r>
          </w:p>
        </w:tc>
        <w:tc>
          <w:tcPr>
            <w:tcW w:w="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Borrowings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$ 182,375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$ 15,714</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$ 122,694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$ 43,967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Unfunded commitments</w:t>
            </w:r>
          </w:p>
        </w:tc>
        <w:tc>
          <w:tcPr>
            <w:tcW w:w="800" w:type="dxa"/>
            <w:vAlign w:val="bottom"/>
          </w:tcPr>
          <w:p>
            <w:pPr>
              <w:jc w:val="right"/>
              <w:spacing w:after="0"/>
              <w:rPr>
                <w:sz w:val="20"/>
                <w:szCs w:val="20"/>
                <w:color w:val="auto"/>
              </w:rPr>
            </w:pPr>
            <w:r>
              <w:rPr>
                <w:rFonts w:ascii="Arial" w:cs="Arial" w:eastAsia="Arial" w:hAnsi="Arial"/>
                <w:sz w:val="18"/>
                <w:szCs w:val="18"/>
                <w:color w:val="auto"/>
              </w:rPr>
              <w:t>43,975</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28,975</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15,000</w:t>
            </w: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$ 226,350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$ 44,689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$ 137,694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$ 43,967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In the normal course of business, we are party to financial instruments with off-balance sheet risk. These consist primarily of unfunded commitments to extend credit, in the form of loans, to our portfolio companies. Unfunded commitments to provide funds to portfolio companies are not reflected on our balance sheet. Our unfunded commitments may be significant from time to time. As of March 31, 2020, we had such unfunded commitments of $44.0 million. This includes no undrawn revolver commitments. These commitments are subject to the same underwriting and ongoing portfolio maintenance requirements as are the financial instruments that we hold on our balance sheet. In addition, these commitments are often subject to financial or non-financial milestones and other conditions to borrowing that must be achieved before the commitment can be drawn. Since these commitments may expire without being drawn upon, the total commitment amount does not necessarily represent future cash requirements. We regularly monitor our unfunded commitments and anticipated refinancings, maturities and capital raising, to ensure that we have sufficient liquidity to fund such unfunded commitments. As of March 31, 2020, we reasonably believed that our assets would provide adequate financial resources to satisfy all of our unfunded commitments.</w:t>
      </w:r>
    </w:p>
    <w:p>
      <w:pPr>
        <w:spacing w:after="0" w:line="168"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addition to the Key Facility, we have certain commitments pursuant to our Investment Management Agreement entered into with our Advisor. We have agreed to pay a fee for investment advisory and management services consisting of two components (1) a base management fee equal to a percentage of the value of our gross assets less cash or cash equivalents, and (2) a two-part incentive fee. We have also entered into a contract with our Advisor to serve as our administrator. Payments under the Administration Agreement are equal to an amount based upon our allocable portion of our Advisor’s overhead in performing its obligations under the agreement, including rent, fees and other expenses inclusive of our allocable portion of the compensation of our Chief Financial Officer and Chief Compliance Officer and their respective staffs. See Note 3 to our consolidated financial statements for additional information regarding our Investment Management Agreement and our Administration Agreement.</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In order to qualify and be subject to tax as a RIC, we must meet certain source-of-income, asset diversification and annual distribution requirements. Generally, in order to qualify as a RIC, we must derive at least 90% of our gross income for each tax year from dividends, interest, payments with respect to certain securities, loans, gains from the sale or other disposition of stock, securities or foreign currencies, income derived from certain publicly traded partnerships, or other income derived with respect to its business of investing in stock or other securities. We must also meet certain asset diversification requirements at the end of each quarter of each tax year. Failure to meet these diversification requirements on the last day of a quarter may result in us having to dispose of certain investments quickly in order to prevent the loss of RIC status. Any such dispositions could be made at disadvantageous prices or times, and may cause us to incur substantial losses.</w:t>
      </w:r>
    </w:p>
    <w:p>
      <w:pPr>
        <w:spacing w:after="0" w:line="181"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addition, in order to be subject to tax as a RIC and to avoid the imposition of corporate-level tax on the income and gains we distribute to our stockholders in respect of any tax year, we are required under the Code to distribute as dividends to our stockholders out of assets legally available for distribution each tax year an amount generally at least equal to 90% of the sum of our net ordinary income and net short-term capital gains in excess of net long-term capital losses, if any. Additionally, in order to avoid the imposition of a U.S. federal excise tax, we are required to distribute, in respect of each calendar year, dividends to our stockholders of an amount at least equal to the sum of 98% of our calendar year net ordinary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income (taking into account certain deferrals and elections); 98.2% of our capital gain net income (adjusted for certain ordinary losses) for the one year period ending on October 31 of such calendar year; and any net ordinary income and capital gain net income for preceding calendar years that were not distributed during such calendar years and on which we previously did not incur any U.S. federal income tax. If we fail to qualify as a RIC for any reason and become subject to corporate tax, the resulting corporate taxes could substantially reduce our net assets, the amount of income available for distribution and the amount of our distributions. Such a failure would have a material adverse effect on us and our stockholders. In addition, we could be required to recognize unrealized gains, incur substantial taxes and interest and make substantial distributions in order to re-qualify as a RIC. We cannot assure stockholders that they will receive any distributions.</w:t>
      </w:r>
    </w:p>
    <w:p>
      <w:pPr>
        <w:spacing w:after="0" w:line="196"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To the extent our taxable earnings in a tax year fall below the total amount of our distributions made to stockholders in respect of such tax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review any written disclosure accompanying a distribution payment carefully and should not assume that the source of any distribution is our ordinary income or gains.</w:t>
      </w:r>
    </w:p>
    <w:p>
      <w:pPr>
        <w:spacing w:after="0" w:line="161"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We have adopted an “opt out” dividend reinvestment plan, or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stockholders participating in our DRIP will not receive any corresponding cash distributions with which to pay any such applicable taxes. If our common stock is trading above net asset value, a stockholder receiving distributions in the form of additional shares of our common stock will be treated as receiving a distribution of an amount equal to the fair market value of such shares of our common stock. We may use newly issued shares to implement the DRIP, or we may purchase shares in the open market in connection with our obligations under the DRIP.</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We have entered into the Investment Management Agreement with the Advisor. The Advisor is registered as an investment adviser under the Investment Advisers Act of 1940, as amended. Our investment activities are managed by the Advisor and supervised by the Board, the majority of whom are independent directors. Under the Investment Management Agreement, we have agreed to pay the Advisor a base management fee as well as an incentive fee. During the three months ended March 31, 2020 and 2019, the Advisor earned $2.7 million and $2.1 million, respectively, pursuant to the Investment Management Agreement.</w:t>
      </w:r>
    </w:p>
    <w:p>
      <w:pPr>
        <w:spacing w:after="0" w:line="192"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Through March 6, 2019, our Advisor was 60% owned by HTF Holdings LLC, which was wholly-owned by Horizon Technology Finance Principals LLC f/k/a Horizon Technology Finance, LLC (“HTF Principals”). HTF Principals was wholly-owned by Robert D. Pomeroy, Jr. and Gerald A. Michaud. By virtue of their ownership interest in HTF Principals, our Chief Executive Officer, Robert D. Pomeroy, Jr. and our President, Gerald A. Michaud controlled our Advisor. Effective as of March 7, 2019, HTF Principals owns seventy-five percent (75%) of the Advisor. By virtue of their ownership interest in Horizon Principals, our Chief Executive Officer, Robert D. Pomeroy, Jr. and our President, Gerald A. Michaud control our Advisor.</w:t>
      </w:r>
    </w:p>
    <w:p>
      <w:pPr>
        <w:spacing w:after="0" w:line="195" w:lineRule="exact"/>
        <w:rPr>
          <w:sz w:val="20"/>
          <w:szCs w:val="20"/>
          <w:color w:val="auto"/>
        </w:rPr>
      </w:pPr>
    </w:p>
    <w:p>
      <w:pPr>
        <w:jc w:val="both"/>
        <w:ind w:left="60" w:right="59" w:firstLine="324"/>
        <w:spacing w:after="0" w:line="291" w:lineRule="auto"/>
        <w:rPr>
          <w:sz w:val="20"/>
          <w:szCs w:val="20"/>
          <w:color w:val="auto"/>
        </w:rPr>
      </w:pPr>
      <w:r>
        <w:rPr>
          <w:rFonts w:ascii="Arial" w:cs="Arial" w:eastAsia="Arial" w:hAnsi="Arial"/>
          <w:sz w:val="16"/>
          <w:szCs w:val="16"/>
          <w:color w:val="auto"/>
        </w:rPr>
        <w:t>We have also entered into the Administration Agreement with the Advisor. Under the Administration Agreement, we have agreed to reimburse the Advisor for our allocable portion of overhead and other expenses incurred by the Advisor in performing its obligations under the Administration Agreement, including rent and our allocable portion of the costs of compensation and related expenses of our Chief Financial Officer and Chief Compliance Officer and their respective staffs. In addition, pursuant to the terms of the Administration Agreement the Advisor provides us with the office facilities and administrative services necessary to conduct our day-to-day operations. During the three months ended March 31, 2020 and 2019, the Advisor earned $0.3 million and $0.2 million, respectively, pursuant to the Administration Agreement.</w:t>
      </w:r>
    </w:p>
    <w:p>
      <w:pPr>
        <w:spacing w:after="0" w:line="166"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The predecessor of the Advisor has granted the Company a non-exclusive, royalty-free license to use the name “Horizon Technology Finance.”</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324"/>
        <w:spacing w:after="0" w:line="275" w:lineRule="auto"/>
        <w:rPr>
          <w:sz w:val="20"/>
          <w:szCs w:val="20"/>
          <w:color w:val="auto"/>
        </w:rPr>
      </w:pPr>
      <w:r>
        <w:rPr>
          <w:rFonts w:ascii="Arial" w:cs="Arial" w:eastAsia="Arial" w:hAnsi="Arial"/>
          <w:sz w:val="17"/>
          <w:szCs w:val="17"/>
          <w:color w:val="auto"/>
        </w:rPr>
        <w:t>We believe that we derive substantial benefits from our relationship with our Advisor. Our Advisor may manage other investment vehicles, or Advisor Funds, with the same investment strategy as us. The Advisor may provide us an opportunity to co-invest with the Advisor Funds. Under the 1940 Act, absent receipt of exemptive relief from the SEC, we and our affiliates are precluded from co-investing in negotiated investments. On November 27, 2017, we were granted exemptive relief from the SEC which permits us to co-invest with Advisor Funds, subject to certain conditions.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The discussion of our financial condition and results of operation is based upon our financial statements, which have been prepared in accordance with U.S. generally accepted accounting principles.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significant accounting policies in the notes to our consolidated financial statements.</w:t>
      </w:r>
    </w:p>
    <w:p>
      <w:pPr>
        <w:spacing w:after="0" w:line="1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We have identified the following items as critical accounting policies.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left="60" w:right="59" w:firstLine="324"/>
        <w:spacing w:after="0" w:line="270" w:lineRule="auto"/>
        <w:rPr>
          <w:sz w:val="20"/>
          <w:szCs w:val="20"/>
          <w:color w:val="auto"/>
        </w:rPr>
      </w:pPr>
      <w:r>
        <w:rPr>
          <w:rFonts w:ascii="Arial" w:cs="Arial" w:eastAsia="Arial" w:hAnsi="Arial"/>
          <w:sz w:val="17"/>
          <w:szCs w:val="17"/>
          <w:color w:val="auto"/>
        </w:rPr>
        <w:t xml:space="preserve">Investments are recorded at fair value. Our Board determines the fair value of our portfolio investments. We apply fair value to substantially all of our investments in accordance with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of the Financial Accounting Standards Board’s, or FASB’s, Accounting Standards Codification as amended, or ASC, which establishes a framework used to measure fair value and requires disclosures for fair value measurements. We have categorized our investments carried at fair value, based on the priority of the valuation technique, into a three-level fair value hierarchy. Fair value is a market-based measure considered from the perspective of the market participant who holds the financial instrument rather than an entity specific measure. Therefore, when market assumptions are not readily available, our own assumptions are set to reflect those that management believes market participants would use in pricing the financial instrument at the measurement date.</w:t>
      </w:r>
    </w:p>
    <w:p>
      <w:pPr>
        <w:spacing w:after="0" w:line="181"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The three categories within the hierarchy are as follows:</w:t>
      </w:r>
    </w:p>
    <w:p>
      <w:pPr>
        <w:spacing w:after="0" w:line="197" w:lineRule="exact"/>
        <w:rPr>
          <w:sz w:val="20"/>
          <w:szCs w:val="20"/>
          <w:color w:val="auto"/>
        </w:rPr>
      </w:pPr>
    </w:p>
    <w:p>
      <w:pPr>
        <w:ind w:left="380"/>
        <w:spacing w:after="0"/>
        <w:tabs>
          <w:tab w:leader="none" w:pos="1320" w:val="left"/>
        </w:tabs>
        <w:rPr>
          <w:sz w:val="20"/>
          <w:szCs w:val="20"/>
          <w:color w:val="auto"/>
        </w:rPr>
      </w:pPr>
      <w:r>
        <w:rPr>
          <w:rFonts w:ascii="Arial" w:cs="Arial" w:eastAsia="Arial" w:hAnsi="Arial"/>
          <w:sz w:val="18"/>
          <w:szCs w:val="18"/>
          <w:b w:val="1"/>
          <w:bCs w:val="1"/>
          <w:color w:val="auto"/>
        </w:rPr>
        <w:t>Level 1</w:t>
      </w:r>
      <w:r>
        <w:rPr>
          <w:sz w:val="20"/>
          <w:szCs w:val="20"/>
          <w:color w:val="auto"/>
        </w:rPr>
        <w:tab/>
      </w:r>
      <w:r>
        <w:rPr>
          <w:rFonts w:ascii="Arial" w:cs="Arial" w:eastAsia="Arial" w:hAnsi="Arial"/>
          <w:sz w:val="16"/>
          <w:szCs w:val="16"/>
          <w:color w:val="auto"/>
        </w:rPr>
        <w:t>Quoted prices in active markets for identical assets and liabilities.</w:t>
      </w:r>
    </w:p>
    <w:p>
      <w:pPr>
        <w:spacing w:after="0" w:line="104" w:lineRule="exact"/>
        <w:rPr>
          <w:sz w:val="20"/>
          <w:szCs w:val="20"/>
          <w:color w:val="auto"/>
        </w:rPr>
      </w:pPr>
    </w:p>
    <w:p>
      <w:pPr>
        <w:ind w:left="1340" w:right="119" w:hanging="971"/>
        <w:spacing w:after="0" w:line="259" w:lineRule="auto"/>
        <w:tabs>
          <w:tab w:leader="none" w:pos="1320" w:val="left"/>
        </w:tabs>
        <w:rPr>
          <w:sz w:val="20"/>
          <w:szCs w:val="20"/>
          <w:color w:val="auto"/>
        </w:rPr>
      </w:pPr>
      <w:r>
        <w:rPr>
          <w:rFonts w:ascii="Arial" w:cs="Arial" w:eastAsia="Arial" w:hAnsi="Arial"/>
          <w:sz w:val="18"/>
          <w:szCs w:val="18"/>
          <w:b w:val="1"/>
          <w:bCs w:val="1"/>
          <w:color w:val="auto"/>
        </w:rPr>
        <w:t>Level 2</w:t>
      </w:r>
      <w:r>
        <w:rPr>
          <w:sz w:val="20"/>
          <w:szCs w:val="20"/>
          <w:color w:val="auto"/>
        </w:rPr>
        <w:tab/>
      </w:r>
      <w:r>
        <w:rPr>
          <w:rFonts w:ascii="Arial" w:cs="Arial" w:eastAsia="Arial" w:hAnsi="Arial"/>
          <w:sz w:val="18"/>
          <w:szCs w:val="18"/>
          <w:color w:val="auto"/>
        </w:rPr>
        <w:t>Observable inputs other than Level 1 prices such as quoted prices for similar assets or liabilities in active markets, quoted prices in markets that are not active and model-based valuation techniques for which all significant inputs are observable or can be corroborated by observable market data for substantially the full term of the assets or liabilities.</w:t>
      </w:r>
    </w:p>
    <w:p>
      <w:pPr>
        <w:spacing w:after="0" w:line="65" w:lineRule="exact"/>
        <w:rPr>
          <w:sz w:val="20"/>
          <w:szCs w:val="20"/>
          <w:color w:val="auto"/>
        </w:rPr>
      </w:pPr>
    </w:p>
    <w:p>
      <w:pPr>
        <w:ind w:left="1340" w:right="99" w:hanging="971"/>
        <w:spacing w:after="0" w:line="257" w:lineRule="auto"/>
        <w:tabs>
          <w:tab w:leader="none" w:pos="1320" w:val="left"/>
        </w:tabs>
        <w:rPr>
          <w:sz w:val="20"/>
          <w:szCs w:val="20"/>
          <w:color w:val="auto"/>
        </w:rPr>
      </w:pPr>
      <w:r>
        <w:rPr>
          <w:rFonts w:ascii="Arial" w:cs="Arial" w:eastAsia="Arial" w:hAnsi="Arial"/>
          <w:sz w:val="18"/>
          <w:szCs w:val="18"/>
          <w:b w:val="1"/>
          <w:bCs w:val="1"/>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the fair value of the assets or liabilities. Level 3 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70"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Our Board determines the fair value of investments in good faith, based on the input of management, the audit committee and independent valuation firms that have been engaged at the direction of our Board to assist in the valuation of each portfolio investment without a readily available market quotation at least once during a trailing twelve-month period under our valuation policy and a consistently applied valuation process. The Board conducts this valuation process at the end of each fiscal quarter, with 25% (based on fair value) of our valuation of portfolio companies that do not have a readily available market quotations subject to review by an independent valuation firm.</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recognition</w:t>
      </w:r>
    </w:p>
    <w:p>
      <w:pPr>
        <w:spacing w:after="0" w:line="225"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we otherwise do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For the three months ended March 31, 2020, we recognized as interest income interest payments of $0.03 million received from one portfolio company whose debt investment was on non-accrual status. For the three months ended March 31, 2019, we did not recognize any interest income from debt investments on non-accrual status.</w:t>
      </w:r>
    </w:p>
    <w:p>
      <w:pPr>
        <w:spacing w:after="0" w:line="194" w:lineRule="exact"/>
        <w:rPr>
          <w:sz w:val="20"/>
          <w:szCs w:val="20"/>
          <w:color w:val="auto"/>
        </w:rPr>
      </w:pPr>
    </w:p>
    <w:p>
      <w:pPr>
        <w:jc w:val="both"/>
        <w:ind w:left="60" w:right="59" w:firstLine="324"/>
        <w:spacing w:after="0" w:line="290" w:lineRule="auto"/>
        <w:rPr>
          <w:sz w:val="20"/>
          <w:szCs w:val="20"/>
          <w:color w:val="auto"/>
        </w:rPr>
      </w:pPr>
      <w:r>
        <w:rPr>
          <w:rFonts w:ascii="Arial" w:cs="Arial" w:eastAsia="Arial" w:hAnsi="Arial"/>
          <w:sz w:val="16"/>
          <w:szCs w:val="16"/>
          <w:color w:val="auto"/>
        </w:rPr>
        <w:t>We receive a variety of fees from borrowers in the ordinary course of conducting our business, including advisory fees, commitment fees, amendment fees, non-utilization fees, success fees and prepayment fees. In a limited number of cases, we may also receive a non-refundable deposit earned upon the termination of a transaction. Debt investment origination fees, net of certain direct origination costs, are deferred, and along with unearned income, are amortized as a level yield adjustment over the respective term of the debt investment. All other income is recorded into income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65" w:lineRule="exact"/>
        <w:rPr>
          <w:sz w:val="20"/>
          <w:szCs w:val="20"/>
          <w:color w:val="auto"/>
        </w:rPr>
      </w:pPr>
    </w:p>
    <w:p>
      <w:pPr>
        <w:jc w:val="both"/>
        <w:ind w:left="60" w:right="59" w:firstLine="324"/>
        <w:spacing w:after="0" w:line="259" w:lineRule="auto"/>
        <w:rPr>
          <w:sz w:val="20"/>
          <w:szCs w:val="20"/>
          <w:color w:val="auto"/>
        </w:rPr>
      </w:pPr>
      <w:r>
        <w:rPr>
          <w:rFonts w:ascii="Arial" w:cs="Arial" w:eastAsia="Arial" w:hAnsi="Arial"/>
          <w:sz w:val="18"/>
          <w:szCs w:val="18"/>
          <w:color w:val="auto"/>
        </w:rPr>
        <w:t>Certain debt investment agreements also require the borrower to make an ETP that is accrued into income over the life of the debt investment to the extent such amounts are expected to be collected. We will generally cease accruing the income if there is insufficient value to support the accrual or if we do not expect the borrower to be able to pay all principal and interest due.</w:t>
      </w:r>
    </w:p>
    <w:p>
      <w:pPr>
        <w:spacing w:after="0" w:line="187"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In connection with substantially all lending arrangements, we receive warrants to purchase shares of stock from the borrower. We record the warrants as assets at estimated fair value on the grant date using the Black-Scholes valuation model. We consider the warrants as loan fees and record them as unearned income on the grant date. The unearned income is recognized as interest income over the contractual life of the related debt investment in accordance with our income recognition policy. Subsequent to origination, the warrants are also measured at fair value using the Black-Scholes valuation model. Any adjustment to fair value is recorded through earnings as net unrealized gain or loss on investments. Gains and losses from the disposition of the warrants or stock acquired from the exercise of warrants are recognized as realized gains and losses on investments.</w:t>
      </w:r>
    </w:p>
    <w:p>
      <w:pPr>
        <w:spacing w:after="0" w:line="178"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Distributions from HSLFI are evaluated at the time of distribution to determine if the distribution should be recorded as dividend income or a return of capital. Generally, we will not record distributions from HSLFI as dividend income unless there are sufficient accumulated tax-basis earnings and profit in HSLFI prior to distribution. Distributions that are classified as a return of capital are recorded as a reduction in the cost basis of the investment. For the three months ended March 31, 2020, there were no distributions from HSLFI. For the three months ended March 31, 2019, HSLFI distributed $0.2 million classified as dividend income to us.</w:t>
      </w:r>
    </w:p>
    <w:p>
      <w:pPr>
        <w:spacing w:after="0" w:line="192" w:lineRule="exact"/>
        <w:rPr>
          <w:sz w:val="20"/>
          <w:szCs w:val="20"/>
          <w:color w:val="auto"/>
        </w:rPr>
      </w:pPr>
    </w:p>
    <w:p>
      <w:pPr>
        <w:jc w:val="both"/>
        <w:ind w:left="60" w:right="59" w:firstLine="324"/>
        <w:spacing w:after="0" w:line="255" w:lineRule="auto"/>
        <w:rPr>
          <w:sz w:val="20"/>
          <w:szCs w:val="20"/>
          <w:color w:val="auto"/>
        </w:rPr>
      </w:pPr>
      <w:r>
        <w:rPr>
          <w:rFonts w:ascii="Arial" w:cs="Arial" w:eastAsia="Arial" w:hAnsi="Arial"/>
          <w:sz w:val="18"/>
          <w:szCs w:val="18"/>
          <w:color w:val="auto"/>
        </w:rPr>
        <w:t>Realized gains or losses on the sale of investments, or upon the determination that an investment balance, or portion thereof, is not recoverable, are calculated using the specific identification method. We measure realized gains or losses by calculating the difference between the net proceeds from the repayment or sale and the amortized cost basis of the investment. Net change in unrealized appreciation or depreciation reflects the change in the fair values of our portfolio investments during the reporting period, including any reversal of previously recorded unrealized appreciation or depreciation, when gains or losses are realized.</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We have elected to be treated as a RIC under Subchapter M of the Code and operate in a manner so as to qualify for the tax treatment applicable to RICs. In order to qualify as a RIC and to avoid the imposition of corporate-level U.S. federal</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income tax on the amounts we distribute to our stockholders, among other things, we are required to meet certain source of income and asset diversification requirements, and we must timely distribute dividends to our stockholders out of assets legally available for distribution each tax year of an amount generally at least equal to 90% of our investment company taxable income, as defined by the Code and determined without regard to any deduction for dividends paid. We, among other things, have made and intend to continue to make the requisite distributions to our stockholders, which will generally relieve us from incurring any material liability for U.S. federal income taxes.</w:t>
      </w:r>
    </w:p>
    <w:p>
      <w:pPr>
        <w:spacing w:after="0" w:line="178" w:lineRule="exact"/>
        <w:rPr>
          <w:sz w:val="20"/>
          <w:szCs w:val="20"/>
          <w:color w:val="auto"/>
        </w:rPr>
      </w:pPr>
    </w:p>
    <w:p>
      <w:pPr>
        <w:jc w:val="both"/>
        <w:ind w:left="60" w:right="59" w:firstLine="324"/>
        <w:spacing w:after="0" w:line="301" w:lineRule="auto"/>
        <w:rPr>
          <w:sz w:val="20"/>
          <w:szCs w:val="20"/>
          <w:color w:val="auto"/>
        </w:rPr>
      </w:pPr>
      <w:r>
        <w:rPr>
          <w:rFonts w:ascii="Arial" w:cs="Arial" w:eastAsia="Arial" w:hAnsi="Arial"/>
          <w:sz w:val="16"/>
          <w:szCs w:val="16"/>
          <w:color w:val="auto"/>
        </w:rPr>
        <w:t>Depending on the level of taxable income earned in a tax year, we may choose to carry forward taxable income in excess of current year distributions into the next tax year and incur a 4% excise tax on such income, as required. To the extent that we determine that our estimated current year annual taxable income will be in excess of estimated current year distributions, we will accrue excise tax, if any, on estimated excess taxable income as taxable income is earned.</w:t>
      </w:r>
    </w:p>
    <w:p>
      <w:pPr>
        <w:spacing w:after="0" w:line="157" w:lineRule="exact"/>
        <w:rPr>
          <w:sz w:val="20"/>
          <w:szCs w:val="20"/>
          <w:color w:val="auto"/>
        </w:rPr>
      </w:pPr>
    </w:p>
    <w:p>
      <w:pPr>
        <w:jc w:val="both"/>
        <w:ind w:left="60" w:right="59" w:firstLine="324"/>
        <w:spacing w:after="0" w:line="273" w:lineRule="auto"/>
        <w:rPr>
          <w:sz w:val="20"/>
          <w:szCs w:val="20"/>
          <w:color w:val="auto"/>
        </w:rPr>
      </w:pPr>
      <w:r>
        <w:rPr>
          <w:rFonts w:ascii="Arial" w:cs="Arial" w:eastAsia="Arial" w:hAnsi="Arial"/>
          <w:sz w:val="17"/>
          <w:szCs w:val="17"/>
          <w:color w:val="auto"/>
        </w:rPr>
        <w:t xml:space="preserve">We evaluate tax positions taken in the course of preparing our tax returns to determine whether the tax positions are “more-likely-than-not” to be sustained by the applicable tax authority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 modified by ASC Topic 946, </w:t>
      </w:r>
      <w:r>
        <w:rPr>
          <w:rFonts w:ascii="Arial" w:cs="Arial" w:eastAsia="Arial" w:hAnsi="Arial"/>
          <w:sz w:val="17"/>
          <w:szCs w:val="17"/>
          <w:i w:val="1"/>
          <w:iCs w:val="1"/>
          <w:color w:val="auto"/>
        </w:rPr>
        <w:t>Financial Services</w:t>
      </w:r>
      <w:r>
        <w:rPr>
          <w:rFonts w:ascii="Arial" w:cs="Arial" w:eastAsia="Arial" w:hAnsi="Arial"/>
          <w:sz w:val="17"/>
          <w:szCs w:val="17"/>
          <w:color w:val="auto"/>
        </w:rPr>
        <w:t xml:space="preserve"> — </w:t>
      </w:r>
      <w:r>
        <w:rPr>
          <w:rFonts w:ascii="Arial" w:cs="Arial" w:eastAsia="Arial" w:hAnsi="Arial"/>
          <w:sz w:val="17"/>
          <w:szCs w:val="17"/>
          <w:i w:val="1"/>
          <w:iCs w:val="1"/>
          <w:color w:val="auto"/>
        </w:rPr>
        <w:t>Investment Companies</w:t>
      </w:r>
      <w:r>
        <w:rPr>
          <w:rFonts w:ascii="Arial" w:cs="Arial" w:eastAsia="Arial" w:hAnsi="Arial"/>
          <w:sz w:val="17"/>
          <w:szCs w:val="17"/>
          <w:color w:val="auto"/>
        </w:rPr>
        <w:t>. Tax benefits of positions not deemed to meet the more-likely-than-not threshold, or uncertain tax positions, are recorded as a tax expense in the current year. It is our policy to recognize accrued interest and penalties related to uncertain tax benefits in income tax expense. We had no material uncertain tax positions at March 31, 2020 and December 31, 2019.</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left="60" w:right="79" w:firstLine="324"/>
        <w:spacing w:after="0" w:line="263" w:lineRule="auto"/>
        <w:rPr>
          <w:sz w:val="20"/>
          <w:szCs w:val="20"/>
          <w:color w:val="auto"/>
        </w:rPr>
      </w:pPr>
      <w:r>
        <w:rPr>
          <w:rFonts w:ascii="Arial" w:cs="Arial" w:eastAsia="Arial" w:hAnsi="Arial"/>
          <w:sz w:val="18"/>
          <w:szCs w:val="18"/>
          <w:color w:val="auto"/>
        </w:rPr>
        <w:t>On April 9, 2020, HealthEdge Software, Inc. (“HealthEdge”) paid the outstanding principal balance of $13.1 million on its venture loan, plus interest, end-of-term payment and prepayment fee. We also received proceeds of approximately $0.5 million in connection with the termination of our warrants in HealthEdge.</w:t>
      </w:r>
    </w:p>
    <w:p>
      <w:pPr>
        <w:spacing w:after="0" w:line="184"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On April 21, 2020, we purchased all of the limited liability company interests of Arena in HSLFI, including, without limitation, undistributed amounts owed to Arena and interest accrued and unpaid on the debt investments of HSLFI through the date of purchase, for $17.1 million. In addition, Arena will receive 50% of the warrants held by HSLFI or HFI at closing. HSLFI is now wholly-owned by us and in future reporting periods, the assets of HSLFI and HFI will be consolidated with our assets.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w:t>
      </w:r>
    </w:p>
    <w:p>
      <w:pPr>
        <w:spacing w:after="0" w:line="225"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As the global spread of COVID-19 continues, we experienced increased market volatility and economic uncertainty that may have materially affected the valuation of portfolio investments, and may continue to; such changes to the valuation of portfolio investments accordingly affect our net asset value. We are continuing to assess what additional adverse financial and operational consequences may result from the global spread of COVID-19 and the associated economic turbulence, however, the extent of such consequences remains uncertain as of the filing of this Form 10-Q.</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left="60" w:right="59" w:firstLine="324"/>
        <w:spacing w:after="0" w:line="296" w:lineRule="auto"/>
        <w:rPr>
          <w:sz w:val="20"/>
          <w:szCs w:val="20"/>
          <w:color w:val="auto"/>
        </w:rPr>
      </w:pPr>
      <w:r>
        <w:rPr>
          <w:rFonts w:ascii="Arial" w:cs="Arial" w:eastAsia="Arial" w:hAnsi="Arial"/>
          <w:sz w:val="16"/>
          <w:szCs w:val="16"/>
          <w:color w:val="auto"/>
        </w:rPr>
        <w:t>We are subject to financial market risks, including changes in interest rates. During the periods covered by our financial statements, the interest rates on the debt investments within our portfolio were primarily at floating rates. We expect that our debt investments in the future will primarily have floating interest rates. As of March 31, 2020 and December 31, 2019, 100% and 99%, respectively, of the outstanding principal amount of our debt investments bore interest at floating rates. The initial commitments to lend to our portfolio companies are usually based on a floating LIBOR index.</w:t>
      </w:r>
    </w:p>
    <w:p>
      <w:pPr>
        <w:spacing w:after="0" w:line="161" w:lineRule="exact"/>
        <w:rPr>
          <w:sz w:val="20"/>
          <w:szCs w:val="20"/>
          <w:color w:val="auto"/>
        </w:rPr>
      </w:pPr>
    </w:p>
    <w:p>
      <w:pPr>
        <w:jc w:val="both"/>
        <w:ind w:left="60" w:right="59" w:firstLine="324"/>
        <w:spacing w:after="0" w:line="311" w:lineRule="auto"/>
        <w:rPr>
          <w:sz w:val="20"/>
          <w:szCs w:val="20"/>
          <w:color w:val="auto"/>
        </w:rPr>
      </w:pPr>
      <w:r>
        <w:rPr>
          <w:rFonts w:ascii="Arial" w:cs="Arial" w:eastAsia="Arial" w:hAnsi="Arial"/>
          <w:sz w:val="16"/>
          <w:szCs w:val="16"/>
          <w:color w:val="auto"/>
        </w:rPr>
        <w:t>Based on our March 31, 2020 consolidated statement of assets and liabilities (without adjustment for potential changes in the credit market, credit quality, size and composition of assets on the consolidated statement of assets and liabilities or other business developments that could affect net income) and the base index rates at March 31, 2020, the following table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shows the annual impact on the change in net assets resulting from operations of changes in interest rates, which assumes no changes in our investments and borrowings:</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Change in basis points</w:t>
            </w:r>
          </w:p>
        </w:tc>
        <w:tc>
          <w:tcPr>
            <w:tcW w:w="160" w:type="dxa"/>
            <w:vAlign w:val="bottom"/>
          </w:tcPr>
          <w:p>
            <w:pPr>
              <w:spacing w:after="0"/>
              <w:rPr>
                <w:sz w:val="14"/>
                <w:szCs w:val="14"/>
                <w:color w:val="auto"/>
              </w:rPr>
            </w:pPr>
          </w:p>
        </w:tc>
        <w:tc>
          <w:tcPr>
            <w:tcW w:w="920" w:type="dxa"/>
            <w:vAlign w:val="bottom"/>
            <w:gridSpan w:val="2"/>
          </w:tcPr>
          <w:p>
            <w:pPr>
              <w:jc w:val="right"/>
              <w:ind w:right="73"/>
              <w:spacing w:after="0"/>
              <w:rPr>
                <w:sz w:val="20"/>
                <w:szCs w:val="20"/>
                <w:color w:val="auto"/>
              </w:rPr>
            </w:pPr>
            <w:r>
              <w:rPr>
                <w:rFonts w:ascii="Arial" w:cs="Arial" w:eastAsia="Arial" w:hAnsi="Arial"/>
                <w:sz w:val="14"/>
                <w:szCs w:val="14"/>
                <w:b w:val="1"/>
                <w:bCs w:val="1"/>
                <w:color w:val="auto"/>
              </w:rPr>
              <w:t>Investment</w:t>
            </w:r>
          </w:p>
        </w:tc>
        <w:tc>
          <w:tcPr>
            <w:tcW w:w="200" w:type="dxa"/>
            <w:vAlign w:val="bottom"/>
          </w:tcPr>
          <w:p>
            <w:pPr>
              <w:spacing w:after="0"/>
              <w:rPr>
                <w:sz w:val="14"/>
                <w:szCs w:val="14"/>
                <w:color w:val="auto"/>
              </w:rPr>
            </w:pPr>
          </w:p>
        </w:tc>
        <w:tc>
          <w:tcPr>
            <w:tcW w:w="820" w:type="dxa"/>
            <w:vAlign w:val="bottom"/>
          </w:tcPr>
          <w:p>
            <w:pPr>
              <w:jc w:val="right"/>
              <w:ind w:right="195"/>
              <w:spacing w:after="0"/>
              <w:rPr>
                <w:sz w:val="20"/>
                <w:szCs w:val="20"/>
                <w:color w:val="auto"/>
              </w:rPr>
            </w:pPr>
            <w:r>
              <w:rPr>
                <w:rFonts w:ascii="Arial" w:cs="Arial" w:eastAsia="Arial" w:hAnsi="Arial"/>
                <w:sz w:val="14"/>
                <w:szCs w:val="14"/>
                <w:b w:val="1"/>
                <w:bCs w:val="1"/>
                <w:color w:val="auto"/>
              </w:rPr>
              <w:t>Interest</w:t>
            </w: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w w:val="93"/>
              </w:rPr>
              <w:t>Change in Net</w:t>
            </w:r>
          </w:p>
        </w:tc>
        <w:tc>
          <w:tcPr>
            <w:tcW w:w="0" w:type="dxa"/>
            <w:vAlign w:val="bottom"/>
          </w:tcPr>
          <w:p>
            <w:pPr>
              <w:spacing w:after="0"/>
              <w:rPr>
                <w:sz w:val="1"/>
                <w:szCs w:val="1"/>
                <w:color w:val="auto"/>
              </w:rPr>
            </w:pPr>
          </w:p>
        </w:tc>
      </w:tr>
      <w:tr>
        <w:trPr>
          <w:trHeight w:val="171"/>
        </w:trPr>
        <w:tc>
          <w:tcPr>
            <w:tcW w:w="584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w w:val="97"/>
              </w:rPr>
              <w:t>Income</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0"/>
              </w:rPr>
              <w:t>Expense</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2"/>
              </w:rPr>
              <w:t>Assets</w:t>
            </w:r>
            <w:r>
              <w:rPr>
                <w:rFonts w:ascii="Arial" w:cs="Arial" w:eastAsia="Arial" w:hAnsi="Arial"/>
                <w:sz w:val="10"/>
                <w:szCs w:val="10"/>
                <w:b w:val="1"/>
                <w:bCs w:val="1"/>
                <w:color w:val="auto"/>
                <w:w w:val="92"/>
              </w:rPr>
              <w:t>(1)</w:t>
            </w:r>
          </w:p>
        </w:tc>
        <w:tc>
          <w:tcPr>
            <w:tcW w:w="0" w:type="dxa"/>
            <w:vAlign w:val="bottom"/>
          </w:tcPr>
          <w:p>
            <w:pPr>
              <w:spacing w:after="0"/>
              <w:rPr>
                <w:sz w:val="1"/>
                <w:szCs w:val="1"/>
                <w:color w:val="auto"/>
              </w:rPr>
            </w:pPr>
          </w:p>
        </w:tc>
      </w:tr>
      <w:tr>
        <w:trPr>
          <w:trHeight w:val="142"/>
        </w:trPr>
        <w:tc>
          <w:tcPr>
            <w:tcW w:w="5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20" w:type="dxa"/>
            <w:vAlign w:val="bottom"/>
            <w:gridSpan w:val="2"/>
          </w:tcPr>
          <w:p>
            <w:pPr>
              <w:ind w:left="8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Up 300 basis points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8,015</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1,369</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6,646</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Up 200 basis points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4,860</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75"/>
              <w:spacing w:after="0"/>
              <w:rPr>
                <w:sz w:val="20"/>
                <w:szCs w:val="20"/>
                <w:color w:val="auto"/>
              </w:rPr>
            </w:pPr>
            <w:r>
              <w:rPr>
                <w:rFonts w:ascii="Arial" w:cs="Arial" w:eastAsia="Arial" w:hAnsi="Arial"/>
                <w:sz w:val="18"/>
                <w:szCs w:val="18"/>
                <w:color w:val="auto"/>
              </w:rPr>
              <w:t>913</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3,947</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Up 100 basis points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1,627</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456</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Down 300 basis points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(189)</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(379)</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Down 200 basis points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(379)</w:t>
            </w:r>
          </w:p>
        </w:tc>
        <w:tc>
          <w:tcPr>
            <w:tcW w:w="20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Down 100 basis points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(277)</w:t>
            </w:r>
          </w:p>
        </w:tc>
        <w:tc>
          <w:tcPr>
            <w:tcW w:w="200" w:type="dxa"/>
            <w:vAlign w:val="bottom"/>
          </w:tcPr>
          <w:p>
            <w:pPr>
              <w:ind w:left="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5"/>
              <w:spacing w:after="0"/>
              <w:rPr>
                <w:sz w:val="20"/>
                <w:szCs w:val="20"/>
                <w:color w:val="auto"/>
              </w:rPr>
            </w:pPr>
            <w:r>
              <w:rPr>
                <w:rFonts w:ascii="Arial" w:cs="Arial" w:eastAsia="Arial" w:hAnsi="Arial"/>
                <w:sz w:val="18"/>
                <w:szCs w:val="18"/>
                <w:color w:val="auto"/>
              </w:rPr>
              <w:t>(379)</w:t>
            </w:r>
          </w:p>
        </w:tc>
        <w:tc>
          <w:tcPr>
            <w:tcW w:w="200" w:type="dxa"/>
            <w:vAlign w:val="bottom"/>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67945</wp:posOffset>
            </wp:positionV>
            <wp:extent cx="141414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Excludes the impact of incentive fees based on pre-incentive fee net investment income.</w:t>
      </w:r>
    </w:p>
    <w:p>
      <w:pPr>
        <w:spacing w:after="0" w:line="225" w:lineRule="exact"/>
        <w:rPr>
          <w:sz w:val="20"/>
          <w:szCs w:val="20"/>
          <w:color w:val="auto"/>
        </w:rPr>
      </w:pPr>
    </w:p>
    <w:p>
      <w:pPr>
        <w:jc w:val="both"/>
        <w:ind w:left="60" w:right="59" w:firstLine="324"/>
        <w:spacing w:after="0" w:line="268" w:lineRule="auto"/>
        <w:rPr>
          <w:sz w:val="20"/>
          <w:szCs w:val="20"/>
          <w:color w:val="auto"/>
        </w:rPr>
      </w:pPr>
      <w:r>
        <w:rPr>
          <w:rFonts w:ascii="Arial" w:cs="Arial" w:eastAsia="Arial" w:hAnsi="Arial"/>
          <w:sz w:val="17"/>
          <w:szCs w:val="17"/>
          <w:color w:val="auto"/>
        </w:rPr>
        <w:t>While our 2022 Notes and our Asset-Backed Notes bear interest at a fixed rate, our Key Facility has a floating interest rate provision, subject to a floor of 0.75% per annum, based on a LIBOR index which resets monthly, and any other credit facilities into which we enter in the future may have floating interest rate provisions. We have used hedging instruments in the past to protect us against interest rate fluctuations, and we may use them in the future. Such instruments may include caps, swaps,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 Engaging in commodity interest transactions such as swap transactions or futures contracts for the Company may cause the Investment Adviser to fall within the definition of “commodity pool operator” under the Commodity Exchange Act (the “CEA”) and related Commodity Futures Trading Commission (the “CFTC”) regulations. On January 31, 2020, the Investment Adviser claimed an exclusion from the definition of the term “commodity pool operator” under the CEA and the CFTC regulations in connection with its management of the Company and, therefore, is not subject to CFTC registration or regulation under the CEA as a commodity pool operator with respect to its management of the Company.</w:t>
      </w:r>
    </w:p>
    <w:p>
      <w:pPr>
        <w:spacing w:after="0" w:line="186" w:lineRule="exact"/>
        <w:rPr>
          <w:sz w:val="20"/>
          <w:szCs w:val="20"/>
          <w:color w:val="auto"/>
        </w:rPr>
      </w:pPr>
    </w:p>
    <w:p>
      <w:pPr>
        <w:jc w:val="both"/>
        <w:ind w:left="60" w:right="59" w:firstLine="324"/>
        <w:spacing w:after="0" w:line="257" w:lineRule="auto"/>
        <w:rPr>
          <w:sz w:val="20"/>
          <w:szCs w:val="20"/>
          <w:color w:val="auto"/>
        </w:rPr>
      </w:pPr>
      <w:r>
        <w:rPr>
          <w:rFonts w:ascii="Arial" w:cs="Arial" w:eastAsia="Arial" w:hAnsi="Arial"/>
          <w:sz w:val="18"/>
          <w:szCs w:val="18"/>
          <w:color w:val="auto"/>
        </w:rPr>
        <w:t>Because we currently fund, and expect to continue to fund, our investments with borrowings, our net income is dependent upon the difference between the rate at which we borrow funds and the rate at which we invest the funds borrowed. Accordingly, there can be no assurance that a significant change in market interest rates will not have a material adverse effect on our net income. In periods of rising interest rates, our cost of funds could increase, which would reduce our net investment income.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 Evaluation of disclosure controls and procedures</w:t>
      </w:r>
    </w:p>
    <w:p>
      <w:pPr>
        <w:spacing w:after="0" w:line="225" w:lineRule="exact"/>
        <w:rPr>
          <w:sz w:val="20"/>
          <w:szCs w:val="20"/>
          <w:color w:val="auto"/>
        </w:rPr>
      </w:pPr>
    </w:p>
    <w:p>
      <w:pPr>
        <w:jc w:val="both"/>
        <w:ind w:left="60" w:right="59" w:firstLine="324"/>
        <w:spacing w:after="0" w:line="287" w:lineRule="auto"/>
        <w:rPr>
          <w:sz w:val="20"/>
          <w:szCs w:val="20"/>
          <w:color w:val="auto"/>
        </w:rPr>
      </w:pPr>
      <w:r>
        <w:rPr>
          <w:rFonts w:ascii="Arial" w:cs="Arial" w:eastAsia="Arial" w:hAnsi="Arial"/>
          <w:sz w:val="16"/>
          <w:szCs w:val="16"/>
          <w:color w:val="auto"/>
        </w:rPr>
        <w:t>As of March 31, 2020, we, including our Chief Executive Officer and Chief Financial Officer, evaluated the effectiveness of the design and operation of our disclosure controls and procedures (as defined in Rule 13a-15(e) under the Exchange Act). Based on that evaluation, our management, including our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 Changes in internal controls over financial reporting.</w:t>
      </w:r>
    </w:p>
    <w:p>
      <w:pPr>
        <w:spacing w:after="0" w:line="225" w:lineRule="exact"/>
        <w:rPr>
          <w:sz w:val="20"/>
          <w:szCs w:val="20"/>
          <w:color w:val="auto"/>
        </w:rPr>
      </w:pPr>
    </w:p>
    <w:p>
      <w:pPr>
        <w:jc w:val="both"/>
        <w:ind w:left="60" w:right="59" w:firstLine="324"/>
        <w:spacing w:after="0" w:line="263" w:lineRule="auto"/>
        <w:rPr>
          <w:sz w:val="20"/>
          <w:szCs w:val="20"/>
          <w:color w:val="auto"/>
        </w:rPr>
      </w:pPr>
      <w:r>
        <w:rPr>
          <w:rFonts w:ascii="Arial" w:cs="Arial" w:eastAsia="Arial" w:hAnsi="Arial"/>
          <w:sz w:val="18"/>
          <w:szCs w:val="18"/>
          <w:color w:val="auto"/>
        </w:rPr>
        <w:t>There have been no material changes in our internal control over financial reporting (as defined in Rules 13a-15(f) and 15d-15(f) under the Exchange Act) during our most recently completed fiscal quarter, that have materially affected, or are reasonably likely to materially affect, our internal control over financial reporting.</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left="60" w:right="59" w:firstLine="324"/>
        <w:spacing w:after="0" w:line="277" w:lineRule="auto"/>
        <w:rPr>
          <w:sz w:val="20"/>
          <w:szCs w:val="20"/>
          <w:color w:val="auto"/>
        </w:rPr>
      </w:pPr>
      <w:r>
        <w:rPr>
          <w:rFonts w:ascii="Arial" w:cs="Arial" w:eastAsia="Arial" w:hAnsi="Arial"/>
          <w:sz w:val="18"/>
          <w:szCs w:val="18"/>
          <w:color w:val="auto"/>
        </w:rPr>
        <w:t>Neither we nor our Advisor is currently subject to any material legal proceedings, nor, to our knowledge, is any material legal proceeding threatened against us or against our Advisor.</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324"/>
        <w:spacing w:after="0" w:line="254" w:lineRule="auto"/>
        <w:rPr>
          <w:sz w:val="20"/>
          <w:szCs w:val="20"/>
          <w:color w:val="auto"/>
        </w:rPr>
      </w:pPr>
      <w:r>
        <w:rPr>
          <w:rFonts w:ascii="Arial" w:cs="Arial" w:eastAsia="Arial" w:hAnsi="Arial"/>
          <w:sz w:val="18"/>
          <w:szCs w:val="18"/>
          <w:color w:val="auto"/>
        </w:rPr>
        <w:t>In addition to other information set forth in this report, you should carefully consider the factors set forth below and in “Item 1A Risk Factors” in our annual report on Form 10-K for the year ended December 31, 2019, which could materially affect our business, financial condition and/or operating results. Additional risks and uncertainties not currently known to us or that we currently deem to be immaterial also may materially affect our business, financial condition and/or operating results. There have been no material changes during the three months ended March 31, 2020 to the risk factors set forth in “Item 1A. Risk Factors” of our annual report on Form 10-K for the year ended December 31, 2019, except as set forth below.</w:t>
      </w:r>
    </w:p>
    <w:p>
      <w:pPr>
        <w:spacing w:after="0" w:line="19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The COVID-19 pandemic could materially and adversely affect our portfolio companies and the results of our operations.</w:t>
      </w:r>
    </w:p>
    <w:p>
      <w:pPr>
        <w:spacing w:after="0" w:line="170" w:lineRule="exact"/>
        <w:rPr>
          <w:sz w:val="20"/>
          <w:szCs w:val="20"/>
          <w:color w:val="auto"/>
        </w:rPr>
      </w:pPr>
    </w:p>
    <w:p>
      <w:pPr>
        <w:jc w:val="both"/>
        <w:ind w:left="60" w:right="59" w:firstLine="324"/>
        <w:spacing w:after="0" w:line="285" w:lineRule="auto"/>
        <w:rPr>
          <w:sz w:val="20"/>
          <w:szCs w:val="20"/>
          <w:color w:val="auto"/>
        </w:rPr>
      </w:pPr>
      <w:r>
        <w:rPr>
          <w:rFonts w:ascii="Arial" w:cs="Arial" w:eastAsia="Arial" w:hAnsi="Arial"/>
          <w:sz w:val="16"/>
          <w:szCs w:val="16"/>
          <w:color w:val="auto"/>
        </w:rPr>
        <w:t>In late 2019 and early 2020, a novel coronavirus (SARS-CoV-2) and related respiratory disease (COVID 19) emerged in China and spread rapidly to across the world, including to the United States. This outbreak has led, and for an unknown period of time, will continue to lead to disruptions in local, regional, national and global markets and economies affected thereby. With respect to the U.S. credit markets (in particular for middle market loans), this outbreak has resulted in, and until fully resolved is likely to continue to result in, the following, among other things: (i) government imposition of various forms of “stay at home” orders and the closing of “non-essential” businesses, resulting in significant disruption to the businesses of many middle-market loan borrowers including supply chains, demand and practical aspects of their operations, as well as in lay-offs of employees, and, while these effects are hoped to be temporary, some effects could be persistent or even permanent; (ii) increased draws by borrowers on revolving lines of credit; (iii) increased requests by borrowers for amendments and waivers of their credit agreements to avoid default, increased defaults by such borrowers and/or increased difficulty in obtaining refinancing at the maturity dates of their loans; (iv) volatility and disruption of these markets including greater volatility in pricing and spreads and difficulty in valuing loans during periods of increased volatility, and liquidity issues; and (v) rapidly evolving proposals and/or actions by state and federal governments to address problems being experienced by the markets and by businesses and the economy in general which will not necessarily adequately address the problems facing the loan market and middle market businesses. This outbreak is having, and any future outbreaks could have, an adverse impact on our portfolio companies and us and on the markets and the economy in general, and that impact could be material.</w:t>
      </w:r>
    </w:p>
    <w:p>
      <w:pPr>
        <w:spacing w:after="0" w:line="174" w:lineRule="exact"/>
        <w:rPr>
          <w:sz w:val="20"/>
          <w:szCs w:val="20"/>
          <w:color w:val="auto"/>
        </w:rPr>
      </w:pPr>
    </w:p>
    <w:p>
      <w:pPr>
        <w:jc w:val="both"/>
        <w:ind w:left="60" w:right="59" w:firstLine="324"/>
        <w:spacing w:after="0" w:line="253" w:lineRule="auto"/>
        <w:rPr>
          <w:sz w:val="20"/>
          <w:szCs w:val="20"/>
          <w:color w:val="auto"/>
        </w:rPr>
      </w:pPr>
      <w:r>
        <w:rPr>
          <w:rFonts w:ascii="Arial" w:cs="Arial" w:eastAsia="Arial" w:hAnsi="Arial"/>
          <w:sz w:val="18"/>
          <w:szCs w:val="18"/>
          <w:color w:val="auto"/>
        </w:rPr>
        <w:t>Further, from an operational perspective, the Advisor’s investment professionals are currently working remotely. An extended period of remote work arrangements could strain our business continuity plans, introduce operational risk, including but not limited to cybersecurity risks, and impair our ability to manage our business. In addition, we are highly dependent on third party services providers for certain communication and information systems. As a result, we rely upon the successful implementation and execution of the business continuity planning of such providers in the current environment. If one or more of these third parties to whom we outsource certain critical business activities experience operational failures as a result of the impacts from the spread of COVID-19, or claim that they cannot perform due to a force majeure, it may have a material adverse effect on our business, financial condition, results of operations, liquidity and cash flows.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currently operating in a period of capital markets disruption and economic uncertainty.</w:t>
      </w:r>
    </w:p>
    <w:p>
      <w:pPr>
        <w:spacing w:after="0" w:line="225" w:lineRule="exact"/>
        <w:rPr>
          <w:sz w:val="20"/>
          <w:szCs w:val="20"/>
          <w:color w:val="auto"/>
        </w:rPr>
      </w:pPr>
    </w:p>
    <w:p>
      <w:pPr>
        <w:jc w:val="both"/>
        <w:ind w:left="60" w:right="59" w:firstLine="324"/>
        <w:spacing w:after="0" w:line="289" w:lineRule="auto"/>
        <w:rPr>
          <w:sz w:val="20"/>
          <w:szCs w:val="20"/>
          <w:color w:val="auto"/>
        </w:rPr>
      </w:pPr>
      <w:r>
        <w:rPr>
          <w:rFonts w:ascii="Arial" w:cs="Arial" w:eastAsia="Arial" w:hAnsi="Arial"/>
          <w:sz w:val="16"/>
          <w:szCs w:val="16"/>
          <w:color w:val="auto"/>
        </w:rPr>
        <w:t>The U.S. capital markets have experienced extreme volatility and disruption following the spread of COVID-19 in the United States. Some economists and major investment banks have expressed concern that the continued spread of the virus globally could lead to a world-wide economic downturn. Disruptions in the capital markets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Terrorist attacks, acts of war, natural disasters, disease outbreaks or pandemics may impact our portfolio companies and harm our business, operating results and financial condition.</w:t>
      </w:r>
    </w:p>
    <w:p>
      <w:pPr>
        <w:spacing w:after="0" w:line="170" w:lineRule="exact"/>
        <w:rPr>
          <w:sz w:val="20"/>
          <w:szCs w:val="20"/>
          <w:color w:val="auto"/>
        </w:rPr>
      </w:pPr>
    </w:p>
    <w:p>
      <w:pPr>
        <w:jc w:val="both"/>
        <w:ind w:left="60" w:right="59" w:firstLine="324"/>
        <w:spacing w:after="0" w:line="272" w:lineRule="auto"/>
        <w:rPr>
          <w:sz w:val="20"/>
          <w:szCs w:val="20"/>
          <w:color w:val="auto"/>
        </w:rPr>
      </w:pPr>
      <w:r>
        <w:rPr>
          <w:rFonts w:ascii="Arial" w:cs="Arial" w:eastAsia="Arial" w:hAnsi="Arial"/>
          <w:sz w:val="17"/>
          <w:szCs w:val="17"/>
          <w:color w:val="auto"/>
        </w:rPr>
        <w:t>Terrorist acts, acts of war, natural disasters, disease outbreaks, pandemics, or other similar events may disrupt our operations, as well as the operations of our portfolio companies. Such acts have created, and continue to create, economic and political uncertainties and have contributed to recent global economic instability. Future terrorist activities, military or security operations, natural disasters, disease outbreaks, pandemics, or other similar events could further weaken the domestic/global economies and create additional uncertainties, which may negatively impact our portfolio companies and, in turn, could have a material adverse impact on our business, operating results, and financial condition. Losses from terrorist attacks and natural disasters are generally uninsurable.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60"/>
        <w:spacing w:after="0"/>
        <w:tabs>
          <w:tab w:leader="none" w:pos="454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Description</w:t>
      </w:r>
    </w:p>
    <w:p>
      <w:pPr>
        <w:spacing w:after="0" w:line="22" w:lineRule="exact"/>
        <w:rPr>
          <w:sz w:val="20"/>
          <w:szCs w:val="20"/>
          <w:color w:val="auto"/>
        </w:rPr>
      </w:pPr>
    </w:p>
    <w:p>
      <w:pPr>
        <w:ind w:left="1060" w:right="239" w:hanging="802"/>
        <w:spacing w:after="0" w:line="258" w:lineRule="auto"/>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69">
        <w:r>
          <w:rPr>
            <w:rFonts w:ascii="Arial" w:cs="Arial" w:eastAsia="Arial" w:hAnsi="Arial"/>
            <w:sz w:val="18"/>
            <w:szCs w:val="18"/>
            <w:u w:val="single" w:color="auto"/>
            <w:color w:val="0000EE"/>
          </w:rPr>
          <w:t>Certifications by Chief Executive Officer pursuant to Exchange Act Rule 13a-14(a), as adopted pursuant to</w:t>
        </w:r>
      </w:hyperlink>
      <w:r>
        <w:rPr>
          <w:rFonts w:ascii="Arial" w:cs="Arial" w:eastAsia="Arial" w:hAnsi="Arial"/>
          <w:sz w:val="18"/>
          <w:szCs w:val="18"/>
          <w:u w:val="single" w:color="auto"/>
          <w:color w:val="0000EE"/>
        </w:rPr>
        <w:t xml:space="preserve"> </w:t>
      </w:r>
      <w:hyperlink w:anchor="page69">
        <w:r>
          <w:rPr>
            <w:rFonts w:ascii="Arial" w:cs="Arial" w:eastAsia="Arial" w:hAnsi="Arial"/>
            <w:sz w:val="18"/>
            <w:szCs w:val="18"/>
            <w:u w:val="single" w:color="auto"/>
            <w:color w:val="0000EE"/>
          </w:rPr>
          <w:t>Section 302 of the Sarbanes-Oxley Act of 2002,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-281305</wp:posOffset>
            </wp:positionV>
            <wp:extent cx="56489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ind w:left="1060" w:right="299" w:hanging="802"/>
        <w:spacing w:after="0" w:line="250" w:lineRule="auto"/>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70">
        <w:r>
          <w:rPr>
            <w:rFonts w:ascii="Arial" w:cs="Arial" w:eastAsia="Arial" w:hAnsi="Arial"/>
            <w:sz w:val="18"/>
            <w:szCs w:val="18"/>
            <w:u w:val="single" w:color="auto"/>
            <w:color w:val="0000EE"/>
          </w:rPr>
          <w:t>Certifications by Chief Financial Officer pursuant to Exchange Act Rule 13a-14(a), as adopted pursuant to</w:t>
        </w:r>
      </w:hyperlink>
      <w:r>
        <w:rPr>
          <w:rFonts w:ascii="Arial" w:cs="Arial" w:eastAsia="Arial" w:hAnsi="Arial"/>
          <w:sz w:val="18"/>
          <w:szCs w:val="18"/>
          <w:u w:val="single" w:color="auto"/>
          <w:color w:val="0000EE"/>
        </w:rPr>
        <w:t xml:space="preserve"> </w:t>
      </w:r>
      <w:hyperlink w:anchor="page70">
        <w:r>
          <w:rPr>
            <w:rFonts w:ascii="Arial" w:cs="Arial" w:eastAsia="Arial" w:hAnsi="Arial"/>
            <w:sz w:val="18"/>
            <w:szCs w:val="18"/>
            <w:u w:val="single" w:color="auto"/>
            <w:color w:val="0000EE"/>
          </w:rPr>
          <w:t>Section 302 of the Sarbanes-Oxley Act of 2002, as amended</w:t>
        </w:r>
      </w:hyperlink>
    </w:p>
    <w:p>
      <w:pPr>
        <w:spacing w:after="0" w:line="1" w:lineRule="exact"/>
        <w:rPr>
          <w:sz w:val="20"/>
          <w:szCs w:val="20"/>
          <w:color w:val="auto"/>
        </w:rPr>
      </w:pPr>
    </w:p>
    <w:p>
      <w:pPr>
        <w:ind w:left="1060" w:right="519" w:hanging="802"/>
        <w:spacing w:after="0" w:line="250" w:lineRule="auto"/>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71">
        <w:r>
          <w:rPr>
            <w:rFonts w:ascii="Arial" w:cs="Arial" w:eastAsia="Arial" w:hAnsi="Arial"/>
            <w:sz w:val="18"/>
            <w:szCs w:val="18"/>
            <w:u w:val="single" w:color="auto"/>
            <w:color w:val="0000EE"/>
          </w:rPr>
          <w:t>Certification of the Chief Executive Officer pursuant to 18 U.S.C. Section 1350, as adopted pursuant to</w:t>
        </w:r>
      </w:hyperlink>
      <w:r>
        <w:rPr>
          <w:rFonts w:ascii="Arial" w:cs="Arial" w:eastAsia="Arial" w:hAnsi="Arial"/>
          <w:sz w:val="18"/>
          <w:szCs w:val="18"/>
          <w:u w:val="single" w:color="auto"/>
          <w:color w:val="0000EE"/>
        </w:rPr>
        <w:t xml:space="preserve"> </w:t>
      </w:r>
      <w:hyperlink w:anchor="page71">
        <w:r>
          <w:rPr>
            <w:rFonts w:ascii="Arial" w:cs="Arial" w:eastAsia="Arial" w:hAnsi="Arial"/>
            <w:sz w:val="18"/>
            <w:szCs w:val="18"/>
            <w:u w:val="single" w:color="auto"/>
            <w:color w:val="0000EE"/>
          </w:rPr>
          <w:t>Section 906 of the Sarbanes-Oxley Act of 2002, as amended</w:t>
        </w:r>
      </w:hyperlink>
    </w:p>
    <w:p>
      <w:pPr>
        <w:spacing w:after="0" w:line="1" w:lineRule="exact"/>
        <w:rPr>
          <w:sz w:val="20"/>
          <w:szCs w:val="20"/>
          <w:color w:val="auto"/>
        </w:rPr>
      </w:pPr>
    </w:p>
    <w:p>
      <w:pPr>
        <w:ind w:left="1060" w:right="559" w:hanging="802"/>
        <w:spacing w:after="0" w:line="260" w:lineRule="auto"/>
        <w:tabs>
          <w:tab w:leader="none" w:pos="104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72">
        <w:r>
          <w:rPr>
            <w:rFonts w:ascii="Arial" w:cs="Arial" w:eastAsia="Arial" w:hAnsi="Arial"/>
            <w:sz w:val="18"/>
            <w:szCs w:val="18"/>
            <w:u w:val="single" w:color="auto"/>
            <w:color w:val="0000EE"/>
          </w:rPr>
          <w:t>Certification of the Chief Financial Officer pursuant to 18 U.S.C. Section 1350, as adopted pursuant to</w:t>
        </w:r>
      </w:hyperlink>
      <w:r>
        <w:rPr>
          <w:rFonts w:ascii="Arial" w:cs="Arial" w:eastAsia="Arial" w:hAnsi="Arial"/>
          <w:sz w:val="18"/>
          <w:szCs w:val="18"/>
          <w:u w:val="single" w:color="auto"/>
          <w:color w:val="0000EE"/>
        </w:rPr>
        <w:t xml:space="preserve"> </w:t>
      </w:r>
      <w:hyperlink w:anchor="page72">
        <w:r>
          <w:rPr>
            <w:rFonts w:ascii="Arial" w:cs="Arial" w:eastAsia="Arial" w:hAnsi="Arial"/>
            <w:sz w:val="18"/>
            <w:szCs w:val="18"/>
            <w:u w:val="single" w:color="auto"/>
            <w:color w:val="0000EE"/>
          </w:rPr>
          <w:t>Section 906 of the Sarbanes-Oxley Act of 2002, as amended</w:t>
        </w:r>
      </w:hyperlink>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141414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80" w:hanging="330"/>
        <w:spacing w:after="0"/>
        <w:tabs>
          <w:tab w:leader="none" w:pos="3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324"/>
        <w:spacing w:after="0" w:line="308" w:lineRule="auto"/>
        <w:rPr>
          <w:sz w:val="20"/>
          <w:szCs w:val="20"/>
          <w:color w:val="auto"/>
        </w:rPr>
      </w:pPr>
      <w:r>
        <w:rPr>
          <w:rFonts w:ascii="Arial" w:cs="Arial" w:eastAsia="Arial" w:hAnsi="Arial"/>
          <w:sz w:val="17"/>
          <w:szCs w:val="17"/>
          <w:color w:val="auto"/>
        </w:rPr>
        <w:t>Pursuant to the requirements of the Securities Exchange Act of 1934, as amended, the registrant has duly caused this Quarterly Report on Form 10-Q to be signed on its behalf by the undersigned, thereunto duly authorized.</w:t>
      </w:r>
    </w:p>
    <w:p>
      <w:pPr>
        <w:spacing w:after="0" w:line="14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5980" w:type="dxa"/>
            <w:vAlign w:val="bottom"/>
            <w:gridSpan w:val="2"/>
          </w:tcPr>
          <w:p>
            <w:pPr>
              <w:ind w:left="1500"/>
              <w:spacing w:after="0"/>
              <w:rPr>
                <w:sz w:val="20"/>
                <w:szCs w:val="20"/>
                <w:color w:val="auto"/>
              </w:rPr>
            </w:pPr>
            <w:r>
              <w:rPr>
                <w:rFonts w:ascii="Arial" w:cs="Arial" w:eastAsia="Arial" w:hAnsi="Arial"/>
                <w:sz w:val="18"/>
                <w:szCs w:val="18"/>
                <w:color w:val="auto"/>
              </w:rPr>
              <w:t>HORIZON TECHNOLOGY FINANCE CORPORATION</w:t>
            </w:r>
          </w:p>
        </w:tc>
      </w:tr>
      <w:tr>
        <w:trPr>
          <w:trHeight w:val="432"/>
        </w:trPr>
        <w:tc>
          <w:tcPr>
            <w:tcW w:w="2940" w:type="dxa"/>
            <w:vAlign w:val="bottom"/>
          </w:tcPr>
          <w:p>
            <w:pPr>
              <w:ind w:left="20"/>
              <w:spacing w:after="0"/>
              <w:rPr>
                <w:sz w:val="20"/>
                <w:szCs w:val="20"/>
                <w:color w:val="auto"/>
              </w:rPr>
            </w:pPr>
            <w:r>
              <w:rPr>
                <w:rFonts w:ascii="Arial" w:cs="Arial" w:eastAsia="Arial" w:hAnsi="Arial"/>
                <w:sz w:val="18"/>
                <w:szCs w:val="18"/>
                <w:color w:val="auto"/>
              </w:rPr>
              <w:t>Date: April 28, 2020</w:t>
            </w:r>
          </w:p>
        </w:tc>
        <w:tc>
          <w:tcPr>
            <w:tcW w:w="2000" w:type="dxa"/>
            <w:vAlign w:val="bottom"/>
          </w:tcPr>
          <w:p>
            <w:pPr>
              <w:ind w:left="150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D. Pomeroy, Jr.</w:t>
            </w:r>
          </w:p>
        </w:tc>
      </w:tr>
      <w:tr>
        <w:trPr>
          <w:trHeight w:val="195"/>
        </w:trPr>
        <w:tc>
          <w:tcPr>
            <w:tcW w:w="2940" w:type="dxa"/>
            <w:vAlign w:val="bottom"/>
          </w:tcPr>
          <w:p>
            <w:pPr>
              <w:spacing w:after="0"/>
              <w:rPr>
                <w:sz w:val="16"/>
                <w:szCs w:val="16"/>
                <w:color w:val="auto"/>
              </w:rPr>
            </w:pPr>
          </w:p>
        </w:tc>
        <w:tc>
          <w:tcPr>
            <w:tcW w:w="2000" w:type="dxa"/>
            <w:vAlign w:val="bottom"/>
          </w:tcPr>
          <w:p>
            <w:pPr>
              <w:ind w:left="1500"/>
              <w:spacing w:after="0" w:line="195" w:lineRule="exact"/>
              <w:rPr>
                <w:sz w:val="20"/>
                <w:szCs w:val="20"/>
                <w:color w:val="auto"/>
              </w:rPr>
            </w:pPr>
            <w:r>
              <w:rPr>
                <w:rFonts w:ascii="Arial" w:cs="Arial" w:eastAsia="Arial" w:hAnsi="Arial"/>
                <w:sz w:val="18"/>
                <w:szCs w:val="18"/>
                <w:color w:val="auto"/>
                <w:w w:val="90"/>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Robert D. Pomeroy, Jr.</w:t>
            </w:r>
          </w:p>
        </w:tc>
      </w:tr>
      <w:tr>
        <w:trPr>
          <w:trHeight w:val="216"/>
        </w:trPr>
        <w:tc>
          <w:tcPr>
            <w:tcW w:w="2940" w:type="dxa"/>
            <w:vAlign w:val="bottom"/>
          </w:tcPr>
          <w:p>
            <w:pPr>
              <w:spacing w:after="0"/>
              <w:rPr>
                <w:sz w:val="18"/>
                <w:szCs w:val="18"/>
                <w:color w:val="auto"/>
              </w:rPr>
            </w:pPr>
          </w:p>
        </w:tc>
        <w:tc>
          <w:tcPr>
            <w:tcW w:w="2000" w:type="dxa"/>
            <w:vAlign w:val="bottom"/>
          </w:tcPr>
          <w:p>
            <w:pPr>
              <w:ind w:left="150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w w:val="97"/>
              </w:rPr>
              <w:t>Chief Executive Officer and Chairman of the Board</w:t>
            </w: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Date: April 28, 2020</w:t>
            </w:r>
          </w:p>
        </w:tc>
        <w:tc>
          <w:tcPr>
            <w:tcW w:w="2000" w:type="dxa"/>
            <w:vAlign w:val="bottom"/>
          </w:tcPr>
          <w:p>
            <w:pPr>
              <w:ind w:left="150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R. Trolio</w:t>
            </w:r>
          </w:p>
        </w:tc>
      </w:tr>
      <w:tr>
        <w:trPr>
          <w:trHeight w:val="195"/>
        </w:trPr>
        <w:tc>
          <w:tcPr>
            <w:tcW w:w="2940" w:type="dxa"/>
            <w:vAlign w:val="bottom"/>
          </w:tcPr>
          <w:p>
            <w:pPr>
              <w:spacing w:after="0"/>
              <w:rPr>
                <w:sz w:val="16"/>
                <w:szCs w:val="16"/>
                <w:color w:val="auto"/>
              </w:rPr>
            </w:pPr>
          </w:p>
        </w:tc>
        <w:tc>
          <w:tcPr>
            <w:tcW w:w="2000" w:type="dxa"/>
            <w:vAlign w:val="bottom"/>
          </w:tcPr>
          <w:p>
            <w:pPr>
              <w:ind w:left="1500"/>
              <w:spacing w:after="0" w:line="195" w:lineRule="exact"/>
              <w:rPr>
                <w:sz w:val="20"/>
                <w:szCs w:val="20"/>
                <w:color w:val="auto"/>
              </w:rPr>
            </w:pPr>
            <w:r>
              <w:rPr>
                <w:rFonts w:ascii="Arial" w:cs="Arial" w:eastAsia="Arial" w:hAnsi="Arial"/>
                <w:sz w:val="18"/>
                <w:szCs w:val="18"/>
                <w:color w:val="auto"/>
                <w:w w:val="90"/>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Daniel R. Trolio</w:t>
            </w:r>
          </w:p>
        </w:tc>
      </w:tr>
      <w:tr>
        <w:trPr>
          <w:trHeight w:val="230"/>
        </w:trPr>
        <w:tc>
          <w:tcPr>
            <w:tcW w:w="2940" w:type="dxa"/>
            <w:vAlign w:val="bottom"/>
          </w:tcPr>
          <w:p>
            <w:pPr>
              <w:spacing w:after="0"/>
              <w:rPr>
                <w:sz w:val="20"/>
                <w:szCs w:val="20"/>
                <w:color w:val="auto"/>
              </w:rPr>
            </w:pPr>
          </w:p>
        </w:tc>
        <w:tc>
          <w:tcPr>
            <w:tcW w:w="2000" w:type="dxa"/>
            <w:vAlign w:val="bottom"/>
          </w:tcPr>
          <w:p>
            <w:pPr>
              <w:ind w:left="150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864"/>
        </w:trPr>
        <w:tc>
          <w:tcPr>
            <w:tcW w:w="2940" w:type="dxa"/>
            <w:vAlign w:val="bottom"/>
          </w:tcPr>
          <w:p>
            <w:pPr>
              <w:spacing w:after="0"/>
              <w:rPr>
                <w:sz w:val="24"/>
                <w:szCs w:val="24"/>
                <w:color w:val="auto"/>
              </w:rPr>
            </w:pPr>
          </w:p>
        </w:tc>
        <w:tc>
          <w:tcPr>
            <w:tcW w:w="2000" w:type="dxa"/>
            <w:vAlign w:val="bottom"/>
          </w:tcPr>
          <w:p>
            <w:pPr>
              <w:ind w:left="1440"/>
              <w:spacing w:after="0"/>
              <w:rPr>
                <w:sz w:val="20"/>
                <w:szCs w:val="20"/>
                <w:color w:val="auto"/>
              </w:rPr>
            </w:pPr>
            <w:r>
              <w:rPr>
                <w:rFonts w:ascii="Arial" w:cs="Arial" w:eastAsia="Arial" w:hAnsi="Arial"/>
                <w:sz w:val="18"/>
                <w:szCs w:val="18"/>
                <w:color w:val="auto"/>
              </w:rPr>
              <w:t>68</w:t>
            </w:r>
          </w:p>
        </w:tc>
        <w:tc>
          <w:tcPr>
            <w:tcW w:w="3980" w:type="dxa"/>
            <w:vAlign w:val="bottom"/>
          </w:tcPr>
          <w:p>
            <w:pPr>
              <w:spacing w:after="0"/>
              <w:rPr>
                <w:sz w:val="24"/>
                <w:szCs w:val="24"/>
                <w:color w:val="auto"/>
              </w:rPr>
            </w:pPr>
          </w:p>
        </w:tc>
      </w:tr>
      <w:tr>
        <w:trPr>
          <w:trHeight w:val="561"/>
        </w:trPr>
        <w:tc>
          <w:tcPr>
            <w:tcW w:w="29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left="1000" w:right="2460"/>
        <w:spacing w:after="0" w:line="266" w:lineRule="auto"/>
        <w:rPr>
          <w:sz w:val="20"/>
          <w:szCs w:val="20"/>
          <w:color w:val="auto"/>
        </w:rPr>
      </w:pPr>
      <w:r>
        <w:rPr>
          <w:rFonts w:ascii="Arial" w:cs="Arial" w:eastAsia="Arial" w:hAnsi="Arial"/>
          <w:sz w:val="18"/>
          <w:szCs w:val="18"/>
          <w:b w:val="1"/>
          <w:bCs w:val="1"/>
          <w:color w:val="auto"/>
        </w:rPr>
        <w:t>CERTIFICATION PURSUANT TO EXCHANGE ACT RULES 13a-14 AND 15d-14, AS ADOPTED PURSUANT TO SECTION 302 OF THE SARBANES-OXLEY ACT OF 2002</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CERTIFICATION</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Robert D. Pomeroy, Jr., as Chief Executive Officer and Chairman of the Board of Horizon Technology Finance Corporation, certify that:</w:t>
      </w:r>
    </w:p>
    <w:p>
      <w:pPr>
        <w:spacing w:after="0" w:line="103" w:lineRule="exact"/>
        <w:rPr>
          <w:sz w:val="20"/>
          <w:szCs w:val="20"/>
          <w:color w:val="auto"/>
        </w:rPr>
      </w:pPr>
    </w:p>
    <w:p>
      <w:pPr>
        <w:ind w:left="520" w:hanging="188"/>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Horizon Technology Finance Corporation;</w:t>
      </w:r>
    </w:p>
    <w:p>
      <w:pPr>
        <w:spacing w:after="0" w:line="144" w:lineRule="exact"/>
        <w:rPr>
          <w:rFonts w:ascii="Arial" w:cs="Arial" w:eastAsia="Arial" w:hAnsi="Arial"/>
          <w:sz w:val="18"/>
          <w:szCs w:val="18"/>
          <w:color w:val="auto"/>
        </w:rPr>
      </w:pPr>
    </w:p>
    <w:p>
      <w:pPr>
        <w:jc w:val="both"/>
        <w:ind w:firstLine="332"/>
        <w:spacing w:after="0" w:line="263" w:lineRule="auto"/>
        <w:tabs>
          <w:tab w:leader="none" w:pos="529"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jc w:val="both"/>
        <w:ind w:firstLine="332"/>
        <w:spacing w:after="0" w:line="263" w:lineRule="auto"/>
        <w:tabs>
          <w:tab w:leader="none" w:pos="526"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332"/>
        <w:spacing w:after="0" w:line="263" w:lineRule="auto"/>
        <w:tabs>
          <w:tab w:leader="none" w:pos="51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3" w:lineRule="exact"/>
        <w:rPr>
          <w:sz w:val="20"/>
          <w:szCs w:val="20"/>
          <w:color w:val="auto"/>
        </w:rPr>
      </w:pPr>
    </w:p>
    <w:p>
      <w:pPr>
        <w:jc w:val="both"/>
        <w:ind w:firstLine="332"/>
        <w:spacing w:after="0" w:line="286" w:lineRule="auto"/>
        <w:tabs>
          <w:tab w:leader="none" w:pos="525"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7" w:lineRule="exact"/>
        <w:rPr>
          <w:rFonts w:ascii="Arial" w:cs="Arial" w:eastAsia="Arial" w:hAnsi="Arial"/>
          <w:sz w:val="17"/>
          <w:szCs w:val="17"/>
          <w:color w:val="auto"/>
        </w:rPr>
      </w:pPr>
    </w:p>
    <w:p>
      <w:pPr>
        <w:jc w:val="both"/>
        <w:ind w:firstLine="332"/>
        <w:spacing w:after="0" w:line="263" w:lineRule="auto"/>
        <w:tabs>
          <w:tab w:leader="none" w:pos="536"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firstLine="332"/>
        <w:spacing w:after="0" w:line="263" w:lineRule="auto"/>
        <w:tabs>
          <w:tab w:leader="none" w:pos="533"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2" w:lineRule="exact"/>
        <w:rPr>
          <w:rFonts w:ascii="Arial" w:cs="Arial" w:eastAsia="Arial" w:hAnsi="Arial"/>
          <w:sz w:val="18"/>
          <w:szCs w:val="18"/>
          <w:color w:val="auto"/>
        </w:rPr>
      </w:pPr>
    </w:p>
    <w:p>
      <w:pPr>
        <w:jc w:val="both"/>
        <w:ind w:firstLine="332"/>
        <w:spacing w:after="0" w:line="263" w:lineRule="auto"/>
        <w:tabs>
          <w:tab w:leader="none" w:pos="522"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sz w:val="20"/>
          <w:szCs w:val="20"/>
          <w:color w:val="auto"/>
        </w:rPr>
      </w:pPr>
    </w:p>
    <w:p>
      <w:pPr>
        <w:jc w:val="both"/>
        <w:ind w:firstLine="332"/>
        <w:spacing w:after="0" w:line="263" w:lineRule="auto"/>
        <w:tabs>
          <w:tab w:leader="none" w:pos="50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sz w:val="20"/>
          <w:szCs w:val="20"/>
          <w:color w:val="auto"/>
        </w:rPr>
      </w:pPr>
    </w:p>
    <w:p>
      <w:pPr>
        <w:ind w:firstLine="332"/>
        <w:spacing w:after="0" w:line="342" w:lineRule="auto"/>
        <w:tabs>
          <w:tab w:leader="none" w:pos="519"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2" w:lineRule="exact"/>
        <w:rPr>
          <w:rFonts w:ascii="Arial" w:cs="Arial" w:eastAsia="Arial" w:hAnsi="Arial"/>
          <w:sz w:val="16"/>
          <w:szCs w:val="16"/>
          <w:color w:val="auto"/>
        </w:rPr>
      </w:pPr>
    </w:p>
    <w:p>
      <w:pPr>
        <w:ind w:firstLine="332"/>
        <w:spacing w:after="0" w:line="277" w:lineRule="auto"/>
        <w:tabs>
          <w:tab w:leader="none" w:pos="52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2020</w:t>
      </w:r>
    </w:p>
    <w:p>
      <w:pPr>
        <w:spacing w:after="0" w:line="225" w:lineRule="exact"/>
        <w:rPr>
          <w:sz w:val="20"/>
          <w:szCs w:val="20"/>
          <w:color w:val="auto"/>
        </w:rPr>
      </w:pPr>
    </w:p>
    <w:p>
      <w:pPr>
        <w:ind w:left="20"/>
        <w:spacing w:after="0"/>
        <w:tabs>
          <w:tab w:leader="none" w:pos="480" w:val="left"/>
        </w:tabs>
        <w:rPr>
          <w:sz w:val="20"/>
          <w:szCs w:val="20"/>
          <w:color w:val="auto"/>
        </w:rPr>
      </w:pPr>
      <w:r>
        <w:rPr>
          <w:rFonts w:ascii="Arial" w:cs="Arial" w:eastAsia="Arial" w:hAnsi="Arial"/>
          <w:sz w:val="18"/>
          <w:szCs w:val="18"/>
          <w:color w:val="auto"/>
        </w:rPr>
        <w:t>By:</w:t>
        <w:tab/>
        <w:t>/s/ Robert D. Pomeroy, Jr.</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-127635</wp:posOffset>
            </wp:positionV>
            <wp:extent cx="30943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ind w:left="1000" w:right="2460"/>
        <w:spacing w:after="0" w:line="255" w:lineRule="auto"/>
        <w:rPr>
          <w:sz w:val="20"/>
          <w:szCs w:val="20"/>
          <w:color w:val="auto"/>
        </w:rPr>
      </w:pPr>
      <w:r>
        <w:rPr>
          <w:rFonts w:ascii="Arial" w:cs="Arial" w:eastAsia="Arial" w:hAnsi="Arial"/>
          <w:sz w:val="18"/>
          <w:szCs w:val="18"/>
          <w:b w:val="1"/>
          <w:bCs w:val="1"/>
          <w:color w:val="auto"/>
        </w:rPr>
        <w:t>CERTIFICATION PURSUANT TO EXCHANGE ACT RULES 13a-14 AND 15d-14, AS ADOPTED PURSUANT TO SECTION 302 OF THE SARBANES-OXLEY ACT OF 2002</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 CERTIFICATION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Daniel R. Trolio, as Chief Financial Officer of Horizon Technology Finance Corporation, certify that:</w:t>
      </w:r>
    </w:p>
    <w:p>
      <w:pPr>
        <w:spacing w:after="0" w:line="185" w:lineRule="exact"/>
        <w:rPr>
          <w:sz w:val="20"/>
          <w:szCs w:val="20"/>
          <w:color w:val="auto"/>
        </w:rPr>
      </w:pPr>
    </w:p>
    <w:p>
      <w:pPr>
        <w:ind w:left="520" w:hanging="188"/>
        <w:spacing w:after="0"/>
        <w:tabs>
          <w:tab w:leader="none" w:pos="5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Horizon Technology Finance Corporation;</w:t>
      </w:r>
    </w:p>
    <w:p>
      <w:pPr>
        <w:spacing w:after="0" w:line="184" w:lineRule="exact"/>
        <w:rPr>
          <w:rFonts w:ascii="Arial" w:cs="Arial" w:eastAsia="Arial" w:hAnsi="Arial"/>
          <w:sz w:val="18"/>
          <w:szCs w:val="18"/>
          <w:color w:val="auto"/>
        </w:rPr>
      </w:pPr>
    </w:p>
    <w:p>
      <w:pPr>
        <w:jc w:val="both"/>
        <w:ind w:firstLine="332"/>
        <w:spacing w:after="0" w:line="263" w:lineRule="auto"/>
        <w:tabs>
          <w:tab w:leader="none" w:pos="5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8"/>
          <w:szCs w:val="18"/>
          <w:color w:val="auto"/>
        </w:rPr>
      </w:pPr>
    </w:p>
    <w:p>
      <w:pPr>
        <w:jc w:val="both"/>
        <w:ind w:firstLine="332"/>
        <w:spacing w:after="0" w:line="263" w:lineRule="auto"/>
        <w:tabs>
          <w:tab w:leader="none" w:pos="526"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jc w:val="both"/>
        <w:ind w:firstLine="332"/>
        <w:spacing w:after="0" w:line="263" w:lineRule="auto"/>
        <w:tabs>
          <w:tab w:leader="none" w:pos="513"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3" w:lineRule="exact"/>
        <w:rPr>
          <w:sz w:val="20"/>
          <w:szCs w:val="20"/>
          <w:color w:val="auto"/>
        </w:rPr>
      </w:pPr>
    </w:p>
    <w:p>
      <w:pPr>
        <w:jc w:val="both"/>
        <w:ind w:firstLine="332"/>
        <w:spacing w:after="0" w:line="286" w:lineRule="auto"/>
        <w:tabs>
          <w:tab w:leader="none" w:pos="525"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8" w:lineRule="exact"/>
        <w:rPr>
          <w:rFonts w:ascii="Arial" w:cs="Arial" w:eastAsia="Arial" w:hAnsi="Arial"/>
          <w:sz w:val="17"/>
          <w:szCs w:val="17"/>
          <w:color w:val="auto"/>
        </w:rPr>
      </w:pPr>
    </w:p>
    <w:p>
      <w:pPr>
        <w:jc w:val="both"/>
        <w:ind w:firstLine="332"/>
        <w:spacing w:after="0" w:line="263" w:lineRule="auto"/>
        <w:tabs>
          <w:tab w:leader="none" w:pos="5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3" w:lineRule="exact"/>
        <w:rPr>
          <w:rFonts w:ascii="Arial" w:cs="Arial" w:eastAsia="Arial" w:hAnsi="Arial"/>
          <w:sz w:val="18"/>
          <w:szCs w:val="18"/>
          <w:color w:val="auto"/>
        </w:rPr>
      </w:pPr>
    </w:p>
    <w:p>
      <w:pPr>
        <w:jc w:val="both"/>
        <w:ind w:firstLine="332"/>
        <w:spacing w:after="0" w:line="263" w:lineRule="auto"/>
        <w:tabs>
          <w:tab w:leader="none" w:pos="533"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firstLine="332"/>
        <w:spacing w:after="0" w:line="263" w:lineRule="auto"/>
        <w:tabs>
          <w:tab w:leader="none" w:pos="522"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sz w:val="20"/>
          <w:szCs w:val="20"/>
          <w:color w:val="auto"/>
        </w:rPr>
      </w:pPr>
    </w:p>
    <w:p>
      <w:pPr>
        <w:jc w:val="both"/>
        <w:ind w:firstLine="332"/>
        <w:spacing w:after="0" w:line="263" w:lineRule="auto"/>
        <w:tabs>
          <w:tab w:leader="none" w:pos="50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3" w:lineRule="exact"/>
        <w:rPr>
          <w:sz w:val="20"/>
          <w:szCs w:val="20"/>
          <w:color w:val="auto"/>
        </w:rPr>
      </w:pPr>
    </w:p>
    <w:p>
      <w:pPr>
        <w:ind w:firstLine="332"/>
        <w:spacing w:after="0" w:line="342" w:lineRule="auto"/>
        <w:tabs>
          <w:tab w:leader="none" w:pos="519" w:val="left"/>
        </w:tabs>
        <w:numPr>
          <w:ilvl w:val="0"/>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firstLine="332"/>
        <w:spacing w:after="0" w:line="277" w:lineRule="auto"/>
        <w:tabs>
          <w:tab w:leader="none" w:pos="5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April 28, 2020</w:t>
      </w:r>
    </w:p>
    <w:p>
      <w:pPr>
        <w:spacing w:after="0" w:line="2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Daniel R. Trolio</w:t>
      </w:r>
    </w:p>
    <w:p>
      <w:pPr>
        <w:spacing w:after="0" w:line="3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-127635</wp:posOffset>
            </wp:positionV>
            <wp:extent cx="314579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502920</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on Form 10-Q of Horizon Technology Finance Corporation (the “Company”) for the quarterly period ended March 31, 2020 as filed with the Securities and Exchange Commission on the date hereof (the “Report”), I, Robert D. Pomeroy, Jr., as Chief Executive Officer and Chairman of the Board, certify, pursuant to 18 U.S.C. Section 1350, as adopted pursuant to Section 906 of Sarbanes-Oxley Act of 2002, as amended, that to my knowledge:</w:t>
      </w:r>
    </w:p>
    <w:p>
      <w:pPr>
        <w:spacing w:after="0" w:line="160" w:lineRule="exact"/>
        <w:rPr>
          <w:sz w:val="20"/>
          <w:szCs w:val="20"/>
          <w:color w:val="auto"/>
        </w:rPr>
      </w:pPr>
    </w:p>
    <w:p>
      <w:pPr>
        <w:ind w:left="660" w:right="20" w:hanging="328"/>
        <w:spacing w:after="0" w:line="277" w:lineRule="auto"/>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660" w:hanging="328"/>
        <w:spacing w:after="0" w:line="277" w:lineRule="auto"/>
        <w:tabs>
          <w:tab w:leader="none" w:pos="6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Robert D. Pomeroy, Jr.</w:t>
      </w:r>
    </w:p>
    <w:p>
      <w:pPr>
        <w:spacing w:after="0" w:line="3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b w:val="1"/>
          <w:bCs w:val="1"/>
          <w:color w:val="auto"/>
        </w:rPr>
        <w:t>Robert D. Pomeroy,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wp:posOffset>
            </wp:positionV>
            <wp:extent cx="31375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Executive Officer and Chairman of the Board</w:t>
      </w:r>
    </w:p>
    <w:p>
      <w:pPr>
        <w:spacing w:after="0" w:line="25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 (18 U.S.C. Section 1350)</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on Form 10-Q of Horizon Technology Finance Corporation (the “Company”) for the quarterly period ended March 31, 2020 as filed with the Securities and Exchange Commission on the date hereof (the “Report”), I, Daniel R. Trolio, as Chief Financial Officer of the Company, certify, pursuant to 18 U.S.C. Section 1350, as adopted pursuant to Section 906 of Sarbanes-Oxley Act of 2002, as amended, that to my knowledge:</w:t>
      </w:r>
    </w:p>
    <w:p>
      <w:pPr>
        <w:spacing w:after="0" w:line="160" w:lineRule="exact"/>
        <w:rPr>
          <w:sz w:val="20"/>
          <w:szCs w:val="20"/>
          <w:color w:val="auto"/>
        </w:rPr>
      </w:pPr>
    </w:p>
    <w:p>
      <w:pPr>
        <w:ind w:left="660" w:right="20" w:hanging="328"/>
        <w:spacing w:after="0" w:line="277" w:lineRule="auto"/>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9" w:lineRule="exact"/>
        <w:rPr>
          <w:rFonts w:ascii="Arial" w:cs="Arial" w:eastAsia="Arial" w:hAnsi="Arial"/>
          <w:sz w:val="18"/>
          <w:szCs w:val="18"/>
          <w:color w:val="auto"/>
        </w:rPr>
      </w:pPr>
    </w:p>
    <w:p>
      <w:pPr>
        <w:ind w:left="660" w:hanging="328"/>
        <w:spacing w:after="0" w:line="277" w:lineRule="auto"/>
        <w:tabs>
          <w:tab w:leader="none" w:pos="64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Daniel R. Trolio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-119380</wp:posOffset>
            </wp:positionV>
            <wp:extent cx="31800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7"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b w:val="1"/>
          <w:bCs w:val="1"/>
          <w:color w:val="auto"/>
        </w:rPr>
        <w:t>Chief Financial Officer</w:t>
      </w:r>
    </w:p>
    <w:p>
      <w:pPr>
        <w:spacing w:after="0" w:line="251" w:lineRule="exact"/>
        <w:rPr>
          <w:sz w:val="20"/>
          <w:szCs w:val="20"/>
          <w:color w:val="auto"/>
        </w:rPr>
      </w:pPr>
    </w:p>
    <w:p>
      <w:pPr>
        <w:ind w:left="20"/>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April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9"/>
    </w:lvl>
  </w:abstractNum>
  <w:abstractNum w:abstractNumId="4">
    <w:nsid w:val="333AB105"/>
    <w:multiLevelType w:val="hybridMultilevel"/>
    <w:lvl w:ilvl="0">
      <w:lvlJc w:val="left"/>
      <w:lvlText w:val="(%1)"/>
      <w:numFmt w:val="decimal"/>
      <w:start w:val="2"/>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8"/>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3"/>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1)"/>
      <w:numFmt w:val="decimal"/>
      <w:start w:val="1"/>
    </w:lvl>
    <w:lvl w:ilvl="1">
      <w:lvlJc w:val="left"/>
      <w:lvlText w:val="(%2)"/>
      <w:numFmt w:val="lowerLetter"/>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6"/>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2"/>
    </w:lvl>
  </w:abstractNum>
  <w:abstractNum w:abstractNumId="25">
    <w:nsid w:val="6CEAF087"/>
    <w:multiLevelType w:val="hybridMultilevel"/>
    <w:lvl w:ilvl="0">
      <w:lvlJc w:val="left"/>
      <w:lvlText w:val="(%1)"/>
      <w:numFmt w:val="decimal"/>
      <w:start w:val="1"/>
    </w:lvl>
    <w:lvl w:ilvl="1">
      <w:lvlJc w:val="left"/>
      <w:lvlText w:val="(%2)"/>
      <w:numFmt w:val="lowerLetter"/>
      <w:start w:val="1"/>
    </w:lvl>
  </w:abstractNum>
  <w:abstractNum w:abstractNumId="26">
    <w:nsid w:val="22221A70"/>
    <w:multiLevelType w:val="hybridMultilevel"/>
    <w:lvl w:ilvl="0">
      <w:lvlJc w:val="left"/>
      <w:lvlText w:val="(%1)"/>
      <w:numFmt w:val="decimal"/>
      <w:start w:val="2"/>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5"/>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5"/>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2020-04-28T15:55:13Z</dcterms:created>
  <dcterms:modified xsi:type="dcterms:W3CDTF">2020-04-28T15:55:13Z</dcterms:modified>
</cp:coreProperties>
</file>