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580" w:right="1900" w:hanging="3572"/>
        <w:spacing w:after="0" w:line="501" w:lineRule="auto"/>
        <w:tabs>
          <w:tab w:leader="none" w:pos="33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jc w:val="center"/>
        <w:ind w:left="34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000" w:type="dxa"/>
            <w:vAlign w:val="bottom"/>
            <w:gridSpan w:val="2"/>
          </w:tcPr>
          <w:p>
            <w:pPr>
              <w:ind w:left="440"/>
              <w:spacing w:after="0"/>
              <w:rPr>
                <w:sz w:val="20"/>
                <w:szCs w:val="20"/>
                <w:color w:val="auto"/>
              </w:rPr>
            </w:pPr>
            <w:r>
              <w:rPr>
                <w:rFonts w:ascii="Arial" w:cs="Arial" w:eastAsia="Arial" w:hAnsi="Arial"/>
                <w:sz w:val="18"/>
                <w:szCs w:val="18"/>
                <w:b w:val="1"/>
                <w:bCs w:val="1"/>
                <w:color w:val="auto"/>
              </w:rPr>
              <w:t>COMMISSION FILE NUMBER: 814-00802</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HORIZON TECHNOLOGY FINANCE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tcPr>
          <w:p>
            <w:pPr>
              <w:jc w:val="right"/>
              <w:ind w:right="770"/>
              <w:spacing w:after="0"/>
              <w:rPr>
                <w:sz w:val="20"/>
                <w:szCs w:val="20"/>
                <w:color w:val="auto"/>
              </w:rPr>
            </w:pPr>
            <w:r>
              <w:rPr>
                <w:rFonts w:ascii="Arial" w:cs="Arial" w:eastAsia="Arial" w:hAnsi="Arial"/>
                <w:sz w:val="18"/>
                <w:szCs w:val="18"/>
                <w:b w:val="1"/>
                <w:bCs w:val="1"/>
                <w:color w:val="auto"/>
              </w:rPr>
              <w:t>27-2114934</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4900" w:type="dxa"/>
            <w:vAlign w:val="bottom"/>
          </w:tcPr>
          <w:p>
            <w:pPr>
              <w:jc w:val="center"/>
              <w:ind w:left="22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1"/>
              </w:rPr>
              <w:t>312 Farmington Avenue</w:t>
            </w:r>
          </w:p>
        </w:tc>
        <w:tc>
          <w:tcPr>
            <w:tcW w:w="4900" w:type="dxa"/>
            <w:vAlign w:val="bottom"/>
          </w:tcPr>
          <w:p>
            <w:pPr>
              <w:spacing w:after="0"/>
              <w:rPr>
                <w:sz w:val="24"/>
                <w:szCs w:val="24"/>
                <w:color w:val="auto"/>
              </w:rPr>
            </w:pPr>
          </w:p>
        </w:tc>
      </w:tr>
      <w:tr>
        <w:trPr>
          <w:trHeight w:val="220"/>
        </w:trPr>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4"/>
              </w:rPr>
              <w:t>Farmington, CT</w:t>
            </w:r>
          </w:p>
        </w:tc>
        <w:tc>
          <w:tcPr>
            <w:tcW w:w="4900" w:type="dxa"/>
            <w:vAlign w:val="bottom"/>
          </w:tcPr>
          <w:p>
            <w:pPr>
              <w:jc w:val="right"/>
              <w:ind w:right="970"/>
              <w:spacing w:after="0"/>
              <w:rPr>
                <w:sz w:val="20"/>
                <w:szCs w:val="20"/>
                <w:color w:val="auto"/>
              </w:rPr>
            </w:pPr>
            <w:r>
              <w:rPr>
                <w:rFonts w:ascii="Arial" w:cs="Arial" w:eastAsia="Arial" w:hAnsi="Arial"/>
                <w:sz w:val="18"/>
                <w:szCs w:val="18"/>
                <w:b w:val="1"/>
                <w:bCs w:val="1"/>
                <w:color w:val="auto"/>
              </w:rPr>
              <w:t>06032</w:t>
            </w: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900" w:type="dxa"/>
            <w:vAlign w:val="bottom"/>
          </w:tcPr>
          <w:p>
            <w:pPr>
              <w:jc w:val="center"/>
              <w:ind w:left="22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4460" w:type="dxa"/>
            <w:vAlign w:val="bottom"/>
          </w:tcPr>
          <w:p>
            <w:pPr>
              <w:spacing w:after="0"/>
              <w:rPr>
                <w:sz w:val="24"/>
                <w:szCs w:val="24"/>
                <w:color w:val="auto"/>
              </w:rPr>
            </w:pPr>
          </w:p>
        </w:tc>
        <w:tc>
          <w:tcPr>
            <w:tcW w:w="4900" w:type="dxa"/>
            <w:vAlign w:val="bottom"/>
          </w:tcPr>
          <w:p>
            <w:pPr>
              <w:jc w:val="right"/>
              <w:ind w:right="3610"/>
              <w:spacing w:after="0"/>
              <w:rPr>
                <w:sz w:val="20"/>
                <w:szCs w:val="20"/>
                <w:color w:val="auto"/>
              </w:rPr>
            </w:pPr>
            <w:r>
              <w:rPr>
                <w:rFonts w:ascii="Arial" w:cs="Arial" w:eastAsia="Arial" w:hAnsi="Arial"/>
                <w:sz w:val="18"/>
                <w:szCs w:val="18"/>
                <w:b w:val="1"/>
                <w:bCs w:val="1"/>
                <w:color w:val="auto"/>
                <w:w w:val="95"/>
              </w:rPr>
              <w:t>(860) 676-8654</w:t>
            </w:r>
          </w:p>
        </w:tc>
      </w:tr>
    </w:tbl>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rPr>
                <w:sz w:val="20"/>
                <w:szCs w:val="20"/>
                <w:color w:val="auto"/>
              </w:rPr>
            </w:pPr>
            <w:r>
              <w:rPr>
                <w:rFonts w:ascii="Arial" w:cs="Arial" w:eastAsia="Arial" w:hAnsi="Arial"/>
                <w:sz w:val="18"/>
                <w:szCs w:val="18"/>
                <w:color w:val="auto"/>
              </w:rPr>
              <w:t>x</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454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6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5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August 1, 2017 was 11,520,344.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20" w:type="dxa"/>
            <w:vAlign w:val="bottom"/>
            <w:gridSpan w:val="16"/>
          </w:tcPr>
          <w:p>
            <w:pPr>
              <w:jc w:val="center"/>
              <w:ind w:right="1920"/>
              <w:spacing w:after="0"/>
              <w:rPr>
                <w:sz w:val="20"/>
                <w:szCs w:val="20"/>
                <w:color w:val="auto"/>
              </w:rPr>
            </w:pPr>
            <w:r>
              <w:rPr>
                <w:rFonts w:ascii="Arial" w:cs="Arial" w:eastAsia="Arial" w:hAnsi="Arial"/>
                <w:sz w:val="18"/>
                <w:szCs w:val="18"/>
                <w:b w:val="1"/>
                <w:bCs w:val="1"/>
                <w:color w:val="auto"/>
              </w:rPr>
              <w:t>HORIZON TECHNOLOGY FINANCE CORPORATION</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60" w:type="dxa"/>
            <w:vAlign w:val="bottom"/>
            <w:gridSpan w:val="13"/>
          </w:tcPr>
          <w:p>
            <w:pPr>
              <w:jc w:val="center"/>
              <w:ind w:right="3080"/>
              <w:spacing w:after="0"/>
              <w:rPr>
                <w:sz w:val="20"/>
                <w:szCs w:val="20"/>
                <w:color w:val="auto"/>
              </w:rPr>
            </w:pPr>
            <w:r>
              <w:rPr>
                <w:rFonts w:ascii="Arial" w:cs="Arial" w:eastAsia="Arial" w:hAnsi="Arial"/>
                <w:sz w:val="18"/>
                <w:szCs w:val="18"/>
                <w:b w:val="1"/>
                <w:bCs w:val="1"/>
                <w:color w:val="auto"/>
                <w:w w:val="99"/>
              </w:rPr>
              <w:t>FORM 10-Q</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60" w:type="dxa"/>
            <w:vAlign w:val="bottom"/>
            <w:gridSpan w:val="13"/>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0000EE"/>
            </w:tcBorders>
            <w:gridSpan w:val="3"/>
            <w:shd w:val="clear" w:color="auto" w:fill="CCEEFF"/>
          </w:tcPr>
          <w:p>
            <w:pPr>
              <w:jc w:val="center"/>
              <w:spacing w:after="0" w:line="15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980" w:type="dxa"/>
            <w:vAlign w:val="bottom"/>
            <w:tcBorders>
              <w:bottom w:val="single" w:sz="8" w:color="CCEEFF"/>
            </w:tcBorders>
            <w:gridSpan w:val="8"/>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2017 and December 31, 2016 (unaudited)</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560" w:type="dxa"/>
            <w:vAlign w:val="bottom"/>
            <w:gridSpan w:val="21"/>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for the three and six months ended June 30, 2017 and 2016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560" w:type="dxa"/>
            <w:vAlign w:val="bottom"/>
            <w:gridSpan w:val="21"/>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Changes in Net Assets for the six months ended June 30, 2017 and 2016 (unaudited)</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June 30, 2017 and 2016 (unaudited)</w:t>
              </w:r>
            </w:hyperlink>
          </w:p>
        </w:tc>
        <w:tc>
          <w:tcPr>
            <w:tcW w:w="122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2017 and December 31, 2016 (unaudited)</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Notes to the Consolidated Financial Statements (unaudited)</w:t>
              </w:r>
            </w:hyperlink>
          </w:p>
        </w:tc>
        <w:tc>
          <w:tcPr>
            <w:tcW w:w="426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856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4200" w:type="dxa"/>
            <w:vAlign w:val="bottom"/>
            <w:tcBorders>
              <w:top w:val="single" w:sz="8" w:color="CCEEFF"/>
            </w:tcBorders>
            <w:gridSpan w:val="9"/>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0" w:type="dxa"/>
            <w:vAlign w:val="bottom"/>
            <w:gridSpan w:val="12"/>
          </w:tcPr>
          <w:p>
            <w:pPr>
              <w:jc w:val="center"/>
              <w:ind w:right="3940"/>
              <w:spacing w:after="0" w:line="17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722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4200" w:type="dxa"/>
            <w:vAlign w:val="bottom"/>
            <w:tcBorders>
              <w:bottom w:val="single" w:sz="8" w:color="CCEEFF"/>
            </w:tcBorders>
            <w:gridSpan w:val="9"/>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Mine Safety Disclosures</w:t>
              </w:r>
            </w:hyperlink>
          </w:p>
        </w:tc>
        <w:tc>
          <w:tcPr>
            <w:tcW w:w="6780" w:type="dxa"/>
            <w:vAlign w:val="bottom"/>
            <w:tcBorders>
              <w:bottom w:val="single" w:sz="8" w:color="CCEEFF"/>
            </w:tcBorders>
            <w:gridSpan w:val="1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100" w:type="dxa"/>
            <w:vAlign w:val="bottom"/>
            <w:gridSpan w:val="22"/>
          </w:tcPr>
          <w:p>
            <w:pPr>
              <w:ind w:left="5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shd w:val="clear" w:color="auto" w:fill="CCEEFF"/>
          </w:tcPr>
          <w:p>
            <w:pPr>
              <w:spacing w:after="0"/>
              <w:rPr>
                <w:sz w:val="15"/>
                <w:szCs w:val="15"/>
                <w:color w:val="auto"/>
              </w:rPr>
            </w:pPr>
          </w:p>
        </w:tc>
        <w:tc>
          <w:tcPr>
            <w:tcW w:w="85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560" w:type="dxa"/>
            <w:vAlign w:val="bottom"/>
            <w:gridSpan w:val="21"/>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EX-31.1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EX-31.2</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EX-32.1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EX-32.2</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2"/>
          </w:tcPr>
          <w:p>
            <w:pPr>
              <w:jc w:val="center"/>
              <w:ind w:left="4150"/>
              <w:spacing w:after="0"/>
              <w:rPr>
                <w:sz w:val="20"/>
                <w:szCs w:val="20"/>
                <w:color w:val="auto"/>
              </w:rPr>
            </w:pPr>
            <w:r>
              <w:rPr>
                <w:rFonts w:ascii="Arial" w:cs="Arial" w:eastAsia="Arial" w:hAnsi="Arial"/>
                <w:sz w:val="18"/>
                <w:szCs w:val="18"/>
                <w:color w:val="auto"/>
                <w:w w:val="79"/>
              </w:rPr>
              <w:t>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9"/>
              </w:rPr>
              <w:t>Consolidated Statements of Assets and Liabilities (Unaudited)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(Dollars in thousands, except share and per share data)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4"/>
                <w:szCs w:val="2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Non-affiliate investments at fair value (cost of $189,613 and $211,627, respectively) (Note 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179,084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197,117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Borrowings (Note 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55,691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(Note 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Incentive fee payable (Note 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60,355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par value $0.001 per share, 1,000,000 shares authorized, zero shares issued and outstanding as of</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2017 and December 31, 2016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11,680,722 and 11,671,966 shares issued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4"/>
              </w:rPr>
              <w:t>and 11,519,180 and 11,510,424 shares outstanding as of June 30, 2017 and December 31, 2016, respectively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179,647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(31,181)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136,762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197,117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11.87</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non-affiliate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8,788</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11,697</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Prepayment fee income on non-affiliate investments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Fee income on non-affiliate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2,401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(Note 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Performance based incentive fee (Note 3)</w:t>
            </w:r>
          </w:p>
        </w:tc>
        <w:tc>
          <w:tcPr>
            <w:tcW w:w="18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 (Note 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excise tax</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for excise tax</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8,934</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4,385</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investment income per common share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per common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Distributions declared per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11,517,271</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11,544,412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11,515,074</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11,541,208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Distributions</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8"/>
              <w:spacing w:after="0" w:line="149" w:lineRule="exact"/>
              <w:rPr>
                <w:sz w:val="20"/>
                <w:szCs w:val="20"/>
                <w:color w:val="auto"/>
              </w:rPr>
            </w:pPr>
            <w:r>
              <w:rPr>
                <w:rFonts w:ascii="Arial" w:cs="Arial" w:eastAsia="Arial" w:hAnsi="Arial"/>
                <w:sz w:val="14"/>
                <w:szCs w:val="14"/>
                <w:b w:val="1"/>
                <w:bCs w:val="1"/>
                <w:color w:val="auto"/>
                <w:w w:val="88"/>
              </w:rPr>
              <w:t>in Excess of</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Capital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88"/>
              </w:rPr>
              <w:t>Net</w:t>
            </w:r>
          </w:p>
        </w:tc>
        <w:tc>
          <w:tcPr>
            <w:tcW w:w="1080" w:type="dxa"/>
            <w:vAlign w:val="bottom"/>
            <w:gridSpan w:val="3"/>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80" w:type="dxa"/>
            <w:vAlign w:val="bottom"/>
            <w:gridSpan w:val="6"/>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Excess of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89"/>
              </w:rPr>
              <w:t>Investment</w:t>
            </w:r>
          </w:p>
        </w:tc>
        <w:tc>
          <w:tcPr>
            <w:tcW w:w="80" w:type="dxa"/>
            <w:vAlign w:val="bottom"/>
          </w:tcPr>
          <w:p>
            <w:pPr>
              <w:spacing w:after="0"/>
              <w:rPr>
                <w:sz w:val="16"/>
                <w:szCs w:val="16"/>
                <w:color w:val="auto"/>
              </w:rPr>
            </w:pPr>
          </w:p>
        </w:tc>
        <w:tc>
          <w:tcPr>
            <w:tcW w:w="10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1"/>
              </w:rPr>
              <w:t>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w w:val="93"/>
              </w:rPr>
              <w:t>Loss 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8"/>
              <w:spacing w:after="0" w:line="155"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000" w:type="dxa"/>
            <w:vAlign w:val="bottom"/>
            <w:gridSpan w:val="2"/>
          </w:tcPr>
          <w:p>
            <w:pPr>
              <w:jc w:val="center"/>
              <w:ind w:right="148"/>
              <w:spacing w:after="0" w:line="155" w:lineRule="exact"/>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3"/>
                <w:szCs w:val="13"/>
                <w:color w:val="auto"/>
              </w:rPr>
            </w:pPr>
          </w:p>
        </w:tc>
        <w:tc>
          <w:tcPr>
            <w:tcW w:w="10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2015</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11,535,212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179,707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(12,735)</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159,751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8,909</w:t>
            </w:r>
          </w:p>
        </w:tc>
        <w:tc>
          <w:tcPr>
            <w:tcW w:w="80" w:type="dxa"/>
            <w:vAlign w:val="bottom"/>
          </w:tcPr>
          <w:p>
            <w:pPr>
              <w:spacing w:after="0"/>
              <w:rPr>
                <w:sz w:val="12"/>
                <w:szCs w:val="12"/>
                <w:color w:val="auto"/>
              </w:rPr>
            </w:pPr>
          </w:p>
        </w:tc>
        <w:tc>
          <w:tcPr>
            <w:tcW w:w="10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(4,728)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(2,862)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Distributions declared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(7,966)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(7,966)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June 30, 2016</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11,548,149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179,833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(1,063</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(9,955</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(15,597</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153,230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December 31, 2016</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11,510,424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179,551</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(397)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(19,463)</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(20,511)</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139,192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6,121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8,934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(10,670)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Distributions declared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(6,911)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2017</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11,519,180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179,647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(1,187</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(10,529</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(31,181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136,762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60" w:type="dxa"/>
            <w:vAlign w:val="bottom"/>
          </w:tcPr>
          <w:p>
            <w:pPr>
              <w:jc w:val="center"/>
              <w:ind w:left="30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(Dollars in thousands)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6"/>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4,385</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Adjustments to reconcile net increase in net assets resulting from operations to net cash provided by operating</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(8,934)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60,260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investments in money market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Net decrease in restricted investments in 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interest receivable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Decrease (increase) in end-of-term payments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unearned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Decrease (increase) in other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other accrued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(Decrease) increase in base management fee payable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incentive fee payable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Asset-Backed Notes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Advances on credit facility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paid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Net decrease in cash</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37,135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2,260</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non-cash investing and financing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Warrant investments received and recorded as unearned income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1,087</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Distributions payable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60"/>
              <w:spacing w:after="0"/>
              <w:rPr>
                <w:sz w:val="20"/>
                <w:szCs w:val="20"/>
                <w:color w:val="auto"/>
              </w:rPr>
            </w:pPr>
            <w:r>
              <w:rPr>
                <w:rFonts w:ascii="Arial" w:cs="Arial" w:eastAsia="Arial" w:hAnsi="Arial"/>
                <w:sz w:val="18"/>
                <w:szCs w:val="18"/>
                <w:color w:val="auto"/>
              </w:rPr>
              <w:t>End-of-term payments receivable</w:t>
            </w:r>
          </w:p>
        </w:tc>
        <w:tc>
          <w:tcPr>
            <w:tcW w:w="3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3,651</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6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Sector</w:t>
            </w:r>
          </w:p>
        </w:tc>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 (3)(4)(7)(9)(10)</w:t>
            </w:r>
          </w:p>
        </w:tc>
        <w:tc>
          <w:tcPr>
            <w:tcW w:w="2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Investments (6)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120.6% (8)</w:t>
            </w:r>
          </w:p>
        </w:tc>
        <w:tc>
          <w:tcPr>
            <w:tcW w:w="6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Debt Investments — Life Science — 25.9% (8)</w:t>
            </w:r>
          </w:p>
        </w:tc>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Palatin Technologies, Inc. (2)(5)</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Biotechnology</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(9.58% cash (Libor + 8.50%; Floor</w:t>
            </w:r>
          </w:p>
        </w:tc>
        <w:tc>
          <w:tcPr>
            <w:tcW w:w="20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22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2,970</w:t>
            </w:r>
          </w:p>
        </w:tc>
        <w:tc>
          <w:tcPr>
            <w:tcW w:w="3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2,970</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9.00%), 5.00% ETP, Due 1/1/19)</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(9.58% cash (Libor + 8.50%;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4,167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4,130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4,130</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9.00%), 5.00% ETP, Due 8/1/19)</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Sample6, Inc. (2)</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Biotechnology</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(10.08% cash (Libor + 9.00%;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644</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9.50%; Ceiling 11.00%), 4.50% ETP, Due 8/1/18)</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(10.08% cash (Libor + 9.00%;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391</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9.50%; Ceiling 11.00%), 4.50% ETP, Due 8/1/18)</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(10.08% cash (Libor + 9.00%;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1,389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1,377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1,377</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9.50%; Ceiling 11.00%), 4.50% ETP, Due 8/1/18)</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Strongbridge U.S. Inc. (5)</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Biotechnology</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(9.28% cash (Libor + 8.22%;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7,500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7,364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7,364</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8.75%), 8.00% ETP, Due 12/1/20)</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Biotechnology</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(11.08% cash (Libor + 10.00%;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6,250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6,185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6,185</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6.00% ETP, Due 5/1/20)</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(11.08% cash (Libor + 10.00%;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3,691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3,691</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10.50%), 6.00% ETP, Due 10/1/20)</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Medical Device</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(11.58% cash (Libor + 10.50%;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2,479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2,463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2,378</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8.60% ETP, Due 5/1/19)</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Mederi Therapeutics,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Medical Device</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(12.72% cash (Libor + 11.82%;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562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562</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12.00%), 6.00% ETP, Due 12/1/17)</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(12.72% cash (Libor + 11.82%;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562</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12.00%), 6.00% ETP, Due 12/1/17)</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NinePoint Medical,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Medical Device</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(9.83% cash (Libor + 8.75%;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3,470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3,470</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9.25%), 4.50% ETP, Due 3/1/19)</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(9.83% cash (Libor + 8.75%;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1,731</w:t>
            </w:r>
          </w:p>
        </w:tc>
      </w:tr>
      <w:tr>
        <w:trPr>
          <w:trHeight w:val="181"/>
        </w:trPr>
        <w:tc>
          <w:tcPr>
            <w:tcW w:w="2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9.25%), 4.50% ETP, Due 3/1/19)</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42"/>
        </w:trPr>
        <w:tc>
          <w:tcPr>
            <w:tcW w:w="2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4"/>
              </w:rPr>
              <w:t>Total Debt Investments — Life Science</w:t>
            </w:r>
          </w:p>
        </w:tc>
        <w:tc>
          <w:tcPr>
            <w:tcW w:w="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35,540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35,455</w:t>
            </w:r>
          </w:p>
        </w:tc>
        <w:tc>
          <w:tcPr>
            <w:tcW w:w="80" w:type="dxa"/>
            <w:vAlign w:val="bottom"/>
            <w:tcBorders>
              <w:bottom w:val="single" w:sz="8" w:color="CCEEFF"/>
            </w:tcBorders>
          </w:tcPr>
          <w:p>
            <w:pPr>
              <w:spacing w:after="0"/>
              <w:rPr>
                <w:sz w:val="12"/>
                <w:szCs w:val="12"/>
                <w:color w:val="auto"/>
              </w:rPr>
            </w:pPr>
          </w:p>
        </w:tc>
      </w:tr>
      <w:tr>
        <w:trPr>
          <w:trHeight w:val="142"/>
        </w:trPr>
        <w:tc>
          <w:tcPr>
            <w:tcW w:w="42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Technology — 82.0% (8)</w:t>
            </w:r>
          </w:p>
        </w:tc>
        <w:tc>
          <w:tcPr>
            <w:tcW w:w="3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PebblePost,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Communications</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(10.48% cash (Libor + 9.26%;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3,865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3,865</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10.25%), 4.00% ETP, Due 7/1/21)</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(10.48% cash (Libor + 9.26%;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3,923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3,923</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10.25%), 4.00% ETP, Due 7/1/21)</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Gwynnie Bee,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w w:val="94"/>
              </w:rPr>
              <w:t>Consumer-related Technologies</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(11.56% cash (Libor + 10.50%;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263</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w w:val="95"/>
              </w:rPr>
              <w:t>11.00%; Ceiling 12.50%), 2.00% ETP, Due 11/1/17)</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(11.56% cash (Libor + 10.50%;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228</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11.00%; Ceiling 12.50%), 2.00% ETP, Due 2/1/18)</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(11.56% cash (Libor + 10.50%;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295</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w w:val="98"/>
              </w:rPr>
              <w:t>11.00%; Ceiling 12.50%), 2.00% ETP, Due 4/1/18)</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 Tote, Inc. (2)</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Consumer-related Technologies</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(10.73% cash (Libor + 9.65%;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3,951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3,951</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10.15%), 5.00% ETP, Due 3/1/20)</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(10.73% cash (Libor + 9.65%;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2,962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2,962</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10.15%), 5.00% ETP, Due 3/1/20)</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Rhapsody International, Inc. (2)</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Consumer-related Technologies</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(11.58% cash (Libor + 10.50%;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6,750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6,616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6,616</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11.00%), 3.00% ETP, Due 10/1/19)</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SavingStar,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w w:val="94"/>
              </w:rPr>
              <w:t>Consumer-related Technologies</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(11.48% cash (Libor + 10.40%;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2,367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2,334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2,334</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10.90%), 4.25% ETP, Due 6/1/20)</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(11.48% cash (Libor + 10.40%;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1,971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1,971</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10.90%), 3.80% ETP, Due 11/1/20)</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IgnitionOne,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Internet and Media</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(11.31% cash (Libor + 10.23%;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2,812</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10.23%), 2.00% ETP, Due 4/1/22)</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(11.31% cash (Libor + 10.23%;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2,812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2,812</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10.23%), 2.00% ETP, Due 4/1/22)</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(11.31% cash (Libor + 10.23%;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2,812</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10.23%), 2.00% ETP, Due 4/1/22)</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(11.31% cash (Libor + 10.23%;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2,812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2,812</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10.23%), 2.00% ETP, Due 4/1/22)</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Jump Ramp Games, Inc. (2)</w:t>
            </w:r>
          </w:p>
        </w:tc>
        <w:tc>
          <w:tcPr>
            <w:tcW w:w="60" w:type="dxa"/>
            <w:vAlign w:val="bottom"/>
          </w:tcPr>
          <w:p>
            <w:pPr>
              <w:spacing w:after="0"/>
              <w:rPr>
                <w:sz w:val="11"/>
                <w:szCs w:val="11"/>
                <w:color w:val="auto"/>
              </w:rPr>
            </w:pPr>
          </w:p>
        </w:tc>
        <w:tc>
          <w:tcPr>
            <w:tcW w:w="1900" w:type="dxa"/>
            <w:vAlign w:val="bottom"/>
            <w:gridSpan w:val="2"/>
          </w:tcPr>
          <w:p>
            <w:pPr>
              <w:spacing w:after="0" w:line="130" w:lineRule="exact"/>
              <w:rPr>
                <w:sz w:val="20"/>
                <w:szCs w:val="20"/>
                <w:color w:val="auto"/>
              </w:rPr>
            </w:pPr>
            <w:r>
              <w:rPr>
                <w:rFonts w:ascii="Arial" w:cs="Arial" w:eastAsia="Arial" w:hAnsi="Arial"/>
                <w:sz w:val="14"/>
                <w:szCs w:val="14"/>
                <w:color w:val="auto"/>
              </w:rPr>
              <w:t>Internet and Media</w:t>
            </w: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(10.81% cash (Libor + 9.73%),</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3,933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3,933</w:t>
            </w:r>
          </w:p>
        </w:tc>
      </w:tr>
      <w:tr>
        <w:trPr>
          <w:trHeight w:val="167"/>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3.00% ETP, Due 4/1/21)</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MediaBrix, Inc. (2)</w:t>
            </w:r>
          </w:p>
        </w:tc>
        <w:tc>
          <w:tcPr>
            <w:tcW w:w="6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Internet and Media</w:t>
            </w: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(12.08% cash (Libor + 11.00%; Floor</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3,971</w:t>
            </w:r>
          </w:p>
        </w:tc>
      </w:tr>
      <w:tr>
        <w:trPr>
          <w:trHeight w:val="149"/>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11.50%), 3.00% ETP, Due 1/1/20)</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Rocket Lawyer Incorporated (2)</w:t>
            </w:r>
          </w:p>
        </w:tc>
        <w:tc>
          <w:tcPr>
            <w:tcW w:w="6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(10.62% cash (Libor + 9.40%; Floor</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3,894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3,894</w:t>
            </w:r>
          </w:p>
        </w:tc>
      </w:tr>
      <w:tr>
        <w:trPr>
          <w:trHeight w:val="167"/>
        </w:trPr>
        <w:tc>
          <w:tcPr>
            <w:tcW w:w="2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3.00% ETP, Due 7/1/21)</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(10.62% cash (Libor + 9.40%; Floor</w:t>
            </w:r>
          </w:p>
        </w:tc>
        <w:tc>
          <w:tcPr>
            <w:tcW w:w="20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3,923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3,923</w:t>
            </w:r>
          </w:p>
        </w:tc>
      </w:tr>
      <w:tr>
        <w:trPr>
          <w:trHeight w:val="182"/>
        </w:trPr>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10.50%), 3.00% ETP, Due 7/1/21)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Principal</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Fair</w:t>
            </w:r>
          </w:p>
        </w:tc>
      </w:tr>
      <w:tr>
        <w:trPr>
          <w:trHeight w:val="171"/>
        </w:trPr>
        <w:tc>
          <w:tcPr>
            <w:tcW w:w="224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Sector</w:t>
            </w:r>
          </w:p>
        </w:tc>
        <w:tc>
          <w:tcPr>
            <w:tcW w:w="3200" w:type="dxa"/>
            <w:vAlign w:val="bottom"/>
            <w:gridSpan w:val="3"/>
          </w:tcPr>
          <w:p>
            <w:pPr>
              <w:ind w:left="80"/>
              <w:spacing w:after="0"/>
              <w:rPr>
                <w:sz w:val="20"/>
                <w:szCs w:val="20"/>
                <w:color w:val="auto"/>
              </w:rPr>
            </w:pPr>
            <w:r>
              <w:rPr>
                <w:rFonts w:ascii="Arial" w:cs="Arial" w:eastAsia="Arial" w:hAnsi="Arial"/>
                <w:sz w:val="14"/>
                <w:szCs w:val="14"/>
                <w:b w:val="1"/>
                <w:bCs w:val="1"/>
                <w:color w:val="auto"/>
              </w:rPr>
              <w:t>Type of Investment (3)(4)(7)(9)(10)</w:t>
            </w: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Investments (6)</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r>
      <w:tr>
        <w:trPr>
          <w:trHeight w:val="123"/>
        </w:trPr>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Zinio Holdings, LLC (2)</w:t>
            </w:r>
          </w:p>
        </w:tc>
        <w:tc>
          <w:tcPr>
            <w:tcW w:w="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Internet and Media</w:t>
            </w:r>
          </w:p>
        </w:tc>
        <w:tc>
          <w:tcPr>
            <w:tcW w:w="80" w:type="dxa"/>
            <w:vAlign w:val="bottom"/>
            <w:tcBorders>
              <w:top w:val="single" w:sz="8" w:color="CCEEFF"/>
            </w:tcBorders>
            <w:shd w:val="clear" w:color="auto" w:fill="CCEEFF"/>
          </w:tcPr>
          <w:p>
            <w:pPr>
              <w:spacing w:after="0"/>
              <w:rPr>
                <w:sz w:val="10"/>
                <w:szCs w:val="10"/>
                <w:color w:val="auto"/>
              </w:rPr>
            </w:pPr>
          </w:p>
        </w:tc>
        <w:tc>
          <w:tcPr>
            <w:tcW w:w="30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(12.33% cash (Libor + 11.25%; Floor</w:t>
            </w:r>
          </w:p>
        </w:tc>
        <w:tc>
          <w:tcPr>
            <w:tcW w:w="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4,000</w:t>
            </w:r>
          </w:p>
        </w:tc>
        <w:tc>
          <w:tcPr>
            <w:tcW w:w="18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3,972</w:t>
            </w:r>
          </w:p>
        </w:tc>
        <w:tc>
          <w:tcPr>
            <w:tcW w:w="1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3,972</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11.75%), 5.00% ETP, Due 2/1/20)</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The NanoSteel Company, Inc. (2)</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Materials</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(10.58% cash (Libor + 9.50%;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5,000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4,952</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4,952</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10.00%), 5.00% ETP, Due 7/1/19)</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(10.58% cash (Libor + 9.50%;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2,500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2,476</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2,476</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10.00%), 5.00% ETP, Due 7/1/19)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(10.58% cash (Libor + 9.50%;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2,500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2,470</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2,470</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10.00%), 5.00% ETP, Due 1/1/20)</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Powerhouse Dynamics, Inc. (2)</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Power Management</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(11.78% cash (Libor + 10.70%;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1,750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1,727</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1,727</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11.20%), 3.00% ETP, Due 3/1/19)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Luxtera, Inc.</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Semiconductors</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(11.00% cash (Prime + 6.75%),</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2,000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1,880</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1,880</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Due 3/28/20)</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Bridge2 Solutions, Inc. (2)</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(12.08% cash (Libor + 11.00%;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3,200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3,181</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3,181</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8"/>
              </w:rPr>
              <w:t>11.50%; Ceiling 14.50%), 2.00% ETP, Due 7/1/19)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12.08% cash (Libor + 11.00%;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997</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997</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w w:val="98"/>
              </w:rPr>
              <w:t>11.50%; Ceiling 14.50%), 2.00% ETP, Due 1/1/20)</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Decisyon, Inc.</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Term Loan (13.338% cash (Libor + 12.308%;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1,523</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1,521</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1,440</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12.50%), 6.50% ETP, Due 6/1/18)</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8"/>
              </w:rPr>
              <w:t>Term Loan (13.338% cash (Libor + 12.308%;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833</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756</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715</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12.50%), 6.50% ETP, Due 6/1/18)</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2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(12.02% PIK , Due 4/15/19) (15)</w:t>
            </w:r>
          </w:p>
        </w:tc>
        <w:tc>
          <w:tcPr>
            <w:tcW w:w="1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Term Loan (12.03% PIK , Due 4/15/19) (15)</w:t>
            </w:r>
          </w:p>
        </w:tc>
        <w:tc>
          <w:tcPr>
            <w:tcW w:w="1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100" w:type="dxa"/>
            <w:vAlign w:val="bottom"/>
          </w:tcPr>
          <w:p>
            <w:pPr>
              <w:spacing w:after="0"/>
              <w:rPr>
                <w:sz w:val="12"/>
                <w:szCs w:val="12"/>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Digital Signal Corporation (11)(13)</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(11.33% cash (Libor + 10.25%;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1,285</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1,252</w:t>
            </w:r>
          </w:p>
        </w:tc>
        <w:tc>
          <w:tcPr>
            <w:tcW w:w="12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1"/>
                <w:szCs w:val="11"/>
                <w:color w:val="auto"/>
              </w:rPr>
            </w:pP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10.43%), 5.00% ETP, Due 7/1/19)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(11.33% cash (Libor + 10.25%;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1,285</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1,252</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895</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10.43%), 5.00% ETP, Due 7/1/19)</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2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(10.00% cash, Due 6/30/17)</w:t>
            </w:r>
          </w:p>
        </w:tc>
        <w:tc>
          <w:tcPr>
            <w:tcW w:w="1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295</w:t>
            </w:r>
          </w:p>
        </w:tc>
        <w:tc>
          <w:tcPr>
            <w:tcW w:w="1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295</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2"/>
                <w:szCs w:val="12"/>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Education Elements, Inc. (2)</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1,184</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1,184</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10.50%), 4.00% ETP, Due 1/1/19)</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1,250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1,233</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1,233</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10.50%), 4.00% ETP, Due 8/1/19)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Netuitive, Inc.</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(13.33% cash (Libor + 12.25%;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252</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252</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12.50%), 3.33% ETP, Due 9/1/18)</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ScoreBig, Inc. (2)(11)(12)</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3,403</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3,332</w:t>
            </w:r>
          </w:p>
        </w:tc>
        <w:tc>
          <w:tcPr>
            <w:tcW w:w="12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1"/>
                <w:szCs w:val="11"/>
                <w:color w:val="auto"/>
              </w:rPr>
            </w:pP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10.50%), 4.00% ETP, Due 4/1/19)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3,403</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3,360</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953</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10.50%), 4.00% ETP, Due 4/1/19)</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2,000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1,950</w:t>
            </w:r>
          </w:p>
        </w:tc>
        <w:tc>
          <w:tcPr>
            <w:tcW w:w="12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1"/>
                <w:szCs w:val="11"/>
                <w:color w:val="auto"/>
              </w:rPr>
            </w:pP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10.50%), 4.00% ETP, Due 3/1/20)</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203</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203</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10.50%), 4.00% ETP, Due 10/31/16)</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(11.08% cash (Libor + 10.00%;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324</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324</w:t>
            </w:r>
          </w:p>
        </w:tc>
        <w:tc>
          <w:tcPr>
            <w:tcW w:w="12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1"/>
                <w:szCs w:val="11"/>
                <w:color w:val="auto"/>
              </w:rPr>
            </w:pP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10.50%), 4.00% ETP, Due 11/11/19)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ShopKeep.com, Inc. (2)</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(11.03% cash (Libor + 9.95%;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6,000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5,907</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5,907</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10.45%), 3.00% ETP, Due 4/1/20)</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(11.03% cash (Libor + 9.95%;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4,000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3,928</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10.45%), 3.00% ETP, Due 9/1/20)</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SIGNiX, Inc.</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(12.08% cash (Libor + 11.00%;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2,200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2,077</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2,033</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11.50%), 3.5% ETP, Due 4/1/19)</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(11.43% cash (Libor + 10.35%;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7,000</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6,899</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6,899</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6"/>
              </w:rPr>
              <w:t>10.85%; Ceiling 12.85%), 4.00% ETP, Due 12/1/19)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Skyword, Inc.</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(12.03% cash (Libor + 10.95%;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3,600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3,555</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3,555</w:t>
            </w: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rPr>
              <w:t>11.45%), 3.00% ETP, Due 8/1/19)</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Sys-Tech Solutions, Inc. (2)</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(12.23% cash (Libor + 11.15%;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1,833</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1,821</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1,821</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8"/>
              </w:rPr>
              <w:t>11.65%; Ceiling 12.65%), 9.00% ETP, Due 5/1/18)</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VBrick Systems, Inc. (2)</w:t>
            </w:r>
          </w:p>
        </w:tc>
        <w:tc>
          <w:tcPr>
            <w:tcW w:w="16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(12.08% cash (Libor + 11.00%;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w:t>
            </w:r>
          </w:p>
        </w:tc>
        <w:tc>
          <w:tcPr>
            <w:tcW w:w="1200" w:type="dxa"/>
            <w:vAlign w:val="bottom"/>
          </w:tcPr>
          <w:p>
            <w:pPr>
              <w:jc w:val="right"/>
              <w:spacing w:after="0" w:line="130"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r>
      <w:tr>
        <w:trPr>
          <w:trHeight w:val="167"/>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0" w:type="dxa"/>
            <w:vAlign w:val="bottom"/>
            <w:gridSpan w:val="3"/>
          </w:tcPr>
          <w:p>
            <w:pPr>
              <w:ind w:left="80"/>
              <w:spacing w:after="0"/>
              <w:rPr>
                <w:sz w:val="20"/>
                <w:szCs w:val="20"/>
                <w:color w:val="auto"/>
              </w:rPr>
            </w:pPr>
            <w:r>
              <w:rPr>
                <w:rFonts w:ascii="Arial" w:cs="Arial" w:eastAsia="Arial" w:hAnsi="Arial"/>
                <w:sz w:val="14"/>
                <w:szCs w:val="14"/>
                <w:color w:val="auto"/>
                <w:w w:val="98"/>
              </w:rPr>
              <w:t>11.50%; Ceiling 13.50%), 5.00% ETP, Due 7/1/17)</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xTech Holdings, Inc. (2)</w:t>
            </w:r>
          </w:p>
        </w:tc>
        <w:tc>
          <w:tcPr>
            <w:tcW w:w="16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w:t>
            </w:r>
          </w:p>
        </w:tc>
        <w:tc>
          <w:tcPr>
            <w:tcW w:w="3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(11.58% cash (Libor + 10.50%; Floor</w:t>
            </w:r>
          </w:p>
        </w:tc>
        <w:tc>
          <w:tcPr>
            <w:tcW w:w="14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1,167</w:t>
            </w:r>
          </w:p>
        </w:tc>
        <w:tc>
          <w:tcPr>
            <w:tcW w:w="16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13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1,150</w:t>
            </w:r>
          </w:p>
        </w:tc>
      </w:tr>
      <w:tr>
        <w:trPr>
          <w:trHeight w:val="167"/>
        </w:trPr>
        <w:tc>
          <w:tcPr>
            <w:tcW w:w="2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11.00%), 3.00% ETP, Due 4/1/19)</w:t>
            </w: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Term Loan (11.58% cash (Libor + 10.50%; Floor</w:t>
            </w:r>
          </w:p>
        </w:tc>
        <w:tc>
          <w:tcPr>
            <w:tcW w:w="144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1,778</w:t>
            </w:r>
          </w:p>
        </w:tc>
        <w:tc>
          <w:tcPr>
            <w:tcW w:w="16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1,753</w:t>
            </w:r>
          </w:p>
        </w:tc>
        <w:tc>
          <w:tcPr>
            <w:tcW w:w="13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1,753</w:t>
            </w:r>
          </w:p>
        </w:tc>
      </w:tr>
      <w:tr>
        <w:trPr>
          <w:trHeight w:val="181"/>
        </w:trPr>
        <w:tc>
          <w:tcPr>
            <w:tcW w:w="22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11.00%), 3.00% ETP, Due 3/1/20)</w:t>
            </w:r>
          </w:p>
        </w:tc>
        <w:tc>
          <w:tcPr>
            <w:tcW w:w="1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3"/>
              </w:rPr>
              <w:t>Total Debt Investments — Technology</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119,636</w:t>
            </w:r>
          </w:p>
        </w:tc>
        <w:tc>
          <w:tcPr>
            <w:tcW w:w="1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112,076</w:t>
            </w:r>
          </w:p>
        </w:tc>
        <w:tc>
          <w:tcPr>
            <w:tcW w:w="10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 of</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w:t>
            </w:r>
          </w:p>
        </w:tc>
        <w:tc>
          <w:tcPr>
            <w:tcW w:w="2120" w:type="dxa"/>
            <w:vAlign w:val="bottom"/>
          </w:tcPr>
          <w:p>
            <w:pPr>
              <w:ind w:left="60"/>
              <w:spacing w:after="0"/>
              <w:rPr>
                <w:sz w:val="20"/>
                <w:szCs w:val="20"/>
                <w:color w:val="auto"/>
              </w:rPr>
            </w:pPr>
            <w:r>
              <w:rPr>
                <w:rFonts w:ascii="Arial" w:cs="Arial" w:eastAsia="Arial" w:hAnsi="Arial"/>
                <w:sz w:val="14"/>
                <w:szCs w:val="14"/>
                <w:b w:val="1"/>
                <w:bCs w:val="1"/>
                <w:color w:val="auto"/>
              </w:rPr>
              <w:t>Sector</w:t>
            </w:r>
          </w:p>
        </w:tc>
        <w:tc>
          <w:tcPr>
            <w:tcW w:w="3420" w:type="dxa"/>
            <w:vAlign w:val="bottom"/>
            <w:gridSpan w:val="3"/>
          </w:tcPr>
          <w:p>
            <w:pPr>
              <w:ind w:left="60"/>
              <w:spacing w:after="0"/>
              <w:rPr>
                <w:sz w:val="20"/>
                <w:szCs w:val="20"/>
                <w:color w:val="auto"/>
              </w:rPr>
            </w:pPr>
            <w:r>
              <w:rPr>
                <w:rFonts w:ascii="Arial" w:cs="Arial" w:eastAsia="Arial" w:hAnsi="Arial"/>
                <w:sz w:val="14"/>
                <w:szCs w:val="14"/>
                <w:b w:val="1"/>
                <w:bCs w:val="1"/>
                <w:color w:val="auto"/>
              </w:rPr>
              <w:t>Type of Investment (3)(4)(7)(9)(10)</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Investments (6)</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Cleantech — 4.4% (8)</w:t>
            </w:r>
          </w:p>
        </w:tc>
        <w:tc>
          <w:tcPr>
            <w:tcW w:w="60" w:type="dxa"/>
            <w:vAlign w:val="bottom"/>
            <w:tcBorders>
              <w:top w:val="single" w:sz="8" w:color="CCEEFF"/>
            </w:tcBorders>
            <w:shd w:val="clear" w:color="auto" w:fill="CCEEFF"/>
          </w:tcPr>
          <w:p>
            <w:pPr>
              <w:spacing w:after="0"/>
              <w:rPr>
                <w:sz w:val="12"/>
                <w:szCs w:val="12"/>
                <w:color w:val="auto"/>
              </w:rPr>
            </w:pPr>
          </w:p>
        </w:tc>
        <w:tc>
          <w:tcPr>
            <w:tcW w:w="3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gridSpan w:val="2"/>
          </w:tcPr>
          <w:p>
            <w:pPr>
              <w:spacing w:after="0" w:line="130" w:lineRule="exact"/>
              <w:rPr>
                <w:sz w:val="20"/>
                <w:szCs w:val="20"/>
                <w:color w:val="auto"/>
              </w:rPr>
            </w:pPr>
            <w:r>
              <w:rPr>
                <w:rFonts w:ascii="Arial" w:cs="Arial" w:eastAsia="Arial" w:hAnsi="Arial"/>
                <w:sz w:val="14"/>
                <w:szCs w:val="14"/>
                <w:color w:val="auto"/>
              </w:rPr>
              <w:t>Lehigh Technologies, Inc. (2)</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Waste Recycling</w:t>
            </w:r>
          </w:p>
        </w:tc>
        <w:tc>
          <w:tcPr>
            <w:tcW w:w="3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8"/>
              </w:rPr>
              <w:t>Term Loan (10.80% cash (Libor + 9.72%), 1.67% ETP,</w:t>
            </w:r>
          </w:p>
        </w:tc>
        <w:tc>
          <w:tcPr>
            <w:tcW w:w="11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3,000</w:t>
            </w:r>
          </w:p>
        </w:tc>
        <w:tc>
          <w:tcPr>
            <w:tcW w:w="13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2,992</w:t>
            </w:r>
          </w:p>
        </w:tc>
        <w:tc>
          <w:tcPr>
            <w:tcW w:w="100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20" w:type="dxa"/>
            <w:vAlign w:val="bottom"/>
            <w:gridSpan w:val="3"/>
          </w:tcPr>
          <w:p>
            <w:pPr>
              <w:ind w:left="60"/>
              <w:spacing w:after="0"/>
              <w:rPr>
                <w:sz w:val="20"/>
                <w:szCs w:val="20"/>
                <w:color w:val="auto"/>
              </w:rPr>
            </w:pPr>
            <w:r>
              <w:rPr>
                <w:rFonts w:ascii="Arial" w:cs="Arial" w:eastAsia="Arial" w:hAnsi="Arial"/>
                <w:sz w:val="14"/>
                <w:szCs w:val="14"/>
                <w:color w:val="auto"/>
              </w:rPr>
              <w:t>Due 8/1/19)</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Term Loan (10.80% cash (Libor + 9.72%), 1.67% ETP,</w:t>
            </w:r>
          </w:p>
        </w:tc>
        <w:tc>
          <w:tcPr>
            <w:tcW w:w="11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3,000</w:t>
            </w:r>
          </w:p>
        </w:tc>
        <w:tc>
          <w:tcPr>
            <w:tcW w:w="13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2,992</w:t>
            </w:r>
          </w:p>
        </w:tc>
        <w:tc>
          <w:tcPr>
            <w:tcW w:w="10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Due 8/1/19)</w:t>
            </w: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8"/>
              </w:rPr>
              <w:t>Total Debt Investments — Cleantech</w:t>
            </w:r>
          </w:p>
        </w:tc>
        <w:tc>
          <w:tcPr>
            <w:tcW w:w="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5,984</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5,984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Debt Investments — Healthcare information and services — 8.3% (8)</w:t>
            </w:r>
          </w:p>
        </w:tc>
        <w:tc>
          <w:tcPr>
            <w:tcW w:w="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gridSpan w:val="2"/>
          </w:tcPr>
          <w:p>
            <w:pPr>
              <w:spacing w:after="0" w:line="130" w:lineRule="exact"/>
              <w:rPr>
                <w:sz w:val="20"/>
                <w:szCs w:val="20"/>
                <w:color w:val="auto"/>
              </w:rPr>
            </w:pPr>
            <w:r>
              <w:rPr>
                <w:rFonts w:ascii="Arial" w:cs="Arial" w:eastAsia="Arial" w:hAnsi="Arial"/>
                <w:sz w:val="14"/>
                <w:szCs w:val="14"/>
                <w:color w:val="auto"/>
              </w:rPr>
              <w:t>Interleukin Genetics, Inc. (2)(5)(11)</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Diagnostics</w:t>
            </w:r>
          </w:p>
        </w:tc>
        <w:tc>
          <w:tcPr>
            <w:tcW w:w="34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Term Loan (11.58% cash (Libor + 10.50%;</w:t>
            </w:r>
          </w:p>
        </w:tc>
        <w:tc>
          <w:tcPr>
            <w:tcW w:w="11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3,649</w:t>
            </w:r>
          </w:p>
        </w:tc>
        <w:tc>
          <w:tcPr>
            <w:tcW w:w="13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3,539</w:t>
            </w:r>
          </w:p>
        </w:tc>
        <w:tc>
          <w:tcPr>
            <w:tcW w:w="100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2,629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20" w:type="dxa"/>
            <w:vAlign w:val="bottom"/>
            <w:gridSpan w:val="3"/>
          </w:tcPr>
          <w:p>
            <w:pPr>
              <w:ind w:left="60"/>
              <w:spacing w:after="0"/>
              <w:rPr>
                <w:sz w:val="20"/>
                <w:szCs w:val="20"/>
                <w:color w:val="auto"/>
              </w:rPr>
            </w:pPr>
            <w:r>
              <w:rPr>
                <w:rFonts w:ascii="Arial" w:cs="Arial" w:eastAsia="Arial" w:hAnsi="Arial"/>
                <w:sz w:val="14"/>
                <w:szCs w:val="14"/>
                <w:color w:val="auto"/>
              </w:rPr>
              <w:t>Floor 11.00%), 6.50% ETP, Due 10/1/18)</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(8.00% PIK , Due 1/1/22) (15)</w:t>
            </w: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40" w:type="dxa"/>
            <w:vAlign w:val="bottom"/>
            <w:gridSpan w:val="2"/>
          </w:tcPr>
          <w:p>
            <w:pPr>
              <w:spacing w:after="0" w:line="130" w:lineRule="exact"/>
              <w:rPr>
                <w:sz w:val="20"/>
                <w:szCs w:val="20"/>
                <w:color w:val="auto"/>
              </w:rPr>
            </w:pPr>
            <w:r>
              <w:rPr>
                <w:rFonts w:ascii="Arial" w:cs="Arial" w:eastAsia="Arial" w:hAnsi="Arial"/>
                <w:sz w:val="14"/>
                <w:szCs w:val="14"/>
                <w:color w:val="auto"/>
              </w:rPr>
              <w:t>Watermark Medical, Inc. (2)</w:t>
            </w:r>
          </w:p>
        </w:tc>
        <w:tc>
          <w:tcPr>
            <w:tcW w:w="2120" w:type="dxa"/>
            <w:vAlign w:val="bottom"/>
          </w:tcPr>
          <w:p>
            <w:pPr>
              <w:ind w:left="60"/>
              <w:spacing w:after="0" w:line="130" w:lineRule="exact"/>
              <w:rPr>
                <w:sz w:val="20"/>
                <w:szCs w:val="20"/>
                <w:color w:val="auto"/>
              </w:rPr>
            </w:pPr>
            <w:r>
              <w:rPr>
                <w:rFonts w:ascii="Arial" w:cs="Arial" w:eastAsia="Arial" w:hAnsi="Arial"/>
                <w:sz w:val="14"/>
                <w:szCs w:val="14"/>
                <w:color w:val="auto"/>
              </w:rPr>
              <w:t>Other Healthcare</w:t>
            </w:r>
          </w:p>
        </w:tc>
        <w:tc>
          <w:tcPr>
            <w:tcW w:w="3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Term Loan (10.58% cash (Libor + 9.50%; Floor 10.00%;</w:t>
            </w:r>
          </w:p>
        </w:tc>
        <w:tc>
          <w:tcPr>
            <w:tcW w:w="11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1,458</w:t>
            </w:r>
          </w:p>
        </w:tc>
        <w:tc>
          <w:tcPr>
            <w:tcW w:w="13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1,456</w:t>
            </w:r>
          </w:p>
        </w:tc>
        <w:tc>
          <w:tcPr>
            <w:tcW w:w="100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20" w:type="dxa"/>
            <w:vAlign w:val="bottom"/>
            <w:gridSpan w:val="3"/>
          </w:tcPr>
          <w:p>
            <w:pPr>
              <w:ind w:left="60"/>
              <w:spacing w:after="0"/>
              <w:rPr>
                <w:sz w:val="20"/>
                <w:szCs w:val="20"/>
                <w:color w:val="auto"/>
              </w:rPr>
            </w:pPr>
            <w:r>
              <w:rPr>
                <w:rFonts w:ascii="Arial" w:cs="Arial" w:eastAsia="Arial" w:hAnsi="Arial"/>
                <w:sz w:val="14"/>
                <w:szCs w:val="14"/>
                <w:color w:val="auto"/>
              </w:rPr>
              <w:t>Ceiling 11.00%); 4.00% ETP, Due 4/1/18)</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Term Loan (10.58% cash (Libor + 9.50%; Floor 10.00%;</w:t>
            </w:r>
          </w:p>
        </w:tc>
        <w:tc>
          <w:tcPr>
            <w:tcW w:w="11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1,458</w:t>
            </w:r>
          </w:p>
        </w:tc>
        <w:tc>
          <w:tcPr>
            <w:tcW w:w="13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1,456</w:t>
            </w:r>
          </w:p>
        </w:tc>
        <w:tc>
          <w:tcPr>
            <w:tcW w:w="10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3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Ceiling 11.00%); 4.00% ETP, Due 4/1/18)</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42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6"/>
              </w:rPr>
              <w:t>Term Loan (10.58% cash (Libor + 9.50%; Floor 10.00%;</w:t>
            </w:r>
          </w:p>
        </w:tc>
        <w:tc>
          <w:tcPr>
            <w:tcW w:w="11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694</w:t>
            </w:r>
          </w:p>
        </w:tc>
        <w:tc>
          <w:tcPr>
            <w:tcW w:w="13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694</w:t>
            </w:r>
          </w:p>
        </w:tc>
        <w:tc>
          <w:tcPr>
            <w:tcW w:w="940" w:type="dxa"/>
            <w:vAlign w:val="bottom"/>
          </w:tcPr>
          <w:p>
            <w:pPr>
              <w:jc w:val="right"/>
              <w:spacing w:after="0" w:line="130" w:lineRule="exact"/>
              <w:rPr>
                <w:sz w:val="20"/>
                <w:szCs w:val="20"/>
                <w:color w:val="auto"/>
              </w:rPr>
            </w:pPr>
            <w:r>
              <w:rPr>
                <w:rFonts w:ascii="Arial" w:cs="Arial" w:eastAsia="Arial" w:hAnsi="Arial"/>
                <w:sz w:val="14"/>
                <w:szCs w:val="14"/>
                <w:color w:val="auto"/>
              </w:rPr>
              <w:t>694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20" w:type="dxa"/>
            <w:vAlign w:val="bottom"/>
            <w:gridSpan w:val="3"/>
          </w:tcPr>
          <w:p>
            <w:pPr>
              <w:ind w:left="60"/>
              <w:spacing w:after="0"/>
              <w:rPr>
                <w:sz w:val="20"/>
                <w:szCs w:val="20"/>
                <w:color w:val="auto"/>
              </w:rPr>
            </w:pPr>
            <w:r>
              <w:rPr>
                <w:rFonts w:ascii="Arial" w:cs="Arial" w:eastAsia="Arial" w:hAnsi="Arial"/>
                <w:sz w:val="14"/>
                <w:szCs w:val="14"/>
                <w:color w:val="auto"/>
              </w:rPr>
              <w:t>Ceiling 11.00%); 4.00% ETP, Due 4/1/18)</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(2)</w:t>
            </w:r>
          </w:p>
        </w:tc>
        <w:tc>
          <w:tcPr>
            <w:tcW w:w="6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Software</w:t>
            </w:r>
          </w:p>
        </w:tc>
        <w:tc>
          <w:tcPr>
            <w:tcW w:w="34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(9.47% cash (Libor + 8.25%;</w:t>
            </w:r>
          </w:p>
        </w:tc>
        <w:tc>
          <w:tcPr>
            <w:tcW w:w="11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5,000</w:t>
            </w:r>
          </w:p>
        </w:tc>
        <w:tc>
          <w:tcPr>
            <w:tcW w:w="13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4,774</w:t>
            </w:r>
          </w:p>
        </w:tc>
        <w:tc>
          <w:tcPr>
            <w:tcW w:w="10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4,774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Floor 9.25%), 3.00% ETP, Due 7/1/22)</w:t>
            </w: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6"/>
              </w:rPr>
              <w:t>Total Debt Investments — Healthcare</w:t>
            </w:r>
          </w:p>
        </w:tc>
        <w:tc>
          <w:tcPr>
            <w:tcW w:w="21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information and services</w:t>
            </w:r>
          </w:p>
        </w:tc>
        <w:tc>
          <w:tcPr>
            <w:tcW w:w="6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12,419</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11,380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2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173,579</w:t>
            </w:r>
          </w:p>
        </w:tc>
        <w:tc>
          <w:tcPr>
            <w:tcW w:w="1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164,895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 Investments — 5.4% (8)</w:t>
            </w:r>
          </w:p>
        </w:tc>
        <w:tc>
          <w:tcPr>
            <w:tcW w:w="2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Warrants — Life Science — 1.1% (8)</w:t>
            </w: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1,521,820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Argos Therapeutics, Inc. (2)(5)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73,112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408 Common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w w:val="95"/>
              </w:rPr>
              <w:t>Inotek Pharmaceuticals Corporation (5)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28,204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Nivalis Therapeutics, Inc. (5)</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18,534 Common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Ocera Therapeutics, Inc. (2)(5)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6,491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608,058 Common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 (5)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34,113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Sample6,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661,956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Strongbridge U.S. Inc. (5)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160,714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2,050 Common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vTv Therapeutics Inc. (2)(5)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93,896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AccuVein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75,769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EnteroMedics, Inc. (5)</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134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347</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IntegenX,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170,646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Lantos Technologies,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66,665,256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Mederi Therapeutics,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248,736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Mitralign,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641,909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566,038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OraMetrix,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812,348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Tryton Medical,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122,362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ViOptix, Inc.</w:t>
            </w:r>
          </w:p>
        </w:tc>
        <w:tc>
          <w:tcPr>
            <w:tcW w:w="2120" w:type="dxa"/>
            <w:vAlign w:val="bottom"/>
          </w:tcPr>
          <w:p>
            <w:pPr>
              <w:ind w:left="60"/>
              <w:spacing w:after="0"/>
              <w:rPr>
                <w:sz w:val="20"/>
                <w:szCs w:val="20"/>
                <w:color w:val="auto"/>
              </w:rPr>
            </w:pPr>
            <w:r>
              <w:rPr>
                <w:rFonts w:ascii="Arial" w:cs="Arial" w:eastAsia="Arial" w:hAnsi="Arial"/>
                <w:sz w:val="14"/>
                <w:szCs w:val="14"/>
                <w:color w:val="auto"/>
              </w:rPr>
              <w:t>Medical Device</w:t>
            </w:r>
          </w:p>
        </w:tc>
        <w:tc>
          <w:tcPr>
            <w:tcW w:w="3420" w:type="dxa"/>
            <w:vAlign w:val="bottom"/>
            <w:gridSpan w:val="3"/>
          </w:tcPr>
          <w:p>
            <w:pPr>
              <w:ind w:left="60"/>
              <w:spacing w:after="0"/>
              <w:rPr>
                <w:sz w:val="20"/>
                <w:szCs w:val="20"/>
                <w:color w:val="auto"/>
              </w:rPr>
            </w:pPr>
            <w:r>
              <w:rPr>
                <w:rFonts w:ascii="Arial" w:cs="Arial" w:eastAsia="Arial" w:hAnsi="Arial"/>
                <w:sz w:val="14"/>
                <w:szCs w:val="14"/>
                <w:color w:val="auto"/>
              </w:rPr>
              <w:t>375,763 Preferred Stock Warrants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Warrants — Life Science</w:t>
            </w:r>
          </w:p>
        </w:tc>
        <w:tc>
          <w:tcPr>
            <w:tcW w:w="2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1,230</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Warrants — Technology — 3.8% (8)</w:t>
            </w: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Ekahau,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Communications</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978,261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PebblePost,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Communications</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119,770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Additech,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Consumer-related Technologies</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150,000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Gwynnie Bee,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Consumer-related Technologies</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268,591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 Tote,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Consumer-related Technologies</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202,974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Rhapsody International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Consumer-related Technologies</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852,273 Common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SavingStar,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Consumer-related Technologies</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98,860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XIOtech, Inc.</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Data Storage</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96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IgnitionOne,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Internet and Media</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262,910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Jump Ramp Games,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Internet and Media</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159,766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Internet and Media</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235,549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The NanoSteel Company,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Materials</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299,211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IntelePeer, Inc.</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Networking</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141,549 Common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Nanocomp Technologies, Inc. (2)</w:t>
            </w: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Networking</w:t>
            </w:r>
          </w:p>
        </w:tc>
        <w:tc>
          <w:tcPr>
            <w:tcW w:w="34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1,414,921 Preferred Stock Warrants</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Powerhouse Dynamics, Inc. (2)</w:t>
            </w: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Power Management</w:t>
            </w:r>
          </w:p>
        </w:tc>
        <w:tc>
          <w:tcPr>
            <w:tcW w:w="34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290,698 Preferred Stock Warrants</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Avalanche Technology, Inc. (2)</w:t>
            </w:r>
          </w:p>
        </w:tc>
        <w:tc>
          <w:tcPr>
            <w:tcW w:w="2120" w:type="dxa"/>
            <w:vAlign w:val="bottom"/>
          </w:tcPr>
          <w:p>
            <w:pPr>
              <w:ind w:left="60"/>
              <w:spacing w:after="0"/>
              <w:rPr>
                <w:sz w:val="20"/>
                <w:szCs w:val="20"/>
                <w:color w:val="auto"/>
              </w:rPr>
            </w:pPr>
            <w:r>
              <w:rPr>
                <w:rFonts w:ascii="Arial" w:cs="Arial" w:eastAsia="Arial" w:hAnsi="Arial"/>
                <w:sz w:val="14"/>
                <w:szCs w:val="14"/>
                <w:color w:val="auto"/>
              </w:rPr>
              <w:t>Semiconductors</w:t>
            </w:r>
          </w:p>
        </w:tc>
        <w:tc>
          <w:tcPr>
            <w:tcW w:w="3420" w:type="dxa"/>
            <w:vAlign w:val="bottom"/>
            <w:gridSpan w:val="3"/>
          </w:tcPr>
          <w:p>
            <w:pPr>
              <w:ind w:left="60"/>
              <w:spacing w:after="0"/>
              <w:rPr>
                <w:sz w:val="20"/>
                <w:szCs w:val="20"/>
                <w:color w:val="auto"/>
              </w:rPr>
            </w:pPr>
            <w:r>
              <w:rPr>
                <w:rFonts w:ascii="Arial" w:cs="Arial" w:eastAsia="Arial" w:hAnsi="Arial"/>
                <w:sz w:val="14"/>
                <w:szCs w:val="14"/>
                <w:color w:val="auto"/>
              </w:rPr>
              <w:t>202,602 Preferred Stock Warrants</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101</w:t>
            </w: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Cost of</w:t>
            </w:r>
          </w:p>
        </w:tc>
        <w:tc>
          <w:tcPr>
            <w:tcW w:w="30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w:t>
            </w: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Sector</w:t>
            </w:r>
          </w:p>
        </w:tc>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 (3)(4)(7)(9)(10)</w:t>
            </w:r>
          </w:p>
        </w:tc>
        <w:tc>
          <w:tcPr>
            <w:tcW w:w="20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Investments (6)</w:t>
            </w:r>
          </w:p>
        </w:tc>
        <w:tc>
          <w:tcPr>
            <w:tcW w:w="30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eASIC Corporation (2)</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Semiconductors</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3"/>
              </w:rPr>
              <w:t>40,445</w:t>
            </w:r>
          </w:p>
        </w:tc>
        <w:tc>
          <w:tcPr>
            <w:tcW w:w="17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Stock Warrants</w:t>
            </w:r>
          </w:p>
        </w:tc>
        <w:tc>
          <w:tcPr>
            <w:tcW w:w="17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InVisage Technologies, Inc.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395,009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Kaminario, Inc.</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1,087,203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Luxtera, Inc.(2)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3,212,948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Soraa,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Semiconductors</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203,616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Bolt Solutions Inc.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202,892 Preferred Stock Warrants</w:t>
            </w:r>
          </w:p>
        </w:tc>
        <w:tc>
          <w:tcPr>
            <w:tcW w:w="200" w:type="dxa"/>
            <w:vAlign w:val="bottom"/>
          </w:tcPr>
          <w:p>
            <w:pPr>
              <w:spacing w:after="0"/>
              <w:rPr>
                <w:sz w:val="12"/>
                <w:szCs w:val="12"/>
                <w:color w:val="auto"/>
              </w:rPr>
            </w:pPr>
          </w:p>
        </w:tc>
        <w:tc>
          <w:tcPr>
            <w:tcW w:w="1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75,458</w:t>
            </w:r>
          </w:p>
        </w:tc>
        <w:tc>
          <w:tcPr>
            <w:tcW w:w="3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420" w:type="dxa"/>
            <w:vAlign w:val="bottom"/>
          </w:tcPr>
          <w:p>
            <w:pPr>
              <w:spacing w:after="0" w:line="149" w:lineRule="exact"/>
              <w:rPr>
                <w:sz w:val="20"/>
                <w:szCs w:val="20"/>
                <w:color w:val="auto"/>
              </w:rPr>
            </w:pPr>
            <w:r>
              <w:rPr>
                <w:rFonts w:ascii="Arial" w:cs="Arial" w:eastAsia="Arial" w:hAnsi="Arial"/>
                <w:sz w:val="14"/>
                <w:szCs w:val="14"/>
                <w:color w:val="auto"/>
                <w:w w:val="93"/>
              </w:rPr>
              <w:t>53,486</w:t>
            </w:r>
          </w:p>
        </w:tc>
        <w:tc>
          <w:tcPr>
            <w:tcW w:w="3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Decisyon, Inc.</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82,967</w:t>
            </w:r>
          </w:p>
        </w:tc>
        <w:tc>
          <w:tcPr>
            <w:tcW w:w="3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Digital Signal Corporation</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125,116 Common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Elements,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238,121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Lotame Solutions, Inc.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288,115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Netuitive, Inc.</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41,569</w:t>
            </w:r>
          </w:p>
        </w:tc>
        <w:tc>
          <w:tcPr>
            <w:tcW w:w="3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Riv Data Corp.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321,428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ShopKeep.com,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165,779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SIGNiX, Inc.</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114,767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Skyword, Inc.</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301,056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SpringCM, Inc.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2,385,686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375,000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Visage Mobile, Inc.</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1,692,047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xTech Holdings, Inc. (2)</w:t>
            </w:r>
          </w:p>
        </w:tc>
        <w:tc>
          <w:tcPr>
            <w:tcW w:w="1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3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158,730 Preferred Stock Warrants</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Warrants — Technology</w:t>
            </w:r>
          </w:p>
        </w:tc>
        <w:tc>
          <w:tcPr>
            <w:tcW w:w="6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3,070</w:t>
            </w:r>
          </w:p>
        </w:tc>
        <w:tc>
          <w:tcPr>
            <w:tcW w:w="2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5,089</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Warrants — Cleantech — 0.1% (8)</w:t>
            </w:r>
          </w:p>
        </w:tc>
        <w:tc>
          <w:tcPr>
            <w:tcW w:w="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Renmatix, Inc.</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Alternative Energy</w:t>
            </w:r>
          </w:p>
        </w:tc>
        <w:tc>
          <w:tcPr>
            <w:tcW w:w="420" w:type="dxa"/>
            <w:vAlign w:val="bottom"/>
          </w:tcPr>
          <w:p>
            <w:pPr>
              <w:spacing w:after="0" w:line="149" w:lineRule="exact"/>
              <w:rPr>
                <w:sz w:val="20"/>
                <w:szCs w:val="20"/>
                <w:color w:val="auto"/>
              </w:rPr>
            </w:pPr>
            <w:r>
              <w:rPr>
                <w:rFonts w:ascii="Arial" w:cs="Arial" w:eastAsia="Arial" w:hAnsi="Arial"/>
                <w:sz w:val="14"/>
                <w:szCs w:val="14"/>
                <w:color w:val="auto"/>
                <w:w w:val="93"/>
              </w:rPr>
              <w:t>53,022</w:t>
            </w:r>
          </w:p>
        </w:tc>
        <w:tc>
          <w:tcPr>
            <w:tcW w:w="3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Rypos,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Energy Efficiency</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5,627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Tigo Energy, Inc. (2)</w:t>
            </w:r>
          </w:p>
        </w:tc>
        <w:tc>
          <w:tcPr>
            <w:tcW w:w="1920" w:type="dxa"/>
            <w:vAlign w:val="bottom"/>
            <w:gridSpan w:val="3"/>
          </w:tcPr>
          <w:p>
            <w:pPr>
              <w:ind w:left="40"/>
              <w:spacing w:after="0"/>
              <w:rPr>
                <w:sz w:val="20"/>
                <w:szCs w:val="20"/>
                <w:color w:val="auto"/>
              </w:rPr>
            </w:pPr>
            <w:r>
              <w:rPr>
                <w:rFonts w:ascii="Arial" w:cs="Arial" w:eastAsia="Arial" w:hAnsi="Arial"/>
                <w:sz w:val="14"/>
                <w:szCs w:val="14"/>
                <w:color w:val="auto"/>
              </w:rPr>
              <w:t>Energy Efficiency</w:t>
            </w:r>
          </w:p>
        </w:tc>
        <w:tc>
          <w:tcPr>
            <w:tcW w:w="3920" w:type="dxa"/>
            <w:vAlign w:val="bottom"/>
            <w:gridSpan w:val="3"/>
          </w:tcPr>
          <w:p>
            <w:pPr>
              <w:spacing w:after="0"/>
              <w:rPr>
                <w:sz w:val="20"/>
                <w:szCs w:val="20"/>
                <w:color w:val="auto"/>
              </w:rPr>
            </w:pPr>
            <w:r>
              <w:rPr>
                <w:rFonts w:ascii="Arial" w:cs="Arial" w:eastAsia="Arial" w:hAnsi="Arial"/>
                <w:sz w:val="14"/>
                <w:szCs w:val="14"/>
                <w:color w:val="auto"/>
              </w:rPr>
              <w:t>804,604 Preferred Stock Warrants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Warrants — Cleantech</w:t>
            </w:r>
          </w:p>
        </w:tc>
        <w:tc>
          <w:tcPr>
            <w:tcW w:w="6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 — Healthcare information and services — 0.4% (8)</w:t>
            </w:r>
          </w:p>
        </w:tc>
        <w:tc>
          <w:tcPr>
            <w:tcW w:w="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Candescent Health,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Diagnostics</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519,991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Interleukin Genetics, Inc. (2)(5)</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Diagnostics</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7,973,864 Common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Diagnostics</w:t>
            </w:r>
          </w:p>
        </w:tc>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49,000</w:t>
            </w:r>
          </w:p>
        </w:tc>
        <w:tc>
          <w:tcPr>
            <w:tcW w:w="3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ProterixBio, Inc.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Diagnostics</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3,156 Common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Singulex, Inc.</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Other Healthcare</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294,231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Verity Solutions Group, Inc.</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Other Healthcare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300,360 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Other Healthcare</w:t>
            </w:r>
          </w:p>
        </w:tc>
        <w:tc>
          <w:tcPr>
            <w:tcW w:w="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27,373</w:t>
            </w:r>
          </w:p>
        </w:tc>
        <w:tc>
          <w:tcPr>
            <w:tcW w:w="35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HealthEdge Software, Inc. (2)</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420" w:type="dxa"/>
            <w:vAlign w:val="bottom"/>
          </w:tcPr>
          <w:p>
            <w:pPr>
              <w:spacing w:after="0" w:line="149" w:lineRule="exact"/>
              <w:rPr>
                <w:sz w:val="20"/>
                <w:szCs w:val="20"/>
                <w:color w:val="auto"/>
              </w:rPr>
            </w:pPr>
            <w:r>
              <w:rPr>
                <w:rFonts w:ascii="Arial" w:cs="Arial" w:eastAsia="Arial" w:hAnsi="Arial"/>
                <w:sz w:val="14"/>
                <w:szCs w:val="14"/>
                <w:color w:val="auto"/>
                <w:w w:val="93"/>
              </w:rPr>
              <w:t>63,225</w:t>
            </w:r>
          </w:p>
        </w:tc>
        <w:tc>
          <w:tcPr>
            <w:tcW w:w="3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Medsphere Systems Corporation (2)</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7,097,792 Preferred Stock Warrants</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Recondo Technology, Inc. (2)</w:t>
            </w:r>
          </w:p>
        </w:tc>
        <w:tc>
          <w:tcPr>
            <w:tcW w:w="1920" w:type="dxa"/>
            <w:vAlign w:val="bottom"/>
            <w:gridSpan w:val="3"/>
          </w:tcPr>
          <w:p>
            <w:pPr>
              <w:ind w:left="40"/>
              <w:spacing w:after="0"/>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rPr>
                <w:sz w:val="20"/>
                <w:szCs w:val="20"/>
                <w:color w:val="auto"/>
              </w:rPr>
            </w:pPr>
            <w:r>
              <w:rPr>
                <w:rFonts w:ascii="Arial" w:cs="Arial" w:eastAsia="Arial" w:hAnsi="Arial"/>
                <w:sz w:val="14"/>
                <w:szCs w:val="14"/>
                <w:color w:val="auto"/>
              </w:rPr>
              <w:t>556,796 Preferred Stock Warrants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color w:val="auto"/>
              </w:rPr>
              <w:t>Total Warrants — Healthcare information and services</w:t>
            </w:r>
          </w:p>
        </w:tc>
        <w:tc>
          <w:tcPr>
            <w:tcW w:w="4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1,028</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6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5,540</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7,341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Investments — 4.3% (8)</w:t>
            </w: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Espero Pharmaceuticals, Inc. (14)</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Royalty Agreement</w:t>
            </w:r>
          </w:p>
        </w:tc>
        <w:tc>
          <w:tcPr>
            <w:tcW w:w="2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5,300</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ZetrOZ, Inc.</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Royalty Agreement</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328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Vette Technology, LLC</w:t>
            </w:r>
          </w:p>
        </w:tc>
        <w:tc>
          <w:tcPr>
            <w:tcW w:w="1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Data Storage</w:t>
            </w:r>
          </w:p>
        </w:tc>
        <w:tc>
          <w:tcPr>
            <w:tcW w:w="3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Royalty Agreement Due 4/18/2019</w:t>
            </w:r>
          </w:p>
        </w:tc>
        <w:tc>
          <w:tcPr>
            <w:tcW w:w="2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4,278</w:t>
            </w: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Other Investments</w:t>
            </w:r>
          </w:p>
        </w:tc>
        <w:tc>
          <w:tcPr>
            <w:tcW w:w="6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9,906</w:t>
            </w:r>
          </w:p>
        </w:tc>
        <w:tc>
          <w:tcPr>
            <w:tcW w:w="2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5,900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Equity — 0.7% (8)</w:t>
            </w:r>
          </w:p>
        </w:tc>
        <w:tc>
          <w:tcPr>
            <w:tcW w:w="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Insmed Incorporated (5)</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Biotechnology</w:t>
            </w:r>
          </w:p>
        </w:tc>
        <w:tc>
          <w:tcPr>
            <w:tcW w:w="420" w:type="dxa"/>
            <w:vAlign w:val="bottom"/>
          </w:tcPr>
          <w:p>
            <w:pPr>
              <w:spacing w:after="0" w:line="149" w:lineRule="exact"/>
              <w:rPr>
                <w:sz w:val="20"/>
                <w:szCs w:val="20"/>
                <w:color w:val="auto"/>
              </w:rPr>
            </w:pPr>
            <w:r>
              <w:rPr>
                <w:rFonts w:ascii="Arial" w:cs="Arial" w:eastAsia="Arial" w:hAnsi="Arial"/>
                <w:sz w:val="14"/>
                <w:szCs w:val="14"/>
                <w:color w:val="auto"/>
                <w:w w:val="93"/>
              </w:rPr>
              <w:t>33,208</w:t>
            </w:r>
          </w:p>
        </w:tc>
        <w:tc>
          <w:tcPr>
            <w:tcW w:w="3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Inc.(5)</w:t>
            </w:r>
          </w:p>
        </w:tc>
        <w:tc>
          <w:tcPr>
            <w:tcW w:w="19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5,125 Common Stock</w:t>
            </w: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Biotechnology</w:t>
            </w:r>
          </w:p>
        </w:tc>
        <w:tc>
          <w:tcPr>
            <w:tcW w:w="420" w:type="dxa"/>
            <w:vAlign w:val="bottom"/>
          </w:tcPr>
          <w:p>
            <w:pPr>
              <w:spacing w:after="0" w:line="149" w:lineRule="exact"/>
              <w:rPr>
                <w:sz w:val="20"/>
                <w:szCs w:val="20"/>
                <w:color w:val="auto"/>
              </w:rPr>
            </w:pPr>
            <w:r>
              <w:rPr>
                <w:rFonts w:ascii="Arial" w:cs="Arial" w:eastAsia="Arial" w:hAnsi="Arial"/>
                <w:sz w:val="14"/>
                <w:szCs w:val="14"/>
                <w:color w:val="auto"/>
                <w:w w:val="93"/>
              </w:rPr>
              <w:t>13,082</w:t>
            </w:r>
          </w:p>
        </w:tc>
        <w:tc>
          <w:tcPr>
            <w:tcW w:w="3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92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Consumer-related</w:t>
            </w:r>
          </w:p>
        </w:tc>
        <w:tc>
          <w:tcPr>
            <w:tcW w:w="4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Technologies</w:t>
            </w:r>
          </w:p>
        </w:tc>
        <w:tc>
          <w:tcPr>
            <w:tcW w:w="420" w:type="dxa"/>
            <w:vAlign w:val="bottom"/>
            <w:shd w:val="clear" w:color="auto" w:fill="CCEEFF"/>
          </w:tcPr>
          <w:p>
            <w:pPr>
              <w:spacing w:after="0"/>
              <w:rPr>
                <w:sz w:val="20"/>
                <w:szCs w:val="20"/>
                <w:color w:val="auto"/>
              </w:rPr>
            </w:pPr>
            <w:r>
              <w:rPr>
                <w:rFonts w:ascii="Arial" w:cs="Arial" w:eastAsia="Arial" w:hAnsi="Arial"/>
                <w:sz w:val="14"/>
                <w:szCs w:val="14"/>
                <w:color w:val="auto"/>
                <w:w w:val="93"/>
              </w:rPr>
              <w:t>82,974</w:t>
            </w: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Decisyon, Inc.</w:t>
            </w:r>
          </w:p>
        </w:tc>
        <w:tc>
          <w:tcPr>
            <w:tcW w:w="1920" w:type="dxa"/>
            <w:vAlign w:val="bottom"/>
            <w:gridSpan w:val="3"/>
          </w:tcPr>
          <w:p>
            <w:pPr>
              <w:ind w:left="40"/>
              <w:spacing w:after="0"/>
              <w:rPr>
                <w:sz w:val="20"/>
                <w:szCs w:val="20"/>
                <w:color w:val="auto"/>
              </w:rPr>
            </w:pPr>
            <w:r>
              <w:rPr>
                <w:rFonts w:ascii="Arial" w:cs="Arial" w:eastAsia="Arial" w:hAnsi="Arial"/>
                <w:sz w:val="14"/>
                <w:szCs w:val="14"/>
                <w:color w:val="auto"/>
              </w:rPr>
              <w:t>Software</w:t>
            </w:r>
          </w:p>
        </w:tc>
        <w:tc>
          <w:tcPr>
            <w:tcW w:w="3920" w:type="dxa"/>
            <w:vAlign w:val="bottom"/>
            <w:gridSpan w:val="3"/>
          </w:tcPr>
          <w:p>
            <w:pPr>
              <w:spacing w:after="0"/>
              <w:rPr>
                <w:sz w:val="20"/>
                <w:szCs w:val="20"/>
                <w:color w:val="auto"/>
              </w:rPr>
            </w:pPr>
            <w:r>
              <w:rPr>
                <w:rFonts w:ascii="Arial" w:cs="Arial" w:eastAsia="Arial" w:hAnsi="Arial"/>
                <w:sz w:val="14"/>
                <w:szCs w:val="14"/>
                <w:color w:val="auto"/>
              </w:rPr>
              <w:t>4,200,934 Common Stock</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6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Portfolio Investment Assets — 131.0% (8)</w:t>
            </w:r>
          </w:p>
        </w:tc>
        <w:tc>
          <w:tcPr>
            <w:tcW w:w="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189,613</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179,084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right="4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less than 5% ownership of the class and ownership of the portfolio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jc w:val="both"/>
        <w:ind w:left="3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June 30, 2017 is provided.</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Investment Company Act of 1940, as amended (the “1940 Act”), as of June 30, 2017.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is on non-accrual status at June 30, 2017.</w:t>
      </w:r>
    </w:p>
    <w:p>
      <w:pPr>
        <w:spacing w:after="0" w:line="225"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ScoreBig, Inc., a Delaware corporation (“ScoreBig”), made an assignment for the benefit of its creditors whereby ScoreBig assigned all of its assets to SB (assignment for the benefit of creditors), LLC, a California limited liability company (“SBABC”), established under California law to effectuate the Assignment for the Benefit of Creditors of ScoreBig. SBABC subsequently entered into a License Agreement with a third party (“Licensee”), whereby SBABC granted a license of certain of SBABC’s intellectual property and general intangibles to Licensee in exchange for certain royalty payments on the future net profits, if any, of Licensee. SBABC, in consideration for the Company’s consent to the License Agreement, agreed to pay all payments due under the License Agreement, if any, to the Company until the payment in full in cash of the Company’s debt investments in ScoreBig.</w:t>
      </w:r>
    </w:p>
    <w:p>
      <w:pPr>
        <w:spacing w:after="0" w:line="164"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Signal Corporation, a Delaware corporation (“DSC”),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Royalty Agreement received in partial satisfaction of obligations of New Haven Pharmaceuticals, Inc. (“NHP”) to the Company in connection with the sale of substantially all of the assets of NHP to Espero Pharmaceuticals, Inc.</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Cost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rPr>
              <w:t>Sector</w:t>
            </w:r>
          </w:p>
        </w:tc>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 (3)(4)(7)(9)(10)</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Investments (6)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133.8% (8)</w:t>
            </w:r>
          </w:p>
        </w:tc>
        <w:tc>
          <w:tcPr>
            <w:tcW w:w="1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Debt Investments — Life Science — 38.5% (8)</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Argos Therapeutics, Inc. (2)(5)</w:t>
            </w:r>
          </w:p>
        </w:tc>
        <w:tc>
          <w:tcPr>
            <w:tcW w:w="2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Biotechnology</w:t>
            </w: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Term Loan (9.38% cash (Libor + 8.75%; Floor 9.25%;   $</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4,375</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4,339</w:t>
            </w:r>
          </w:p>
        </w:tc>
        <w:tc>
          <w:tcPr>
            <w:tcW w:w="3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4,339</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Ceiling 10.75%), 5.00% ETP, Due 10/1/18)</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(9.38% cash (Libor + 8.75%; Floor 9.25%;</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4,969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4,969</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Ceiling 10.75%), 5.00% ETP, Due 3/1/19)</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New Haven Pharmaceuticals, Inc. (11)</w:t>
            </w:r>
          </w:p>
        </w:tc>
        <w:tc>
          <w:tcPr>
            <w:tcW w:w="2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Biotechnology</w:t>
            </w: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1,274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651</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11.50%), 11.42% ETP, Due 3/1/19)</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427</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217</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11.50%), 11.42% ETP, Due 3/1/19)</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1,960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1,002</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10.50%), 6.10% ETP, Due 3/1/19)</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6,185</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6,118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3,127</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10.00%), 4.00% ETP, Due 4/1/19)</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593</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303</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10.00%), Due 1/31/17)</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Palatin Technologies, Inc. (2)(5)</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Biotechnology</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(9.13% cash (Libor + 8.50%;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3,960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3,960</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9.00%), 5.00% ETP, Due 1/1/19)</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(9.13% cash (Libor + 8.50%;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4,955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4,955</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9.00%), 5.00% ETP, Due 8/1/19)</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Sample6, Inc. (2)</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Biotechnology</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(9.63% cash (Libor + 9.00%;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972</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969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969</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9.50%; Ceiling 11.00%), 4.00% ETP, Due 4/1/18)</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(9.63% cash (Libor + 9.00%;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588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588</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9.50%; Ceiling 11.00%), 4.00% ETP, Due 4/1/18)</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(9.63% cash (Libor + 9.00%;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2,083</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2,073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2,073</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9.50%; Ceiling 11.00%), 4.00% ETP, Due 4/1/18)</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Strongbridge U.S. Inc. (5)</w:t>
            </w:r>
          </w:p>
        </w:tc>
        <w:tc>
          <w:tcPr>
            <w:tcW w:w="2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Biotechnology</w:t>
            </w: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(8.84% cash (Libor + 8.22%;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7,353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7,353</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8.75%), 8.00% ETP, Due 12/1/20)</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vTv Therapeutics Inc. (2)(5)</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Biotechnology</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6,250</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6,106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6,106</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10.50%), 6.00% ETP, Due 5/1/20)</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2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Medical Device</w:t>
            </w: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(11.50% cash (Libor + 10.50%;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2,479</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2,455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2,320</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11.50%), 5.00% ETP, Due 2/1/18)</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Mederi Therapeutics, Inc. (2)</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Medical Device</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(12.27% cash (Libor + 11.82%;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1,352</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1,344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1,344</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12.00%), 4.00% ETP, Due 7/1/17)</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(12.27% cash (Libor + 11.82%;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1,344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1,344</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12.00%), 4.00% ETP, Due 7/1/17)</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NinePoint Medical, Inc. (2)</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Medical Device</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(9.38% cash (Libor + 8.75%;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4,500</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4,461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4,461</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9.25%), 4.50% ETP, Due 3/1/19)</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(9.38% cash (Libor + 8.75%;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2,250</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2,225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2,225</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9.25%), 4.50% ETP, Due 3/1/19)</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Tryton Medical, Inc. (2)</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Medical Device</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(10.66% cash (Prime + 7.16%), 2.50% ETP,</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1,313</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1,309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1,309</w:t>
            </w:r>
          </w:p>
        </w:tc>
      </w:tr>
      <w:tr>
        <w:trPr>
          <w:trHeight w:val="181"/>
        </w:trPr>
        <w:tc>
          <w:tcPr>
            <w:tcW w:w="23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Due 3/1/17)</w:t>
            </w:r>
          </w:p>
        </w:tc>
        <w:tc>
          <w:tcPr>
            <w:tcW w:w="9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4"/>
              </w:rPr>
              <w:t>Total Debt Investments — Life Science</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53,615</w:t>
            </w:r>
          </w:p>
        </w:tc>
        <w:tc>
          <w:tcPr>
            <w:tcW w:w="100" w:type="dxa"/>
            <w:vAlign w:val="bottom"/>
            <w:shd w:val="clear" w:color="auto" w:fill="CCEEFF"/>
          </w:tcPr>
          <w:p>
            <w:pPr>
              <w:spacing w:after="0"/>
              <w:rPr>
                <w:sz w:val="12"/>
                <w:szCs w:val="12"/>
                <w:color w:val="auto"/>
              </w:rPr>
            </w:pPr>
          </w:p>
        </w:tc>
      </w:tr>
      <w:tr>
        <w:trPr>
          <w:trHeight w:val="142"/>
        </w:trPr>
        <w:tc>
          <w:tcPr>
            <w:tcW w:w="4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Debt Investments — Technology — 75.4% (8)</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Ekahau, Inc. (2)</w:t>
            </w:r>
          </w:p>
        </w:tc>
        <w:tc>
          <w:tcPr>
            <w:tcW w:w="20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Communications</w:t>
            </w:r>
          </w:p>
        </w:tc>
        <w:tc>
          <w:tcPr>
            <w:tcW w:w="3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Term Loan (11.75% cash, 2.50% ETP, Due 2/1/17)</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r>
      <w:tr>
        <w:trPr>
          <w:trHeight w:val="149"/>
        </w:trPr>
        <w:tc>
          <w:tcPr>
            <w:tcW w:w="2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gridSpan w:val="3"/>
          </w:tcPr>
          <w:p>
            <w:pPr>
              <w:spacing w:after="0" w:line="149" w:lineRule="exact"/>
              <w:rPr>
                <w:sz w:val="20"/>
                <w:szCs w:val="20"/>
                <w:color w:val="auto"/>
              </w:rPr>
            </w:pPr>
            <w:r>
              <w:rPr>
                <w:rFonts w:ascii="Arial" w:cs="Arial" w:eastAsia="Arial" w:hAnsi="Arial"/>
                <w:sz w:val="14"/>
                <w:szCs w:val="14"/>
                <w:color w:val="auto"/>
              </w:rPr>
              <w:t>Term Loan (11.75% cash, 2.50% ETP, Due 2/1/17)</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Gwynnie Bee, Inc. (2)</w:t>
            </w:r>
          </w:p>
        </w:tc>
        <w:tc>
          <w:tcPr>
            <w:tcW w:w="2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Consumer-related Technologies</w:t>
            </w: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657</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11.00%; Ceiling 12.50%), 2.00% ETP, Due 11/1/17)</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433</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424</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11.00%; Ceiling 12.50%), 2.00% ETP, Due 2/1/18)</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492</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11.00%; Ceiling 12.50%), 2.00% ETP, Due 4/1/18)</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Le Tote, Inc. (2)</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Consumer-related Technologies</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(10.28% cash (Libor + 9.65%;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10.15%), 5.00% ETP, Due 3/1/20)</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(10.28% cash (Libor + 9.65%;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2,955</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10.15%), 5.00% ETP, Due 3/1/20)</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Rhapsody International, Inc. (2)</w:t>
            </w:r>
          </w:p>
        </w:tc>
        <w:tc>
          <w:tcPr>
            <w:tcW w:w="200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Consumer-related Technologies</w:t>
            </w:r>
          </w:p>
        </w:tc>
        <w:tc>
          <w:tcPr>
            <w:tcW w:w="3480" w:type="dxa"/>
            <w:vAlign w:val="bottom"/>
            <w:gridSpan w:val="3"/>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10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7,500</w:t>
            </w:r>
          </w:p>
        </w:tc>
        <w:tc>
          <w:tcPr>
            <w:tcW w:w="100" w:type="dxa"/>
            <w:vAlign w:val="bottom"/>
          </w:tcPr>
          <w:p>
            <w:pPr>
              <w:spacing w:after="0"/>
              <w:rPr>
                <w:sz w:val="11"/>
                <w:szCs w:val="11"/>
                <w:color w:val="auto"/>
              </w:rPr>
            </w:pP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7,336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7,336</w:t>
            </w:r>
          </w:p>
        </w:tc>
      </w:tr>
      <w:tr>
        <w:trPr>
          <w:trHeight w:val="167"/>
        </w:trPr>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11.00%), 3.00% ETP, Due 10/1/19)</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SavingStar, Inc. (2)</w:t>
            </w:r>
          </w:p>
        </w:tc>
        <w:tc>
          <w:tcPr>
            <w:tcW w:w="20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Consumer-related Technologies</w:t>
            </w:r>
          </w:p>
        </w:tc>
        <w:tc>
          <w:tcPr>
            <w:tcW w:w="3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Term Loan (11.03% cash (Libor + 10.40%; Floor</w:t>
            </w:r>
          </w:p>
        </w:tc>
        <w:tc>
          <w:tcPr>
            <w:tcW w:w="110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2,900</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2,860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2,860</w:t>
            </w:r>
          </w:p>
        </w:tc>
      </w:tr>
      <w:tr>
        <w:trPr>
          <w:trHeight w:val="167"/>
        </w:trPr>
        <w:tc>
          <w:tcPr>
            <w:tcW w:w="2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10.90%), 3.00% ETP, Due 6/1/19)</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2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Term Loan (11.03% cash (Libor + 10.40%; Floor</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1,965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1,965</w:t>
            </w:r>
          </w:p>
        </w:tc>
      </w:tr>
    </w:tbl>
    <w:p>
      <w:pPr>
        <w:spacing w:after="0" w:line="15"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10.90%), 3.00% ETP, Due 3/1/20)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Principal</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24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8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Sector</w:t>
            </w:r>
          </w:p>
        </w:tc>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 (3)(4)(7)(9)(10)</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Investments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3"/>
        </w:trPr>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MediaBrix, Inc. (2)</w:t>
            </w:r>
          </w:p>
        </w:tc>
        <w:tc>
          <w:tcPr>
            <w:tcW w:w="10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Internet and Media</w:t>
            </w:r>
          </w:p>
        </w:tc>
        <w:tc>
          <w:tcPr>
            <w:tcW w:w="100" w:type="dxa"/>
            <w:vAlign w:val="bottom"/>
            <w:tcBorders>
              <w:top w:val="single" w:sz="8" w:color="CCEEFF"/>
            </w:tcBorders>
            <w:shd w:val="clear" w:color="auto" w:fill="CCEEFF"/>
          </w:tcPr>
          <w:p>
            <w:pPr>
              <w:spacing w:after="0"/>
              <w:rPr>
                <w:sz w:val="10"/>
                <w:szCs w:val="10"/>
                <w:color w:val="auto"/>
              </w:rPr>
            </w:pPr>
          </w:p>
        </w:tc>
        <w:tc>
          <w:tcPr>
            <w:tcW w:w="3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(11.63% cash (Libor + 11.00%; Floor</w:t>
            </w: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4,000</w:t>
            </w:r>
          </w:p>
        </w:tc>
        <w:tc>
          <w:tcPr>
            <w:tcW w:w="22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3,966</w:t>
            </w: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3,966</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3.00% ETP, Due 1/1/20)</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Zinio Holdings, LLC (2)</w:t>
            </w:r>
          </w:p>
        </w:tc>
        <w:tc>
          <w:tcPr>
            <w:tcW w:w="18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Internet and Media</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(11.88% cash (Libor + 11.25%;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3,967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3,967</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11.75%), 4.00% ETP, Due 2/1/20)</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w:t>
            </w:r>
          </w:p>
        </w:tc>
        <w:tc>
          <w:tcPr>
            <w:tcW w:w="18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Materials</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4,940</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4,940</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5.00% ETP, Due 7/1/19)</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2,470</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2,470</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10.00%), 5.00% ETP, Due 7/1/19)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(10.13% cash (Libor + 9.50%;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2,464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2,464</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5.00% ETP, Due 1/1/20)</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18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Networking</w:t>
            </w: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Term Loan (11.50% cash, 3.00% ETP, Due 11/1/17)</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w:t>
            </w: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w:t>
            </w: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2,939</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2,939</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3.00% ETP, Due 4/1/20)</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Powerhouse Dynamics, Inc. (2)</w:t>
            </w:r>
          </w:p>
        </w:tc>
        <w:tc>
          <w:tcPr>
            <w:tcW w:w="18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Power Management</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(11.33% cash (Libor + 10.70%;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2,250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2,220</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2,220</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11.20%), 3.00% ETP, Due 3/1/19)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Avalanche Technology, Inc. (2)</w:t>
            </w:r>
          </w:p>
        </w:tc>
        <w:tc>
          <w:tcPr>
            <w:tcW w:w="18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Semiconductors</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Term Loan (10.00% cash (Libor + 9.25%; Floor 10.00%;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417</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416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416</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11.75%), 2.40% ETP, Due 4/1/17)</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w w:val="96"/>
              </w:rPr>
              <w:t>Term Loan (10.00% cash (Libor + 9.25%; Floor 10.00%;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1,335</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1,331</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1,331</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Ceiling 11.75%), 2.40% ETP, Due 10/1/18)</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Term Loan (10.00% cash (Libor + 9.25%; Floor 10.00%;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1,548</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1,517</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1,517</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11.75%), 2.00% ETP, Due 2/1/19)</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Luxtera, Inc. (2)</w:t>
            </w:r>
          </w:p>
        </w:tc>
        <w:tc>
          <w:tcPr>
            <w:tcW w:w="18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Semiconductors</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w w:val="96"/>
              </w:rPr>
              <w:t>Term Loan (10.38% cash (Libor + 9.75%; Floor 10.25%;</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614</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607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607</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Ceiling 12.25%), 13.00% ETP, Due 7/1/17)</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Term Loan (10.38% cash (Libor + 9.75%; Floor 10.25%;</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343</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341</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12.25%), 13.00% ETP, Due 7/1/17)</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w w:val="99"/>
              </w:rPr>
              <w:t>Term Loan (9.13% cash (Libor + 8.50%; Floor 9.00%),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667</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663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663</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4.50% ETP, Due 12/1/18)</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Term Loan (9.13% cash (Libor + 8.50%; Floor 9.00%),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667</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663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663</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4.50% ETP, Due 12/1/18)</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w w:val="99"/>
              </w:rPr>
              <w:t>Term Loan (9.63% cash (Libor + 9.00%; Floor 9.50%),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1,990</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1,990</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4.50% ETP, Due 11/1/19)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Xtera Communications, Inc. (5)(11)</w:t>
            </w:r>
          </w:p>
        </w:tc>
        <w:tc>
          <w:tcPr>
            <w:tcW w:w="18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(12.50% cash, 22.92% ETP, Due 11/1/16)</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3,056</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3,047</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Term Loan (12.50% cash, 22.92% ETP, Due 11/1/16)</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936</w:t>
            </w: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Bridge2 Solutions, Inc.</w:t>
            </w:r>
          </w:p>
        </w:tc>
        <w:tc>
          <w:tcPr>
            <w:tcW w:w="18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3,976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3,976</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11.50%; Ceiling 14.50%), 2.00% ETP, Due 7/1/19)</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996</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996</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11.50%; Ceiling 14.50%), 2.00% ETP, Due 1/1/20)</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ControlScan, Inc. (2)</w:t>
            </w:r>
          </w:p>
        </w:tc>
        <w:tc>
          <w:tcPr>
            <w:tcW w:w="18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(10.88% cash (Libor + 10.25%),</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4,500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4,413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4,413</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3.00% ETP, Due 7/1/20)</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Decisyon, Inc.</w:t>
            </w:r>
          </w:p>
        </w:tc>
        <w:tc>
          <w:tcPr>
            <w:tcW w:w="18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(12.94% cash (Libor + 12.308%;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1,523</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1,521</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1,519</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12.50%), 6.50% ETP, Due 6/1/18)</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(12.94% cash (Libor + 12.308%;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833</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715</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713</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12.50%), 6.50% ETP, Due 6/1/18)</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Digital Signal Corporation (11)(13)</w:t>
            </w:r>
          </w:p>
        </w:tc>
        <w:tc>
          <w:tcPr>
            <w:tcW w:w="18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(10.88% cash (Libor + 10.25%;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1,280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1,246</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928</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10.43%), 5.00% ETP, Due 7/1/19)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(10.88% cash (Libor + 10.25%;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1,280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1,246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928</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10.43%), 5.00% ETP, Due 7/1/19)</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Term Loan (10.00% cash, Due 6/30/17)</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w:t>
            </w: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w:t>
            </w:r>
          </w:p>
        </w:tc>
        <w:tc>
          <w:tcPr>
            <w:tcW w:w="18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1,578</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1,578</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1/1/19)</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1,500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1,479</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1,479</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10.50%), 4.00% ETP, Due 8/1/19)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Netuitive, Inc.</w:t>
            </w:r>
          </w:p>
        </w:tc>
        <w:tc>
          <w:tcPr>
            <w:tcW w:w="180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(12.88% cash (Libor + 12.25%;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461</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460</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460</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12.50%), 3.33% ETP, Due 9/1/17)</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line="130" w:lineRule="exact"/>
              <w:rPr>
                <w:sz w:val="20"/>
                <w:szCs w:val="20"/>
                <w:color w:val="auto"/>
              </w:rPr>
            </w:pPr>
            <w:r>
              <w:rPr>
                <w:rFonts w:ascii="Arial" w:cs="Arial" w:eastAsia="Arial" w:hAnsi="Arial"/>
                <w:sz w:val="14"/>
                <w:szCs w:val="14"/>
                <w:color w:val="auto"/>
              </w:rPr>
              <w:t>ScoreBig, Inc. (2)(11)(12)</w:t>
            </w:r>
          </w:p>
        </w:tc>
        <w:tc>
          <w:tcPr>
            <w:tcW w:w="180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3,403</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3,332</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1,526</w:t>
            </w:r>
          </w:p>
        </w:tc>
      </w:t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10.50%), 4.00% ETP, Due 4/1/19)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3,403</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3,360</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1,539</w:t>
            </w:r>
          </w:p>
        </w:tc>
      </w:tr>
      <w:tr>
        <w:trPr>
          <w:trHeight w:val="167"/>
        </w:trPr>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4/1/19)</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1,950</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894</w:t>
            </w:r>
          </w:p>
        </w:tc>
      </w:tr>
      <w:tr>
        <w:trPr>
          <w:trHeight w:val="182"/>
        </w:trPr>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10.50%), 4.00% ETP, Due 3/1/20)</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 of</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Fair</w:t>
            </w:r>
          </w:p>
        </w:tc>
      </w:tr>
      <w:tr>
        <w:trPr>
          <w:trHeight w:val="171"/>
        </w:trPr>
        <w:tc>
          <w:tcPr>
            <w:tcW w:w="228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7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Sector</w:t>
            </w:r>
          </w:p>
        </w:tc>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 (3)(4)(7)(9)(10)</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Investments (6)</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123"/>
        </w:trPr>
        <w:tc>
          <w:tcPr>
            <w:tcW w:w="2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(10.63% cash (Libor + 10.00%; Floor</w:t>
            </w: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203</w:t>
            </w:r>
          </w:p>
        </w:tc>
        <w:tc>
          <w:tcPr>
            <w:tcW w:w="22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203</w:t>
            </w:r>
          </w:p>
        </w:tc>
        <w:tc>
          <w:tcPr>
            <w:tcW w:w="2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93</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10/31/16)</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(10.63% cash (Libor + 10.00%; Floor</w:t>
            </w:r>
          </w:p>
        </w:tc>
        <w:tc>
          <w:tcPr>
            <w:tcW w:w="1100" w:type="dxa"/>
            <w:vAlign w:val="bottom"/>
          </w:tcPr>
          <w:p>
            <w:pPr>
              <w:jc w:val="right"/>
              <w:spacing w:after="0" w:line="130"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1"/>
                <w:szCs w:val="11"/>
                <w:color w:val="auto"/>
              </w:rPr>
            </w:pP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324</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10.50%), 4.00% ETP, Due 11/11/19)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ShopKeep.com, Inc. (2)</w:t>
            </w:r>
          </w:p>
        </w:tc>
        <w:tc>
          <w:tcPr>
            <w:tcW w:w="17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(10.47% cash (Libor + 9.95%; Floor</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5,811</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5,811</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10.45%), 3.00% ETP, Due 4/1/20)</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SIGNiX, Inc.</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2,250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2,124</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11.50%), Due 10/1/18)</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w:t>
            </w:r>
          </w:p>
        </w:tc>
        <w:tc>
          <w:tcPr>
            <w:tcW w:w="17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(10.98% cash (Libor + 10.35%; Floor</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7,500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7,455</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7,455</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10.85%; Ceiling 12.85%), 3.00% ETP, Due 6/1/19)</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Skyword, Inc.</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(11.58% cash (Libor + 10.95%; Floor</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3,944</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3,870</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11.45%), 3.00% ETP, Due 8/1/19)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Social Intelligence Corp. (2)</w:t>
            </w:r>
          </w:p>
        </w:tc>
        <w:tc>
          <w:tcPr>
            <w:tcW w:w="17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323</w:t>
            </w:r>
          </w:p>
        </w:tc>
        <w:tc>
          <w:tcPr>
            <w:tcW w:w="2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316</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11.00%; Ceiling 13.00%), 3.50% ETP, Due 12/1/17)</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Sys-Tech Solutions, Inc. (2)</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(11.78% cash (Libor + 11.15%; Floor</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2,983</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2,983</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11.65%; Ceiling 12.65%), 4.50% ETP, Due 3/1/18)</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(11.78% cash (Libor + 11.15%; Floor</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2,833</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2,814</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2,814</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11.65%; Ceiling 12.65%), 9.00% ETP, Due 5/1/18)</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VBrick Systems, Inc. (2)</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(11.63% cash (Libor + 11.00%; Floor</w:t>
            </w:r>
          </w:p>
        </w:tc>
        <w:tc>
          <w:tcPr>
            <w:tcW w:w="1100" w:type="dxa"/>
            <w:vAlign w:val="bottom"/>
          </w:tcPr>
          <w:p>
            <w:pPr>
              <w:jc w:val="right"/>
              <w:spacing w:after="0" w:line="130" w:lineRule="exact"/>
              <w:rPr>
                <w:sz w:val="20"/>
                <w:szCs w:val="20"/>
                <w:color w:val="auto"/>
              </w:rPr>
            </w:pPr>
            <w:r>
              <w:rPr>
                <w:rFonts w:ascii="Arial" w:cs="Arial" w:eastAsia="Arial" w:hAnsi="Arial"/>
                <w:sz w:val="14"/>
                <w:szCs w:val="14"/>
                <w:color w:val="auto"/>
              </w:rPr>
              <w:t>700</w:t>
            </w:r>
          </w:p>
        </w:tc>
        <w:tc>
          <w:tcPr>
            <w:tcW w:w="220" w:type="dxa"/>
            <w:vAlign w:val="bottom"/>
          </w:tcPr>
          <w:p>
            <w:pPr>
              <w:spacing w:after="0"/>
              <w:rPr>
                <w:sz w:val="11"/>
                <w:szCs w:val="11"/>
                <w:color w:val="auto"/>
              </w:rPr>
            </w:pP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696</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696</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11.50%; Ceiling 13.50%), 5.00% ETP, Due 7/1/17)</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Vidsys, Inc. (2)</w:t>
            </w:r>
          </w:p>
        </w:tc>
        <w:tc>
          <w:tcPr>
            <w:tcW w:w="17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(13.00% cash, 12.58% ETP, Due 12/1/17)</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2,610</w:t>
            </w:r>
          </w:p>
        </w:tc>
        <w:tc>
          <w:tcPr>
            <w:tcW w:w="1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2,610</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2,610</w:t>
            </w:r>
          </w:p>
        </w:tc>
        <w:tc>
          <w:tcPr>
            <w:tcW w:w="80" w:type="dxa"/>
            <w:vAlign w:val="bottom"/>
            <w:shd w:val="clear" w:color="auto" w:fill="CCEEFF"/>
          </w:tcPr>
          <w:p>
            <w:pPr>
              <w:spacing w:after="0"/>
              <w:rPr>
                <w:sz w:val="12"/>
                <w:szCs w:val="12"/>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xTech Holdings, Inc. (2)</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1,500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1,479</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1,479</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11.00%), 3.00% ETP, Due 4/1/19)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(11.13% cash (Libor + 10.50%; Floor</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1,970</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1"/>
                <w:szCs w:val="11"/>
                <w:color w:val="auto"/>
              </w:rPr>
            </w:pPr>
          </w:p>
        </w:tc>
      </w:tr>
      <w:tr>
        <w:trPr>
          <w:trHeight w:val="181"/>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11.00%), 3.00% ETP, Due 3/1/20)</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4"/>
              </w:rPr>
              <w:t>Total Debt Investments — Technology</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114,743</w:t>
            </w: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104,917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404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Cleantech — 5.7% (8)</w:t>
            </w:r>
          </w:p>
        </w:tc>
        <w:tc>
          <w:tcPr>
            <w:tcW w:w="3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Rypos, Inc. (2)</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Energy Efficiency</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(11.93% cash (Libor + 11.55%;</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1,260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1,252</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1,252</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Floor 11.80%), 4.25% ETP, Due 6/1/17)</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(11.93% cash (Libor + 11.55%;</w:t>
            </w:r>
          </w:p>
        </w:tc>
        <w:tc>
          <w:tcPr>
            <w:tcW w:w="1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697</w:t>
            </w:r>
          </w:p>
        </w:tc>
        <w:tc>
          <w:tcPr>
            <w:tcW w:w="2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690</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690</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11.80%), 4.25% ETP, Due 1/1/18)</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Lehigh Technologies, Inc. (2)</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Waste Recycling</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w w:val="98"/>
              </w:rPr>
              <w:t>Term Loan (10.35% cash (Libor + 9.72%), 6.75% ETP,</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2,982</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2,982</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Due 8/1/19)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Term Loan (10.35% cash (Libor + 9.72%), 6.75% ETP,</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2,982</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2,982</w:t>
            </w:r>
          </w:p>
        </w:tc>
        <w:tc>
          <w:tcPr>
            <w:tcW w:w="80" w:type="dxa"/>
            <w:vAlign w:val="bottom"/>
            <w:shd w:val="clear" w:color="auto" w:fill="CCEEFF"/>
          </w:tcPr>
          <w:p>
            <w:pPr>
              <w:spacing w:after="0"/>
              <w:rPr>
                <w:sz w:val="11"/>
                <w:szCs w:val="11"/>
                <w:color w:val="auto"/>
              </w:rPr>
            </w:pPr>
          </w:p>
        </w:tc>
      </w:tr>
      <w:tr>
        <w:trPr>
          <w:trHeight w:val="181"/>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8/1/19)</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8"/>
              </w:rPr>
              <w:t>Total Debt Investments — Cleantech</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7,906</w:t>
            </w: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74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Healthcare information and services — 14.2% (8)</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Interleukin Genetics, Inc. (2)(5)</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Diagnostics</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(11.13% cash (Libor + 10.50%;</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4,225</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4,081</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4,081</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Floor 11.00%), 6.50% ETP, Due 10/1/18)</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Watermark Medical, Inc. (2)</w:t>
            </w:r>
          </w:p>
        </w:tc>
        <w:tc>
          <w:tcPr>
            <w:tcW w:w="17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Other Healthcare</w:t>
            </w: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Term Loan (10.13% cash (Libor + 9.50%; Floor 10.00%;</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2,333</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2,330</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2,330</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11.00%); 4.00% ETP, Due 4/1/18)</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w w:val="96"/>
              </w:rPr>
              <w:t>Term Loan (10.13% cash (Libor + 9.50%; Floor 10.00%;</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2,333</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2,330</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2,330</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Ceiling 11.00%); 4.00% ETP, Due 4/1/18)</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Term Loan (10.13% cash (Libor + 9.50%; Floor 10.00%;</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1,111</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1,110</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Ceiling 11.00%); 4.00% ETP, Due 4/1/18)</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MedAvante, Inc. (2)</w:t>
            </w:r>
          </w:p>
        </w:tc>
        <w:tc>
          <w:tcPr>
            <w:tcW w:w="17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(9.88% cash (Libor + 9.25%; Floor</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2,972</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2,972</w:t>
            </w:r>
          </w:p>
        </w:tc>
        <w:tc>
          <w:tcPr>
            <w:tcW w:w="80" w:type="dxa"/>
            <w:vAlign w:val="bottom"/>
          </w:tcPr>
          <w:p>
            <w:pPr>
              <w:spacing w:after="0"/>
              <w:rPr>
                <w:sz w:val="11"/>
                <w:szCs w:val="11"/>
                <w:color w:val="auto"/>
              </w:rPr>
            </w:pPr>
          </w:p>
        </w:tc>
      </w:tr>
      <w:tr>
        <w:trPr>
          <w:trHeight w:val="167"/>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9.75%), 4.00% ETP, Due 1/1/19)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(9.88% cash (Libor + 9.25%; Floor</w:t>
            </w:r>
          </w:p>
        </w:tc>
        <w:tc>
          <w:tcPr>
            <w:tcW w:w="13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4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2,972</w:t>
            </w:r>
          </w:p>
        </w:tc>
        <w:tc>
          <w:tcPr>
            <w:tcW w:w="118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2,972</w:t>
            </w:r>
          </w:p>
        </w:tc>
        <w:tc>
          <w:tcPr>
            <w:tcW w:w="80" w:type="dxa"/>
            <w:vAlign w:val="bottom"/>
            <w:shd w:val="clear" w:color="auto" w:fill="CCEEFF"/>
          </w:tcPr>
          <w:p>
            <w:pPr>
              <w:spacing w:after="0"/>
              <w:rPr>
                <w:sz w:val="11"/>
                <w:szCs w:val="11"/>
                <w:color w:val="auto"/>
              </w:rPr>
            </w:pPr>
          </w:p>
        </w:tc>
      </w:tr>
      <w:tr>
        <w:trPr>
          <w:trHeight w:val="167"/>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9.75%), 4.00% ETP, Due 1/1/19)</w:t>
            </w: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Term Loan (9.88% cash (Libor + 9.25%; Floor</w:t>
            </w:r>
          </w:p>
        </w:tc>
        <w:tc>
          <w:tcPr>
            <w:tcW w:w="13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4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3,953</w:t>
            </w:r>
          </w:p>
        </w:tc>
        <w:tc>
          <w:tcPr>
            <w:tcW w:w="118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3,953</w:t>
            </w:r>
          </w:p>
        </w:tc>
        <w:tc>
          <w:tcPr>
            <w:tcW w:w="80" w:type="dxa"/>
            <w:vAlign w:val="bottom"/>
          </w:tcPr>
          <w:p>
            <w:pPr>
              <w:spacing w:after="0"/>
              <w:rPr>
                <w:sz w:val="11"/>
                <w:szCs w:val="11"/>
                <w:color w:val="auto"/>
              </w:rPr>
            </w:pPr>
          </w:p>
        </w:tc>
      </w:tr>
      <w:tr>
        <w:trPr>
          <w:trHeight w:val="181"/>
        </w:trPr>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9.75%), 4.00% ETP, Due 7/1/19)</w:t>
            </w:r>
          </w:p>
        </w:tc>
        <w:tc>
          <w:tcPr>
            <w:tcW w:w="1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42"/>
        </w:trPr>
        <w:tc>
          <w:tcPr>
            <w:tcW w:w="404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Healthcare information and services</w:t>
            </w:r>
          </w:p>
        </w:tc>
        <w:tc>
          <w:tcPr>
            <w:tcW w:w="3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19,748</w:t>
            </w:r>
          </w:p>
        </w:tc>
        <w:tc>
          <w:tcPr>
            <w:tcW w:w="22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19,748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201,216</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186,186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6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Sector</w:t>
            </w:r>
          </w:p>
        </w:tc>
        <w:tc>
          <w:tcPr>
            <w:tcW w:w="4700" w:type="dxa"/>
            <w:vAlign w:val="bottom"/>
            <w:gridSpan w:val="2"/>
          </w:tcPr>
          <w:p>
            <w:pPr>
              <w:ind w:left="340"/>
              <w:spacing w:after="0"/>
              <w:rPr>
                <w:sz w:val="20"/>
                <w:szCs w:val="20"/>
                <w:color w:val="auto"/>
              </w:rPr>
            </w:pPr>
            <w:r>
              <w:rPr>
                <w:rFonts w:ascii="Arial" w:cs="Arial" w:eastAsia="Arial" w:hAnsi="Arial"/>
                <w:sz w:val="14"/>
                <w:szCs w:val="14"/>
                <w:b w:val="1"/>
                <w:bCs w:val="1"/>
                <w:color w:val="auto"/>
              </w:rPr>
              <w:t>Type of Investment (3)(4)(7)(9)(10)</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Investments (6)</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 Investments — 4.6% (8)</w:t>
            </w:r>
          </w:p>
        </w:tc>
        <w:tc>
          <w:tcPr>
            <w:tcW w:w="1560" w:type="dxa"/>
            <w:vAlign w:val="bottom"/>
            <w:tcBorders>
              <w:top w:val="single" w:sz="8" w:color="auto"/>
            </w:tcBorders>
            <w:shd w:val="clear" w:color="auto" w:fill="CCEEFF"/>
          </w:tcPr>
          <w:p>
            <w:pPr>
              <w:spacing w:after="0"/>
              <w:rPr>
                <w:sz w:val="12"/>
                <w:szCs w:val="12"/>
                <w:color w:val="auto"/>
              </w:rPr>
            </w:pPr>
          </w:p>
        </w:tc>
        <w:tc>
          <w:tcPr>
            <w:tcW w:w="4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Warrants — Life Science — 0.5% (8)</w:t>
            </w:r>
          </w:p>
        </w:tc>
        <w:tc>
          <w:tcPr>
            <w:tcW w:w="15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1,521,820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Argos Therapeutics, Inc. (2)(5)</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33,112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5,708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w w:val="96"/>
              </w:rPr>
              <w:t>Inotek Pharmaceuticals Corporation (5)</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28,204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Haven Pharmaceuticals, Inc.</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103,982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Nivalis Therapeutics, Inc. (5)</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18,534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Ocera Therapeutics, Inc. (2)(5)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6,491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Palatin Technologies, Inc. (2)(5)</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608,058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 (5)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34,377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Sample6,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494,988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Strongbridge U.S. Inc. (5)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160,714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vTv Therapeutics Inc. (2)(5)</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76,290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Biotechnology</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2,050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AccuVein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75,769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EnteroMedics, Inc. (5)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134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347</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IntegenX,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170,646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Lantos Technologies,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66,665,256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Mederi Therapeutics,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248,736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Mitralign,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641,909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NinePoint Medical,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566,038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OraMetrix,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812,348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Tryton Medical,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Medical Device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122,362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62"/>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ViOptix, Inc.</w:t>
            </w: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Medical Device</w:t>
            </w: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375,763 Preferred Stock Warrants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23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Warrants — Life Science</w:t>
            </w:r>
          </w:p>
        </w:tc>
        <w:tc>
          <w:tcPr>
            <w:tcW w:w="156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1,289</w:t>
            </w:r>
          </w:p>
        </w:tc>
        <w:tc>
          <w:tcPr>
            <w:tcW w:w="20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tcPr>
          <w:p>
            <w:pPr>
              <w:spacing w:after="0"/>
              <w:rPr>
                <w:sz w:val="12"/>
                <w:szCs w:val="12"/>
                <w:color w:val="auto"/>
              </w:rPr>
            </w:pPr>
          </w:p>
        </w:tc>
      </w:tr>
      <w:tr>
        <w:trPr>
          <w:trHeight w:val="142"/>
        </w:trPr>
        <w:tc>
          <w:tcPr>
            <w:tcW w:w="2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9"/>
              </w:rPr>
              <w:t>Warrants — Technology — 3.3% (8)</w:t>
            </w:r>
          </w:p>
        </w:tc>
        <w:tc>
          <w:tcPr>
            <w:tcW w:w="156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Ekahau,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Communications</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978,261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Additech, Inc. (2)</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Consumer-related</w:t>
            </w:r>
          </w:p>
        </w:tc>
        <w:tc>
          <w:tcPr>
            <w:tcW w:w="4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36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Technologies</w:t>
            </w: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150,000 Preferred Stock Warrants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Gwynnie Bee, Inc. (2)</w:t>
            </w:r>
          </w:p>
        </w:tc>
        <w:tc>
          <w:tcPr>
            <w:tcW w:w="1560" w:type="dxa"/>
            <w:vAlign w:val="bottom"/>
          </w:tcPr>
          <w:p>
            <w:pPr>
              <w:ind w:left="60"/>
              <w:spacing w:after="0" w:line="130" w:lineRule="exact"/>
              <w:rPr>
                <w:sz w:val="20"/>
                <w:szCs w:val="20"/>
                <w:color w:val="auto"/>
              </w:rPr>
            </w:pPr>
            <w:r>
              <w:rPr>
                <w:rFonts w:ascii="Arial" w:cs="Arial" w:eastAsia="Arial" w:hAnsi="Arial"/>
                <w:sz w:val="14"/>
                <w:szCs w:val="14"/>
                <w:color w:val="auto"/>
              </w:rPr>
              <w:t>Consumer-related</w:t>
            </w:r>
          </w:p>
        </w:tc>
        <w:tc>
          <w:tcPr>
            <w:tcW w:w="4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36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Technologies</w:t>
            </w:r>
          </w:p>
        </w:tc>
        <w:tc>
          <w:tcPr>
            <w:tcW w:w="4700" w:type="dxa"/>
            <w:vAlign w:val="bottom"/>
            <w:gridSpan w:val="2"/>
          </w:tcPr>
          <w:p>
            <w:pPr>
              <w:ind w:left="340"/>
              <w:spacing w:after="0"/>
              <w:rPr>
                <w:sz w:val="20"/>
                <w:szCs w:val="20"/>
                <w:color w:val="auto"/>
              </w:rPr>
            </w:pPr>
            <w:r>
              <w:rPr>
                <w:rFonts w:ascii="Arial" w:cs="Arial" w:eastAsia="Arial" w:hAnsi="Arial"/>
                <w:sz w:val="14"/>
                <w:szCs w:val="14"/>
                <w:color w:val="auto"/>
              </w:rPr>
              <w:t>268,591 Preferred Stock Warrants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68</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698</w:t>
            </w: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If(we), Inc.</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Consumer-related</w:t>
            </w:r>
          </w:p>
        </w:tc>
        <w:tc>
          <w:tcPr>
            <w:tcW w:w="4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36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Technologies</w:t>
            </w: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190,868 Preferred Stock Warrants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w:t>
            </w: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Le Tote, Inc. (2)</w:t>
            </w:r>
          </w:p>
        </w:tc>
        <w:tc>
          <w:tcPr>
            <w:tcW w:w="1560" w:type="dxa"/>
            <w:vAlign w:val="bottom"/>
          </w:tcPr>
          <w:p>
            <w:pPr>
              <w:ind w:left="60"/>
              <w:spacing w:after="0" w:line="130" w:lineRule="exact"/>
              <w:rPr>
                <w:sz w:val="20"/>
                <w:szCs w:val="20"/>
                <w:color w:val="auto"/>
              </w:rPr>
            </w:pPr>
            <w:r>
              <w:rPr>
                <w:rFonts w:ascii="Arial" w:cs="Arial" w:eastAsia="Arial" w:hAnsi="Arial"/>
                <w:sz w:val="14"/>
                <w:szCs w:val="14"/>
                <w:color w:val="auto"/>
              </w:rPr>
              <w:t>Consumer-related</w:t>
            </w:r>
          </w:p>
        </w:tc>
        <w:tc>
          <w:tcPr>
            <w:tcW w:w="4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36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Technologies</w:t>
            </w:r>
          </w:p>
        </w:tc>
        <w:tc>
          <w:tcPr>
            <w:tcW w:w="4700" w:type="dxa"/>
            <w:vAlign w:val="bottom"/>
            <w:gridSpan w:val="2"/>
          </w:tcPr>
          <w:p>
            <w:pPr>
              <w:ind w:left="340"/>
              <w:spacing w:after="0"/>
              <w:rPr>
                <w:sz w:val="20"/>
                <w:szCs w:val="20"/>
                <w:color w:val="auto"/>
              </w:rPr>
            </w:pPr>
            <w:r>
              <w:rPr>
                <w:rFonts w:ascii="Arial" w:cs="Arial" w:eastAsia="Arial" w:hAnsi="Arial"/>
                <w:sz w:val="14"/>
                <w:szCs w:val="14"/>
                <w:color w:val="auto"/>
              </w:rPr>
              <w:t>202,974 Preferred Stock Warrants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63</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411</w:t>
            </w: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Rhapsody International Inc. (2)</w:t>
            </w:r>
          </w:p>
        </w:tc>
        <w:tc>
          <w:tcPr>
            <w:tcW w:w="156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Consumer-related</w:t>
            </w:r>
          </w:p>
        </w:tc>
        <w:tc>
          <w:tcPr>
            <w:tcW w:w="4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360" w:type="dxa"/>
            <w:vAlign w:val="bottom"/>
            <w:shd w:val="clear" w:color="auto" w:fill="CCEEFF"/>
          </w:tcPr>
          <w:p>
            <w:pPr>
              <w:spacing w:after="0"/>
              <w:rPr>
                <w:sz w:val="14"/>
                <w:szCs w:val="14"/>
                <w:color w:val="auto"/>
              </w:rPr>
            </w:pPr>
          </w:p>
        </w:tc>
        <w:tc>
          <w:tcPr>
            <w:tcW w:w="1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Technologies</w:t>
            </w: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852,273 Common Stock Warrants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w:t>
            </w: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SavingStar, Inc. (2)</w:t>
            </w:r>
          </w:p>
        </w:tc>
        <w:tc>
          <w:tcPr>
            <w:tcW w:w="1560" w:type="dxa"/>
            <w:vAlign w:val="bottom"/>
          </w:tcPr>
          <w:p>
            <w:pPr>
              <w:ind w:left="60"/>
              <w:spacing w:after="0" w:line="130" w:lineRule="exact"/>
              <w:rPr>
                <w:sz w:val="20"/>
                <w:szCs w:val="20"/>
                <w:color w:val="auto"/>
              </w:rPr>
            </w:pPr>
            <w:r>
              <w:rPr>
                <w:rFonts w:ascii="Arial" w:cs="Arial" w:eastAsia="Arial" w:hAnsi="Arial"/>
                <w:sz w:val="14"/>
                <w:szCs w:val="14"/>
                <w:color w:val="auto"/>
              </w:rPr>
              <w:t>Consumer-related</w:t>
            </w:r>
          </w:p>
        </w:tc>
        <w:tc>
          <w:tcPr>
            <w:tcW w:w="4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36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Technologies</w:t>
            </w:r>
          </w:p>
        </w:tc>
        <w:tc>
          <w:tcPr>
            <w:tcW w:w="4700" w:type="dxa"/>
            <w:vAlign w:val="bottom"/>
            <w:gridSpan w:val="2"/>
          </w:tcPr>
          <w:p>
            <w:pPr>
              <w:ind w:left="340"/>
              <w:spacing w:after="0"/>
              <w:rPr>
                <w:sz w:val="20"/>
                <w:szCs w:val="20"/>
                <w:color w:val="auto"/>
              </w:rPr>
            </w:pPr>
            <w:r>
              <w:rPr>
                <w:rFonts w:ascii="Arial" w:cs="Arial" w:eastAsia="Arial" w:hAnsi="Arial"/>
                <w:sz w:val="14"/>
                <w:szCs w:val="14"/>
                <w:color w:val="auto"/>
              </w:rPr>
              <w:t>98,860 Preferred Stock Warrants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60</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XIOtech, Inc.</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Data Storage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2,217,979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The NanoSteel Company,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Materials</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299,211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Inc.</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Networking</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141,549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Networking</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707,387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Aquion Energy, Inc.</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Power Management</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115,051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Powerhouse Dynamics,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Power Management</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290,698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202,602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eASIC Corporation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40,445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InVisage Technologies,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395,009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Kaminario, Inc.</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1,087,203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Luxtera, Inc.(2)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2,508,671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Soraa,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203,616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Xtera Communications, Inc. (5)</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Semiconductors</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37,831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Bolt Solutions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202,892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75,458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Clarabridge, Inc.</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53,486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ControlScan,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2,295,918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Decisyon, Inc.</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82,967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Signal Corporation</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125,116 Common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Education Elements,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238,122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288,115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Netuitive, Inc.</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41,569 Common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 Data Corp.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237,361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ScoreBig, Inc. (2)</w:t>
            </w:r>
          </w:p>
        </w:tc>
        <w:tc>
          <w:tcPr>
            <w:tcW w:w="1560" w:type="dxa"/>
            <w:vAlign w:val="bottom"/>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879,014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ShopKeep.com, Inc. (2)</w:t>
            </w:r>
          </w:p>
        </w:tc>
        <w:tc>
          <w:tcPr>
            <w:tcW w:w="1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4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165,779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SIGNiX, Inc.</w:t>
            </w:r>
          </w:p>
        </w:tc>
        <w:tc>
          <w:tcPr>
            <w:tcW w:w="1560" w:type="dxa"/>
            <w:vAlign w:val="bottom"/>
          </w:tcPr>
          <w:p>
            <w:pPr>
              <w:ind w:left="60"/>
              <w:spacing w:after="0"/>
              <w:rPr>
                <w:sz w:val="20"/>
                <w:szCs w:val="20"/>
                <w:color w:val="auto"/>
              </w:rPr>
            </w:pPr>
            <w:r>
              <w:rPr>
                <w:rFonts w:ascii="Arial" w:cs="Arial" w:eastAsia="Arial" w:hAnsi="Arial"/>
                <w:sz w:val="14"/>
                <w:szCs w:val="14"/>
                <w:color w:val="auto"/>
              </w:rPr>
              <w:t>Software</w:t>
            </w:r>
          </w:p>
        </w:tc>
        <w:tc>
          <w:tcPr>
            <w:tcW w:w="4700" w:type="dxa"/>
            <w:vAlign w:val="bottom"/>
            <w:gridSpan w:val="2"/>
          </w:tcPr>
          <w:p>
            <w:pPr>
              <w:ind w:left="340"/>
              <w:spacing w:after="0"/>
              <w:rPr>
                <w:sz w:val="20"/>
                <w:szCs w:val="20"/>
                <w:color w:val="auto"/>
              </w:rPr>
            </w:pPr>
            <w:r>
              <w:rPr>
                <w:rFonts w:ascii="Arial" w:cs="Arial" w:eastAsia="Arial" w:hAnsi="Arial"/>
                <w:sz w:val="14"/>
                <w:szCs w:val="14"/>
                <w:color w:val="auto"/>
              </w:rPr>
              <w:t>89,767 Preferred Stock Warrants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168</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Cost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3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9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Sector</w:t>
            </w: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 (3)(4)(7)(9)(10)</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Investments (6)</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Skyword, Inc.</w:t>
            </w: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Software</w:t>
            </w:r>
          </w:p>
        </w:tc>
        <w:tc>
          <w:tcPr>
            <w:tcW w:w="120" w:type="dxa"/>
            <w:vAlign w:val="bottom"/>
            <w:tcBorders>
              <w:top w:val="single" w:sz="8" w:color="CCEEFF"/>
            </w:tcBorders>
            <w:shd w:val="clear" w:color="auto" w:fill="CCEEFF"/>
          </w:tcPr>
          <w:p>
            <w:pPr>
              <w:spacing w:after="0"/>
              <w:rPr>
                <w:sz w:val="12"/>
                <w:szCs w:val="12"/>
                <w:color w:val="auto"/>
              </w:rPr>
            </w:pPr>
          </w:p>
        </w:tc>
        <w:tc>
          <w:tcPr>
            <w:tcW w:w="4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301,056 Preferred Stock Warrants</w:t>
            </w:r>
          </w:p>
        </w:tc>
        <w:tc>
          <w:tcPr>
            <w:tcW w:w="1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SpringCM, Inc. (2)</w:t>
            </w:r>
          </w:p>
        </w:tc>
        <w:tc>
          <w:tcPr>
            <w:tcW w:w="1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Software</w:t>
            </w: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2,385,686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375,000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Vidsys, Inc.</w:t>
            </w:r>
          </w:p>
        </w:tc>
        <w:tc>
          <w:tcPr>
            <w:tcW w:w="1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Software</w:t>
            </w: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85,399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Visage Mobile, Inc.</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1,692,047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xTech Holdings, Inc. (2)</w:t>
            </w:r>
          </w:p>
        </w:tc>
        <w:tc>
          <w:tcPr>
            <w:tcW w:w="1960" w:type="dxa"/>
            <w:vAlign w:val="bottom"/>
            <w:gridSpan w:val="3"/>
          </w:tcPr>
          <w:p>
            <w:pPr>
              <w:ind w:left="120"/>
              <w:spacing w:after="0"/>
              <w:rPr>
                <w:sz w:val="20"/>
                <w:szCs w:val="20"/>
                <w:color w:val="auto"/>
              </w:rPr>
            </w:pPr>
            <w:r>
              <w:rPr>
                <w:rFonts w:ascii="Arial" w:cs="Arial" w:eastAsia="Arial" w:hAnsi="Arial"/>
                <w:sz w:val="14"/>
                <w:szCs w:val="14"/>
                <w:color w:val="auto"/>
              </w:rPr>
              <w:t>Software</w:t>
            </w:r>
          </w:p>
        </w:tc>
        <w:tc>
          <w:tcPr>
            <w:tcW w:w="4360" w:type="dxa"/>
            <w:vAlign w:val="bottom"/>
            <w:gridSpan w:val="2"/>
          </w:tcPr>
          <w:p>
            <w:pPr>
              <w:spacing w:after="0"/>
              <w:rPr>
                <w:sz w:val="20"/>
                <w:szCs w:val="20"/>
                <w:color w:val="auto"/>
              </w:rPr>
            </w:pPr>
            <w:r>
              <w:rPr>
                <w:rFonts w:ascii="Arial" w:cs="Arial" w:eastAsia="Arial" w:hAnsi="Arial"/>
                <w:sz w:val="14"/>
                <w:szCs w:val="14"/>
                <w:color w:val="auto"/>
              </w:rPr>
              <w:t>158,730 Preferred Stock Warrants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43</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Warrants — Technology</w:t>
            </w: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2,406</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4,590</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4"/>
                <w:szCs w:val="14"/>
                <w:b w:val="1"/>
                <w:bCs w:val="1"/>
                <w:color w:val="auto"/>
              </w:rPr>
              <w:t>Warrants — Cleantech — 0.1% (8)</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Renmatix, Inc.</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Alternative Energy</w:t>
            </w: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53,022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Semprius, Inc.</w:t>
            </w:r>
          </w:p>
        </w:tc>
        <w:tc>
          <w:tcPr>
            <w:tcW w:w="1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Alternative Energy</w:t>
            </w: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519,981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Rypos, Inc. (2)</w:t>
            </w:r>
          </w:p>
        </w:tc>
        <w:tc>
          <w:tcPr>
            <w:tcW w:w="1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Energy Efficiency</w:t>
            </w: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5,627 Preferred Stock Warrants</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Tigo Energy, Inc. (2)</w:t>
            </w:r>
          </w:p>
        </w:tc>
        <w:tc>
          <w:tcPr>
            <w:tcW w:w="1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Energy Efficiency</w:t>
            </w: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804,604 Preferred Stock Warrants</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w:t>
            </w:r>
          </w:p>
        </w:tc>
      </w:tr>
      <w:tr>
        <w:trPr>
          <w:trHeight w:val="162"/>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Lehigh Technologies, Inc. (2)</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Waste Recycling</w:t>
            </w:r>
          </w:p>
        </w:tc>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272,727 Preferred Stock Warrants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Total Warrants — Cleantech</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270</w:t>
            </w:r>
          </w:p>
        </w:tc>
        <w:tc>
          <w:tcPr>
            <w:tcW w:w="200" w:type="dxa"/>
            <w:vAlign w:val="bottom"/>
          </w:tcPr>
          <w:p>
            <w:pPr>
              <w:spacing w:after="0"/>
              <w:rPr>
                <w:sz w:val="12"/>
                <w:szCs w:val="12"/>
                <w:color w:val="auto"/>
              </w:rPr>
            </w:pPr>
          </w:p>
        </w:tc>
        <w:tc>
          <w:tcPr>
            <w:tcW w:w="12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Warrants — Healthcare information and services — 0.7% (8)</w:t>
      </w:r>
    </w:p>
    <w:tbl>
      <w:tblPr>
        <w:tblLayout w:type="fixed"/>
        <w:tblInd w:w="0" w:type="dxa"/>
        <w:tblCellMar>
          <w:top w:w="0" w:type="dxa"/>
          <w:left w:w="0" w:type="dxa"/>
          <w:bottom w:w="0" w:type="dxa"/>
          <w:right w:w="0" w:type="dxa"/>
        </w:tblCellMar>
      </w:tblPr>
      <w:tr>
        <w:trPr>
          <w:trHeight w:val="156"/>
        </w:trPr>
        <w:tc>
          <w:tcPr>
            <w:tcW w:w="2260" w:type="dxa"/>
            <w:vAlign w:val="bottom"/>
            <w:gridSpan w:val="2"/>
          </w:tcPr>
          <w:p>
            <w:pPr>
              <w:spacing w:after="0" w:line="157" w:lineRule="exact"/>
              <w:rPr>
                <w:sz w:val="20"/>
                <w:szCs w:val="20"/>
                <w:color w:val="auto"/>
              </w:rPr>
            </w:pPr>
            <w:r>
              <w:rPr>
                <w:rFonts w:ascii="Arial" w:cs="Arial" w:eastAsia="Arial" w:hAnsi="Arial"/>
                <w:sz w:val="14"/>
                <w:szCs w:val="14"/>
                <w:color w:val="auto"/>
              </w:rPr>
              <w:t>Accumetrics, Inc.</w:t>
            </w:r>
          </w:p>
        </w:tc>
        <w:tc>
          <w:tcPr>
            <w:tcW w:w="1600" w:type="dxa"/>
            <w:vAlign w:val="bottom"/>
          </w:tcPr>
          <w:p>
            <w:pPr>
              <w:ind w:left="160"/>
              <w:spacing w:after="0" w:line="157" w:lineRule="exact"/>
              <w:rPr>
                <w:sz w:val="20"/>
                <w:szCs w:val="20"/>
                <w:color w:val="auto"/>
              </w:rPr>
            </w:pPr>
            <w:r>
              <w:rPr>
                <w:rFonts w:ascii="Arial" w:cs="Arial" w:eastAsia="Arial" w:hAnsi="Arial"/>
                <w:sz w:val="14"/>
                <w:szCs w:val="14"/>
                <w:color w:val="auto"/>
              </w:rPr>
              <w:t>Diagnostics</w:t>
            </w:r>
          </w:p>
        </w:tc>
        <w:tc>
          <w:tcPr>
            <w:tcW w:w="3600" w:type="dxa"/>
            <w:vAlign w:val="bottom"/>
          </w:tcPr>
          <w:p>
            <w:pPr>
              <w:ind w:left="400"/>
              <w:spacing w:after="0" w:line="157" w:lineRule="exact"/>
              <w:rPr>
                <w:sz w:val="20"/>
                <w:szCs w:val="20"/>
                <w:color w:val="auto"/>
              </w:rPr>
            </w:pPr>
            <w:r>
              <w:rPr>
                <w:rFonts w:ascii="Arial" w:cs="Arial" w:eastAsia="Arial" w:hAnsi="Arial"/>
                <w:sz w:val="14"/>
                <w:szCs w:val="14"/>
                <w:color w:val="auto"/>
              </w:rPr>
              <w:t>100,928 Preferred Stock Warrants</w:t>
            </w: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Candescent Health, Inc. (2)</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Diagnostics</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519,991 Preferred Stock Warrants</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Interleukin Genetics, Inc. (2)(5)</w:t>
            </w:r>
          </w:p>
        </w:tc>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Diagnostics</w:t>
            </w:r>
          </w:p>
        </w:tc>
        <w:tc>
          <w:tcPr>
            <w:tcW w:w="3600" w:type="dxa"/>
            <w:vAlign w:val="bottom"/>
          </w:tcPr>
          <w:p>
            <w:pPr>
              <w:ind w:left="400"/>
              <w:spacing w:after="0" w:line="149" w:lineRule="exact"/>
              <w:rPr>
                <w:sz w:val="20"/>
                <w:szCs w:val="20"/>
                <w:color w:val="auto"/>
              </w:rPr>
            </w:pPr>
            <w:r>
              <w:rPr>
                <w:rFonts w:ascii="Arial" w:cs="Arial" w:eastAsia="Arial" w:hAnsi="Arial"/>
                <w:sz w:val="14"/>
                <w:szCs w:val="14"/>
                <w:color w:val="auto"/>
              </w:rPr>
              <w:t>7,662,100 Common Stock Warrants</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Diagnostics</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49,000 Preferred Stock Warrants</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ProterixBio, Inc. (2)</w:t>
            </w:r>
          </w:p>
        </w:tc>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Diagnostics</w:t>
            </w:r>
          </w:p>
        </w:tc>
        <w:tc>
          <w:tcPr>
            <w:tcW w:w="3600" w:type="dxa"/>
            <w:vAlign w:val="bottom"/>
          </w:tcPr>
          <w:p>
            <w:pPr>
              <w:ind w:left="400"/>
              <w:spacing w:after="0" w:line="149" w:lineRule="exact"/>
              <w:rPr>
                <w:sz w:val="20"/>
                <w:szCs w:val="20"/>
                <w:color w:val="auto"/>
              </w:rPr>
            </w:pPr>
            <w:r>
              <w:rPr>
                <w:rFonts w:ascii="Arial" w:cs="Arial" w:eastAsia="Arial" w:hAnsi="Arial"/>
                <w:sz w:val="14"/>
                <w:szCs w:val="14"/>
                <w:color w:val="auto"/>
              </w:rPr>
              <w:t>3,156 Common Stock Warrants</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Singulex, Inc.</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Healthcare</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294,231 Preferred Stock Warrants</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Verity Solutions Group, Inc.</w:t>
            </w:r>
          </w:p>
        </w:tc>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Other Healthcare</w:t>
            </w:r>
          </w:p>
        </w:tc>
        <w:tc>
          <w:tcPr>
            <w:tcW w:w="3600" w:type="dxa"/>
            <w:vAlign w:val="bottom"/>
          </w:tcPr>
          <w:p>
            <w:pPr>
              <w:ind w:left="400"/>
              <w:spacing w:after="0" w:line="149" w:lineRule="exact"/>
              <w:rPr>
                <w:sz w:val="20"/>
                <w:szCs w:val="20"/>
                <w:color w:val="auto"/>
              </w:rPr>
            </w:pPr>
            <w:r>
              <w:rPr>
                <w:rFonts w:ascii="Arial" w:cs="Arial" w:eastAsia="Arial" w:hAnsi="Arial"/>
                <w:sz w:val="14"/>
                <w:szCs w:val="14"/>
                <w:color w:val="auto"/>
              </w:rPr>
              <w:t>300,360 Preferred Stock Warrants</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Healthcare</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27,373 Preferred Stock Warrants</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MedAvante, Inc. (2)</w:t>
            </w:r>
          </w:p>
        </w:tc>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Software</w:t>
            </w:r>
          </w:p>
        </w:tc>
        <w:tc>
          <w:tcPr>
            <w:tcW w:w="3600" w:type="dxa"/>
            <w:vAlign w:val="bottom"/>
          </w:tcPr>
          <w:p>
            <w:pPr>
              <w:ind w:left="400"/>
              <w:spacing w:after="0" w:line="149" w:lineRule="exact"/>
              <w:rPr>
                <w:sz w:val="20"/>
                <w:szCs w:val="20"/>
                <w:color w:val="auto"/>
              </w:rPr>
            </w:pPr>
            <w:r>
              <w:rPr>
                <w:rFonts w:ascii="Arial" w:cs="Arial" w:eastAsia="Arial" w:hAnsi="Arial"/>
                <w:sz w:val="14"/>
                <w:szCs w:val="14"/>
                <w:color w:val="auto"/>
              </w:rPr>
              <w:t>114,285 Preferred Stock Warrants</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Medsphere Systems Corporation (2)</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Software</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7,097,791 Preferred Stock Warrants</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Recondo Technology, Inc. (2)</w:t>
            </w:r>
          </w:p>
        </w:tc>
        <w:tc>
          <w:tcPr>
            <w:tcW w:w="1600" w:type="dxa"/>
            <w:vAlign w:val="bottom"/>
          </w:tcPr>
          <w:p>
            <w:pPr>
              <w:ind w:left="160"/>
              <w:spacing w:after="0"/>
              <w:rPr>
                <w:sz w:val="20"/>
                <w:szCs w:val="20"/>
                <w:color w:val="auto"/>
              </w:rPr>
            </w:pPr>
            <w:r>
              <w:rPr>
                <w:rFonts w:ascii="Arial" w:cs="Arial" w:eastAsia="Arial" w:hAnsi="Arial"/>
                <w:sz w:val="14"/>
                <w:szCs w:val="14"/>
                <w:color w:val="auto"/>
              </w:rPr>
              <w:t>Software</w:t>
            </w:r>
          </w:p>
        </w:tc>
        <w:tc>
          <w:tcPr>
            <w:tcW w:w="3600" w:type="dxa"/>
            <w:vAlign w:val="bottom"/>
          </w:tcPr>
          <w:p>
            <w:pPr>
              <w:ind w:left="400"/>
              <w:spacing w:after="0"/>
              <w:rPr>
                <w:sz w:val="20"/>
                <w:szCs w:val="20"/>
                <w:color w:val="auto"/>
              </w:rPr>
            </w:pPr>
            <w:r>
              <w:rPr>
                <w:rFonts w:ascii="Arial" w:cs="Arial" w:eastAsia="Arial" w:hAnsi="Arial"/>
                <w:sz w:val="14"/>
                <w:szCs w:val="14"/>
                <w:color w:val="auto"/>
              </w:rPr>
              <w:t>556,796 Preferred Stock Warrants</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Warrants — Healthcare</w:t>
            </w:r>
          </w:p>
        </w:tc>
        <w:tc>
          <w:tcPr>
            <w:tcW w:w="1600" w:type="dxa"/>
            <w:vAlign w:val="bottom"/>
            <w:tcBorders>
              <w:top w:val="single" w:sz="8" w:color="CCEEFF"/>
            </w:tcBorders>
            <w:shd w:val="clear" w:color="auto" w:fill="CCEEFF"/>
          </w:tcPr>
          <w:p>
            <w:pPr>
              <w:spacing w:after="0"/>
              <w:rPr>
                <w:sz w:val="9"/>
                <w:szCs w:val="9"/>
                <w:color w:val="auto"/>
              </w:rPr>
            </w:pPr>
          </w:p>
        </w:tc>
        <w:tc>
          <w:tcPr>
            <w:tcW w:w="360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information and services</w:t>
            </w:r>
          </w:p>
        </w:tc>
        <w:tc>
          <w:tcPr>
            <w:tcW w:w="16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60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5,140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Other Investments — 0.4% (8)</w:t>
            </w: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ZetrOZ, Inc.</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Medical Device</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Royalty Agreement</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Vette Technology, LLC</w:t>
            </w:r>
          </w:p>
        </w:tc>
        <w:tc>
          <w:tcPr>
            <w:tcW w:w="1600" w:type="dxa"/>
            <w:vAlign w:val="bottom"/>
          </w:tcPr>
          <w:p>
            <w:pPr>
              <w:ind w:left="160"/>
              <w:spacing w:after="0"/>
              <w:rPr>
                <w:sz w:val="20"/>
                <w:szCs w:val="20"/>
                <w:color w:val="auto"/>
              </w:rPr>
            </w:pPr>
            <w:r>
              <w:rPr>
                <w:rFonts w:ascii="Arial" w:cs="Arial" w:eastAsia="Arial" w:hAnsi="Arial"/>
                <w:sz w:val="14"/>
                <w:szCs w:val="14"/>
                <w:color w:val="auto"/>
              </w:rPr>
              <w:t>Data Storage</w:t>
            </w:r>
          </w:p>
        </w:tc>
        <w:tc>
          <w:tcPr>
            <w:tcW w:w="3600" w:type="dxa"/>
            <w:vAlign w:val="bottom"/>
          </w:tcPr>
          <w:p>
            <w:pPr>
              <w:ind w:left="400"/>
              <w:spacing w:after="0"/>
              <w:rPr>
                <w:sz w:val="20"/>
                <w:szCs w:val="20"/>
                <w:color w:val="auto"/>
              </w:rPr>
            </w:pPr>
            <w:r>
              <w:rPr>
                <w:rFonts w:ascii="Arial" w:cs="Arial" w:eastAsia="Arial" w:hAnsi="Arial"/>
                <w:sz w:val="14"/>
                <w:szCs w:val="14"/>
                <w:color w:val="auto"/>
              </w:rPr>
              <w:t>Royalty Agreement Due 4/18/2019</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4,318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Investments</w:t>
            </w:r>
          </w:p>
        </w:tc>
        <w:tc>
          <w:tcPr>
            <w:tcW w:w="1600" w:type="dxa"/>
            <w:vAlign w:val="bottom"/>
            <w:tcBorders>
              <w:top w:val="single" w:sz="8" w:color="CCEEFF"/>
            </w:tcBorders>
            <w:shd w:val="clear" w:color="auto" w:fill="CCEEFF"/>
          </w:tcPr>
          <w:p>
            <w:pPr>
              <w:spacing w:after="0"/>
              <w:rPr>
                <w:sz w:val="12"/>
                <w:szCs w:val="12"/>
                <w:color w:val="auto"/>
              </w:rPr>
            </w:pPr>
          </w:p>
        </w:tc>
        <w:tc>
          <w:tcPr>
            <w:tcW w:w="36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line="142" w:lineRule="exact"/>
              <w:rPr>
                <w:sz w:val="20"/>
                <w:szCs w:val="20"/>
                <w:color w:val="auto"/>
              </w:rPr>
            </w:pPr>
            <w:r>
              <w:rPr>
                <w:rFonts w:ascii="Arial" w:cs="Arial" w:eastAsia="Arial" w:hAnsi="Arial"/>
                <w:sz w:val="14"/>
                <w:szCs w:val="14"/>
                <w:b w:val="1"/>
                <w:bCs w:val="1"/>
                <w:color w:val="auto"/>
              </w:rPr>
              <w:t>Equity — 0.6% (8)</w:t>
            </w:r>
          </w:p>
        </w:tc>
        <w:tc>
          <w:tcPr>
            <w:tcW w:w="1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Insmed Incorporated (5)</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Biotechnology</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33,208 Common Stock</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Revance Therapeutics, Inc.(5)</w:t>
            </w:r>
          </w:p>
        </w:tc>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Biotechnology</w:t>
            </w:r>
          </w:p>
        </w:tc>
        <w:tc>
          <w:tcPr>
            <w:tcW w:w="3600" w:type="dxa"/>
            <w:vAlign w:val="bottom"/>
          </w:tcPr>
          <w:p>
            <w:pPr>
              <w:ind w:left="400"/>
              <w:spacing w:after="0" w:line="149" w:lineRule="exact"/>
              <w:rPr>
                <w:sz w:val="20"/>
                <w:szCs w:val="20"/>
                <w:color w:val="auto"/>
              </w:rPr>
            </w:pPr>
            <w:r>
              <w:rPr>
                <w:rFonts w:ascii="Arial" w:cs="Arial" w:eastAsia="Arial" w:hAnsi="Arial"/>
                <w:sz w:val="14"/>
                <w:szCs w:val="14"/>
                <w:color w:val="auto"/>
              </w:rPr>
              <w:t>4,861 Common Stock</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Biotechnology</w:t>
            </w:r>
          </w:p>
        </w:tc>
        <w:tc>
          <w:tcPr>
            <w:tcW w:w="3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13,082 Common Stock</w:t>
            </w: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SnagAJob.com, Inc.</w:t>
            </w:r>
          </w:p>
        </w:tc>
        <w:tc>
          <w:tcPr>
            <w:tcW w:w="1600" w:type="dxa"/>
            <w:vAlign w:val="bottom"/>
          </w:tcPr>
          <w:p>
            <w:pPr>
              <w:ind w:left="160"/>
              <w:spacing w:after="0" w:line="130" w:lineRule="exact"/>
              <w:rPr>
                <w:sz w:val="20"/>
                <w:szCs w:val="20"/>
                <w:color w:val="auto"/>
              </w:rPr>
            </w:pPr>
            <w:r>
              <w:rPr>
                <w:rFonts w:ascii="Arial" w:cs="Arial" w:eastAsia="Arial" w:hAnsi="Arial"/>
                <w:sz w:val="14"/>
                <w:szCs w:val="14"/>
                <w:color w:val="auto"/>
              </w:rPr>
              <w:t>Consumer-related</w:t>
            </w:r>
          </w:p>
        </w:tc>
        <w:tc>
          <w:tcPr>
            <w:tcW w:w="3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ind w:left="160"/>
              <w:spacing w:after="0"/>
              <w:rPr>
                <w:sz w:val="20"/>
                <w:szCs w:val="20"/>
                <w:color w:val="auto"/>
              </w:rPr>
            </w:pPr>
            <w:r>
              <w:rPr>
                <w:rFonts w:ascii="Arial" w:cs="Arial" w:eastAsia="Arial" w:hAnsi="Arial"/>
                <w:sz w:val="14"/>
                <w:szCs w:val="14"/>
                <w:color w:val="auto"/>
              </w:rPr>
              <w:t>Technologies</w:t>
            </w:r>
          </w:p>
        </w:tc>
        <w:tc>
          <w:tcPr>
            <w:tcW w:w="3600" w:type="dxa"/>
            <w:vAlign w:val="bottom"/>
          </w:tcPr>
          <w:p>
            <w:pPr>
              <w:ind w:left="400"/>
              <w:spacing w:after="0"/>
              <w:rPr>
                <w:sz w:val="20"/>
                <w:szCs w:val="20"/>
                <w:color w:val="auto"/>
              </w:rPr>
            </w:pPr>
            <w:r>
              <w:rPr>
                <w:rFonts w:ascii="Arial" w:cs="Arial" w:eastAsia="Arial" w:hAnsi="Arial"/>
                <w:sz w:val="14"/>
                <w:szCs w:val="14"/>
                <w:color w:val="auto"/>
              </w:rPr>
              <w:t>82,974 Common Stock</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Decisyon, Inc.</w:t>
            </w:r>
          </w:p>
        </w:tc>
        <w:tc>
          <w:tcPr>
            <w:tcW w:w="1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Software</w:t>
            </w:r>
          </w:p>
        </w:tc>
        <w:tc>
          <w:tcPr>
            <w:tcW w:w="36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4,200,934 Common Stock</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160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Portfolio Investment Assets — 139.4% (8)</w:t>
            </w:r>
          </w:p>
        </w:tc>
        <w:tc>
          <w:tcPr>
            <w:tcW w:w="36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211,627</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194,003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are less than 5% ownership of the class and ownership of the portfolio company.</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December 31, 2016 is provided.</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1940 Act as of December 31, 2016.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investment is on non-accrual status at December 31, 2016.</w:t>
      </w:r>
    </w:p>
    <w:p>
      <w:pPr>
        <w:spacing w:after="0" w:line="225"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ScoreBig made an assignment for the benefit of its creditors whereby ScoreBig assigned all of its assets to SBABC, established under California law to effectuate the Assignment for the Benefit of Creditors of ScoreBig. SBABC subsequently entered into a License Agreement with a Licensee, whereby SBABC granted a license of certain of SBABC’s intellectual property and general intangibles to Licensee in exchange for certain royalty payments on the future net profits, if any, of Licensee. SBABC, in consideration for the Company’s consent to the License Agreement, agreed to pay all payments due under the License Agreement, if any, to the Company until the payment in full in cash of the Company’s debt investments in ScoreBig.</w:t>
      </w:r>
    </w:p>
    <w:p>
      <w:pPr>
        <w:spacing w:after="0" w:line="158"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formed Horizon Funding 2013-1 LLC (“2013-1 LLC”) as a Delaware limited liability company on June 7, 2013 and Horizon Funding Trust 2013-1 (“2013-1 Trust” and, together with the 2013-1 LLC, the “2013-1 Entities”) as a Delaware trust on June 18, 2013. The 2013-1 Entities were special purpose bankruptcy remote entities and were separate legal entities from the Company. The Company formed the 2013-1 Entities for purposes of securitizing $189.3 million of secured loans (the “2013-1 Securitization”) and issuing fixed-rate asset-backed notes in an aggregate principal amount of $90 million (the “Asset-Backed Notes”). The 2013-1 Entities were dissolved as of September 30, 2016.</w:t>
      </w:r>
    </w:p>
    <w:p>
      <w:pPr>
        <w:spacing w:after="0" w:line="1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2016.</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5.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5 for additional information regarding fair value.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Investments are recorded at fair value. The Company’s board of directors (the “Board”) determines the fair value of the Company’s portfolio investments. The Company has the intent to hold its debt investments for the foreseeable future or until maturity or payoff.</w:t>
      </w:r>
    </w:p>
    <w:p>
      <w:pPr>
        <w:spacing w:after="0" w:line="1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June 30, 2017, there were three debt investments on non-accrual status with a cost of $16.0 million and a fair value of $7.6 million. As of December 31, 2016, there were four investments on non-accrual status with a cost of $26.2 million and a fair value of $11.5 million. For the three and six months ended June 30, 2017 and 2016, the Company did not recognize any interest income from debt investments on non-accrual status.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percentage of the Company’s total investment income that resulted from the portion of ETPs not received in cash for the three months ended June 30, 2017 and 2016 was 7.5% and 7.7%, respectively. The percentage of the Company’s total investment income that resulted from the portion of ETPs not received in cash for the six months ended June 30, 2017 and 2016 was 7.5% and 14.2%, respectively.</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June 30, 2017 and December 31, 2016 was $1.3 million and $1.6 million, respectively. These amounts are amortized and included in interest expense in the consolidated statements of operations over the life of the borrowings. The accumulated amortization balances as of June 30, 2017 and December 31, 2016 were $4.7 million and $4.4 million, respectively. The amortization expense for the three months ended June 30, 2017 and 2016 was $0.1 million and $0.2 million, respectively. The amortization expense for each of the six months ended June 30, 2017 and 2016 was $0.3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of the Financial Accounting Standards Board’s, Accounting Standards Codification, as amended (“ASC”), permanent tax differences, such as non-deductible excise taxes paid, are reclassified from distributions in excess of net investment income and net realized loss on investments to paid-in-capital at the end of each year. These permanent book-to-tax differences are reclassified on the consolidated statements of changes in net assets to reflect their tax character but have no impact on total net assets. For the year ended December 31, 2016, the Company reclassified $0.1 million to paid-in capital from distributions in excess of net investment income, which related to excise taxes refunded in 2016.</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six months ended June 30, 2017 and 2016, there was no U.S. federal excise tax accrual recorded.</w:t>
      </w:r>
    </w:p>
    <w:p>
      <w:pPr>
        <w:spacing w:after="0" w:line="1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June 30, 2017 and December 31, 2016. The Company’s income tax returns for the 2015, 2014 and 2013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Distributions to common stockholders are recorded on the declaration date. The amount to be paid out as distributions is determined by the Board. Net realized capital gains, if any, are distributed at least annually, although the Company may decide to retain such net realized gains for investment.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April 27, 2017,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2018 or the repurchase of $5.0 million of the Company’s common stock. During the three and six months ended June 30, 2017 and 2016, the Company did not complete any repurchases of its common stock. From the inception of the stock repurchase program through June 30, 2017, the Company repurchased 161,542 shares of its common stock at an average price of $11.27 on the open market at a total cost of $1.8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accounting sale treatment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Investment Management Agreement was reapproved by the Board on July 28, 2017.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U.S. Securities and Exchange Commission. The Advisor receives fees for providing services to the Company under the Investment Management Agreement, consisting of two components, a base management fee and an incentive fee.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base management fee under the Investment Management Agreement is calculated at an annual rate of 2.00% of (i) the Company’s gross assets, less</w:t>
      </w:r>
    </w:p>
    <w:p>
      <w:pPr>
        <w:spacing w:after="0" w:line="46" w:lineRule="exact"/>
        <w:rPr>
          <w:sz w:val="20"/>
          <w:szCs w:val="20"/>
          <w:color w:val="auto"/>
        </w:rPr>
      </w:pPr>
    </w:p>
    <w:p>
      <w:pPr>
        <w:ind w:firstLine="8"/>
        <w:spacing w:after="0" w:line="261" w:lineRule="auto"/>
        <w:tabs>
          <w:tab w:leader="none" w:pos="276"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assets consisting of cash and cash equivalents, and is payable monthly in arrears. For purposes of calculating the base management fee, the term “gross assets” includes any assets acquired with the proceeds of leverage.</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base management fee payable at June 30, 2017 and December 31, 2016 was $0.3 million. The base management fee expense was $0.9 million and $1.2 million, respectively, for the three months ended June 30, 2017 and 2016. The base management fee expense was $1.9 million and $2.5 million, respectively, for the six months ended June 30, 2017 and 2016.</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left="420" w:firstLine="405"/>
        <w:spacing w:after="0" w:line="285"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400"/>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67" w:lineRule="exact"/>
        <w:rPr>
          <w:sz w:val="20"/>
          <w:szCs w:val="20"/>
          <w:color w:val="auto"/>
        </w:rPr>
      </w:pPr>
    </w:p>
    <w:p>
      <w:pPr>
        <w:jc w:val="both"/>
        <w:ind w:firstLine="373"/>
        <w:spacing w:after="0" w:line="267" w:lineRule="auto"/>
        <w:rPr>
          <w:sz w:val="20"/>
          <w:szCs w:val="20"/>
          <w:color w:val="auto"/>
        </w:rPr>
      </w:pPr>
      <w:r>
        <w:rPr>
          <w:rFonts w:ascii="Arial" w:cs="Arial" w:eastAsia="Arial" w:hAnsi="Arial"/>
          <w:sz w:val="17"/>
          <w:szCs w:val="17"/>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increases by one quarter in length at the end of each calendar quarter until June 30, 2017, after which time, the Incentive Fee Look-back Period will include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93"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38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performance based incentive fee expense was $0.4 million and $1.0 million for the three months ended June 30, 2017 and 2016, respectively. The incentive fee on Pre-Incentive Fee Net Investment Income was subject to the Incentive Fee Cap and Deferral Mechanism for the three months ended June 30, 2017, which resulted in $0.2 million of reduced expense and additional net investment income. The performance based incentive fee expense was subject to the Incentive Fee Cap and Deferral Mechanism for the three months ended June 30, 2016, which resulted in $0.1 million of reduced expense and additional net investment income. The performance based incentive fee expense was $0.8 million and $2.1 million for the six months ended June 30, 2017 and 2016, respectively. The incentive fee on Pre-Incentive Fee Net Investment Income was subject to the Incentive Fee Cap and Deferral Mechanism for the six months ended June 30, 2017, which resulted in $0.6 million of reduced expense and additional net investment income. The performance based incentive fee payable as of June 30, 2017 was $0.4 million. The entire incentive fee payable as of June 30, 2017 was composed of the incentive fee based on Pre-Incentive Fee Net Investment Income. There was no performance based incentive fee payable as of December 31, 2016.</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and $0.3 million for the three months ended June 30, 2017 and 2016, respectively. The administrative fee expense was $0.4 million and $0.6 million for the six months ended June 30, 2017 and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investments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December 31, 2016</w:t>
            </w:r>
          </w:p>
        </w:tc>
      </w:tr>
      <w:tr>
        <w:trPr>
          <w:trHeight w:val="223"/>
        </w:trPr>
        <w:tc>
          <w:tcPr>
            <w:tcW w:w="5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Non-affiliate investments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173,579</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164,895</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201,216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186,186</w:t>
            </w:r>
          </w:p>
        </w:tc>
      </w:tr>
      <w:tr>
        <w:trPr>
          <w:trHeight w:val="216"/>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r>
      <w:tr>
        <w:trPr>
          <w:trHeight w:val="216"/>
        </w:trPr>
        <w:tc>
          <w:tcPr>
            <w:tcW w:w="5620" w:type="dxa"/>
            <w:vAlign w:val="bottom"/>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30"/>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non-affiliate investments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44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44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60" w:type="dxa"/>
            <w:vAlign w:val="bottom"/>
            <w:gridSpan w:val="13"/>
          </w:tcPr>
          <w:p>
            <w:pPr>
              <w:ind w:left="400"/>
              <w:spacing w:after="0"/>
              <w:rPr>
                <w:sz w:val="20"/>
                <w:szCs w:val="20"/>
                <w:color w:val="auto"/>
              </w:rPr>
            </w:pPr>
            <w:r>
              <w:rPr>
                <w:rFonts w:ascii="Arial" w:cs="Arial" w:eastAsia="Arial" w:hAnsi="Arial"/>
                <w:sz w:val="18"/>
                <w:szCs w:val="18"/>
                <w:color w:val="auto"/>
                <w:w w:val="92"/>
              </w:rPr>
              <w:t>The following table shows the Company’s non-affiliate investments by industry sector as of June 30, 2017 and December 31, 2016: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ind w:left="60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7"/>
          </w:tcPr>
          <w:p>
            <w:pPr>
              <w:ind w:left="180"/>
              <w:spacing w:after="0"/>
              <w:rPr>
                <w:sz w:val="20"/>
                <w:szCs w:val="20"/>
                <w:color w:val="auto"/>
              </w:rPr>
            </w:pPr>
            <w:r>
              <w:rPr>
                <w:rFonts w:ascii="Arial" w:cs="Arial" w:eastAsia="Arial" w:hAnsi="Arial"/>
                <w:sz w:val="18"/>
                <w:szCs w:val="18"/>
                <w:b w:val="1"/>
                <w:bCs w:val="1"/>
                <w:color w:val="auto"/>
              </w:rPr>
              <w:t>December 31, 2016</w:t>
            </w:r>
          </w:p>
        </w:tc>
      </w:tr>
      <w:tr>
        <w:trPr>
          <w:trHeight w:val="223"/>
        </w:trPr>
        <w:tc>
          <w:tcPr>
            <w:tcW w:w="30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gridSpan w:val="2"/>
          </w:tcPr>
          <w:p>
            <w:pPr>
              <w:spacing w:after="0"/>
              <w:rPr>
                <w:sz w:val="19"/>
                <w:szCs w:val="19"/>
                <w:color w:val="auto"/>
              </w:rPr>
            </w:pPr>
          </w:p>
        </w:tc>
      </w:tr>
      <w:tr>
        <w:trPr>
          <w:trHeight w:val="210"/>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28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34,052</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46,703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41,578</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Medical Device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13,736</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Technology</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Consumer-Related</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21,055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22,121</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Storage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Internet and Media</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31,724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7,933</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10,222</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Networking</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12,076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8,311</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55,362</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Cleantech</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Alternative Energy</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Energy Efficiency</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Waste Recycling</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6,003</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Diagnostics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4,405</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5,939</w:t>
            </w:r>
          </w:p>
        </w:tc>
        <w:tc>
          <w:tcPr>
            <w:tcW w:w="80" w:type="dxa"/>
            <w:vAlign w:val="bottom"/>
          </w:tcPr>
          <w:p>
            <w:pPr>
              <w:spacing w:after="0"/>
              <w:rPr>
                <w:sz w:val="18"/>
                <w:szCs w:val="18"/>
                <w:color w:val="auto"/>
              </w:rPr>
            </w:pPr>
          </w:p>
        </w:tc>
      </w:tr>
      <w:tr>
        <w:trPr>
          <w:trHeight w:val="230"/>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10,385</w:t>
            </w:r>
          </w:p>
        </w:tc>
        <w:tc>
          <w:tcPr>
            <w:tcW w:w="80" w:type="dxa"/>
            <w:vAlign w:val="bottom"/>
            <w:shd w:val="clear" w:color="auto" w:fill="CCEEFF"/>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Total non-affiliate investments</w:t>
            </w:r>
          </w:p>
        </w:tc>
        <w:tc>
          <w:tcPr>
            <w:tcW w:w="25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and liabilities.</w:t>
      </w:r>
    </w:p>
    <w:p>
      <w:pPr>
        <w:spacing w:after="0" w:line="225" w:lineRule="exact"/>
        <w:rPr>
          <w:sz w:val="20"/>
          <w:szCs w:val="20"/>
          <w:color w:val="auto"/>
        </w:rPr>
      </w:pPr>
    </w:p>
    <w:p>
      <w:pPr>
        <w:jc w:val="both"/>
        <w:ind w:left="1060" w:hanging="647"/>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 markets, quoted prices in markets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active, and model-based valuation techniques for which all significant inputs are observable or can be corroborated by observable market data for substantially the full term of the assets or liabilities.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both"/>
        <w:ind w:left="1060" w:hanging="647"/>
        <w:spacing w:after="0" w:line="314"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Unobservable inputs that are supported by little or no market activity and that are significant to the fair value of the assets or liabilities. Level 3</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carrying amounts are valued at their net asset value as of the close of business on the day of valuation.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are recorded at fair value on a recurring basis and are categorized as Level 2 within the fair value hierarchy described above as these funds can be redeemed daily.</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period end rates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debt investments would be made to borrowers with similar credit ratings and for the same remaining maturities. At June 30, 2017 and December 31, 2016, the hypothetical market yields used ranged from 11% to 25%.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37" w:lineRule="exact"/>
        <w:rPr>
          <w:sz w:val="20"/>
          <w:szCs w:val="20"/>
          <w:color w:val="auto"/>
        </w:rPr>
      </w:pPr>
    </w:p>
    <w:p>
      <w:pPr>
        <w:ind w:left="560" w:hanging="187"/>
        <w:spacing w:after="0" w:line="342"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23" w:lineRule="exact"/>
        <w:rPr>
          <w:rFonts w:ascii="Arial" w:cs="Arial" w:eastAsia="Arial" w:hAnsi="Arial"/>
          <w:sz w:val="16"/>
          <w:szCs w:val="16"/>
          <w:color w:val="auto"/>
        </w:rPr>
      </w:pPr>
    </w:p>
    <w:p>
      <w:pPr>
        <w:jc w:val="both"/>
        <w:ind w:left="560" w:hanging="187"/>
        <w:spacing w:after="0" w:line="264"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560" w:hanging="187"/>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560" w:hanging="187"/>
        <w:spacing w:after="0" w:line="25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tables provide a summary of quantitative information about the Company’s Level 3 fair value measurements of its investments as of June 30, 2017 and December 31, 2016. In addition to the techniques and inputs noted in the table below, according to the Company’s valuation policy, the Company may also use other valuation techniques and methodologies when determining its fair value measurements.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June 30,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Fair</w:t>
            </w:r>
          </w:p>
        </w:tc>
        <w:tc>
          <w:tcPr>
            <w:tcW w:w="2560" w:type="dxa"/>
            <w:vAlign w:val="bottom"/>
            <w:tcBorders>
              <w:top w:val="single" w:sz="8" w:color="auto"/>
            </w:tcBorders>
          </w:tcPr>
          <w:p>
            <w:pPr>
              <w:ind w:left="540"/>
              <w:spacing w:after="0" w:line="205" w:lineRule="exact"/>
              <w:rPr>
                <w:sz w:val="20"/>
                <w:szCs w:val="20"/>
                <w:color w:val="auto"/>
              </w:rPr>
            </w:pPr>
            <w:r>
              <w:rPr>
                <w:rFonts w:ascii="Arial" w:cs="Arial" w:eastAsia="Arial" w:hAnsi="Arial"/>
                <w:sz w:val="18"/>
                <w:szCs w:val="18"/>
                <w:b w:val="1"/>
                <w:bCs w:val="1"/>
                <w:color w:val="auto"/>
              </w:rPr>
              <w:t>Valuation Techniques/</w:t>
            </w:r>
          </w:p>
        </w:tc>
        <w:tc>
          <w:tcPr>
            <w:tcW w:w="2740" w:type="dxa"/>
            <w:vAlign w:val="bottom"/>
            <w:tcBorders>
              <w:top w:val="single" w:sz="8" w:color="auto"/>
            </w:tcBorders>
          </w:tcPr>
          <w:p>
            <w:pPr>
              <w:ind w:left="1020"/>
              <w:spacing w:after="0" w:line="205" w:lineRule="exact"/>
              <w:rPr>
                <w:sz w:val="20"/>
                <w:szCs w:val="20"/>
                <w:color w:val="auto"/>
              </w:rPr>
            </w:pPr>
            <w:r>
              <w:rPr>
                <w:rFonts w:ascii="Arial" w:cs="Arial" w:eastAsia="Arial" w:hAnsi="Arial"/>
                <w:sz w:val="18"/>
                <w:szCs w:val="18"/>
                <w:b w:val="1"/>
                <w:bCs w:val="1"/>
                <w:color w:val="auto"/>
              </w:rPr>
              <w:t>Unobservable</w:t>
            </w:r>
          </w:p>
        </w:tc>
        <w:tc>
          <w:tcPr>
            <w:tcW w:w="20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Investment Type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560" w:type="dxa"/>
            <w:vAlign w:val="bottom"/>
          </w:tcPr>
          <w:p>
            <w:pPr>
              <w:ind w:left="820"/>
              <w:spacing w:after="0"/>
              <w:rPr>
                <w:sz w:val="20"/>
                <w:szCs w:val="20"/>
                <w:color w:val="auto"/>
              </w:rPr>
            </w:pPr>
            <w:r>
              <w:rPr>
                <w:rFonts w:ascii="Arial" w:cs="Arial" w:eastAsia="Arial" w:hAnsi="Arial"/>
                <w:sz w:val="18"/>
                <w:szCs w:val="18"/>
                <w:b w:val="1"/>
                <w:bCs w:val="1"/>
                <w:color w:val="auto"/>
              </w:rPr>
              <w:t>Methodologies</w:t>
            </w: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Input</w:t>
            </w:r>
          </w:p>
        </w:tc>
        <w:tc>
          <w:tcPr>
            <w:tcW w:w="202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Range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300" w:type="dxa"/>
            <w:vAlign w:val="bottom"/>
            <w:tcBorders>
              <w:top w:val="single" w:sz="8" w:color="auto"/>
            </w:tcBorders>
            <w:gridSpan w:val="2"/>
          </w:tcPr>
          <w:p>
            <w:pPr>
              <w:ind w:left="1120"/>
              <w:spacing w:after="0"/>
              <w:rPr>
                <w:sz w:val="20"/>
                <w:szCs w:val="20"/>
                <w:color w:val="auto"/>
              </w:rPr>
            </w:pPr>
            <w:r>
              <w:rPr>
                <w:rFonts w:ascii="Arial" w:cs="Arial" w:eastAsia="Arial" w:hAnsi="Arial"/>
                <w:sz w:val="18"/>
                <w:szCs w:val="18"/>
                <w:b w:val="1"/>
                <w:bCs w:val="1"/>
                <w:color w:val="auto"/>
              </w:rPr>
              <w:t>(Dollars in thousands, except per share data)</w:t>
            </w:r>
          </w:p>
        </w:tc>
        <w:tc>
          <w:tcPr>
            <w:tcW w:w="20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Discounted Expected Future</w:t>
            </w:r>
          </w:p>
        </w:tc>
        <w:tc>
          <w:tcPr>
            <w:tcW w:w="2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157,295</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Flows</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Hypothetical Market Yield</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11% – 25%</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Scenario</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Probability Weighting</w:t>
            </w:r>
          </w:p>
        </w:tc>
        <w:tc>
          <w:tcPr>
            <w:tcW w:w="2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10% – 50%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Black-Scholes Valuation</w:t>
            </w:r>
          </w:p>
        </w:tc>
        <w:tc>
          <w:tcPr>
            <w:tcW w:w="27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Price Per Share</w:t>
            </w:r>
          </w:p>
        </w:tc>
        <w:tc>
          <w:tcPr>
            <w:tcW w:w="2020" w:type="dxa"/>
            <w:vAlign w:val="bottom"/>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89"/>
              </w:rPr>
              <w:t>$0.00 – $63.98</w:t>
            </w:r>
          </w:p>
        </w:tc>
        <w:tc>
          <w:tcPr>
            <w:tcW w:w="122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Model</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Average Industry Volatility</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4"/>
              </w:rPr>
              <w:t>21%</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Marketability Discount</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4"/>
              </w:rPr>
              <w:t>20%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Estimated Time to Exit</w:t>
            </w:r>
          </w:p>
        </w:tc>
        <w:tc>
          <w:tcPr>
            <w:tcW w:w="2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1 to 5 years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Multiple Probability Weighted</w:t>
            </w:r>
          </w:p>
        </w:tc>
        <w:tc>
          <w:tcPr>
            <w:tcW w:w="27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Rate</w:t>
            </w:r>
          </w:p>
        </w:tc>
        <w:tc>
          <w:tcPr>
            <w:tcW w:w="2020" w:type="dxa"/>
            <w:vAlign w:val="bottom"/>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91"/>
              </w:rPr>
              <w:t>18% – 25%</w:t>
            </w:r>
          </w:p>
        </w:tc>
        <w:tc>
          <w:tcPr>
            <w:tcW w:w="1220" w:type="dxa"/>
            <w:vAlign w:val="bottom"/>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Flow Model</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Probability Weighting</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25% – 100%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Last Equity Financing</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Price Per Share</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$0.00 – $1.00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$0.40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line="182" w:lineRule="exact"/>
              <w:rPr>
                <w:sz w:val="20"/>
                <w:szCs w:val="20"/>
                <w:color w:val="auto"/>
              </w:rPr>
            </w:pPr>
            <w:r>
              <w:rPr>
                <w:rFonts w:ascii="Arial" w:cs="Arial" w:eastAsia="Arial" w:hAnsi="Arial"/>
                <w:sz w:val="18"/>
                <w:szCs w:val="18"/>
                <w:color w:val="auto"/>
              </w:rPr>
              <w:t>Total Level 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177,110</w:t>
            </w:r>
          </w:p>
        </w:tc>
        <w:tc>
          <w:tcPr>
            <w:tcW w:w="25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Fair</w:t>
            </w:r>
          </w:p>
        </w:tc>
        <w:tc>
          <w:tcPr>
            <w:tcW w:w="2560" w:type="dxa"/>
            <w:vAlign w:val="bottom"/>
            <w:tcBorders>
              <w:top w:val="single" w:sz="8" w:color="auto"/>
            </w:tcBorders>
          </w:tcPr>
          <w:p>
            <w:pPr>
              <w:ind w:left="540"/>
              <w:spacing w:after="0" w:line="205" w:lineRule="exact"/>
              <w:rPr>
                <w:sz w:val="20"/>
                <w:szCs w:val="20"/>
                <w:color w:val="auto"/>
              </w:rPr>
            </w:pPr>
            <w:r>
              <w:rPr>
                <w:rFonts w:ascii="Arial" w:cs="Arial" w:eastAsia="Arial" w:hAnsi="Arial"/>
                <w:sz w:val="18"/>
                <w:szCs w:val="18"/>
                <w:b w:val="1"/>
                <w:bCs w:val="1"/>
                <w:color w:val="auto"/>
              </w:rPr>
              <w:t>Valuation Techniques/</w:t>
            </w:r>
          </w:p>
        </w:tc>
        <w:tc>
          <w:tcPr>
            <w:tcW w:w="2740" w:type="dxa"/>
            <w:vAlign w:val="bottom"/>
            <w:tcBorders>
              <w:top w:val="single" w:sz="8" w:color="auto"/>
            </w:tcBorders>
          </w:tcPr>
          <w:p>
            <w:pPr>
              <w:ind w:left="1020"/>
              <w:spacing w:after="0" w:line="205" w:lineRule="exact"/>
              <w:rPr>
                <w:sz w:val="20"/>
                <w:szCs w:val="20"/>
                <w:color w:val="auto"/>
              </w:rPr>
            </w:pPr>
            <w:r>
              <w:rPr>
                <w:rFonts w:ascii="Arial" w:cs="Arial" w:eastAsia="Arial" w:hAnsi="Arial"/>
                <w:sz w:val="18"/>
                <w:szCs w:val="18"/>
                <w:b w:val="1"/>
                <w:bCs w:val="1"/>
                <w:color w:val="auto"/>
              </w:rPr>
              <w:t>Unobservable</w:t>
            </w:r>
          </w:p>
        </w:tc>
        <w:tc>
          <w:tcPr>
            <w:tcW w:w="20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Investment Type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560" w:type="dxa"/>
            <w:vAlign w:val="bottom"/>
          </w:tcPr>
          <w:p>
            <w:pPr>
              <w:ind w:left="820"/>
              <w:spacing w:after="0"/>
              <w:rPr>
                <w:sz w:val="20"/>
                <w:szCs w:val="20"/>
                <w:color w:val="auto"/>
              </w:rPr>
            </w:pPr>
            <w:r>
              <w:rPr>
                <w:rFonts w:ascii="Arial" w:cs="Arial" w:eastAsia="Arial" w:hAnsi="Arial"/>
                <w:sz w:val="18"/>
                <w:szCs w:val="18"/>
                <w:b w:val="1"/>
                <w:bCs w:val="1"/>
                <w:color w:val="auto"/>
              </w:rPr>
              <w:t>Methodologies</w:t>
            </w: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Input</w:t>
            </w:r>
          </w:p>
        </w:tc>
        <w:tc>
          <w:tcPr>
            <w:tcW w:w="202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Range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300" w:type="dxa"/>
            <w:vAlign w:val="bottom"/>
            <w:tcBorders>
              <w:top w:val="single" w:sz="8" w:color="auto"/>
            </w:tcBorders>
            <w:gridSpan w:val="2"/>
          </w:tcPr>
          <w:p>
            <w:pPr>
              <w:ind w:left="1120"/>
              <w:spacing w:after="0"/>
              <w:rPr>
                <w:sz w:val="20"/>
                <w:szCs w:val="20"/>
                <w:color w:val="auto"/>
              </w:rPr>
            </w:pPr>
            <w:r>
              <w:rPr>
                <w:rFonts w:ascii="Arial" w:cs="Arial" w:eastAsia="Arial" w:hAnsi="Arial"/>
                <w:sz w:val="18"/>
                <w:szCs w:val="18"/>
                <w:b w:val="1"/>
                <w:bCs w:val="1"/>
                <w:color w:val="auto"/>
              </w:rPr>
              <w:t>(Dollars in thousands, except per share data)</w:t>
            </w:r>
          </w:p>
        </w:tc>
        <w:tc>
          <w:tcPr>
            <w:tcW w:w="20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Discounted Expected Future</w:t>
            </w:r>
          </w:p>
        </w:tc>
        <w:tc>
          <w:tcPr>
            <w:tcW w:w="2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174,686</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Flows</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Hypothetical Market Yield</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11% – 25%</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Scenario</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Probability Weighting</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25% – 100%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Black-Scholes Valuation</w:t>
            </w:r>
          </w:p>
        </w:tc>
        <w:tc>
          <w:tcPr>
            <w:tcW w:w="27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Price Per Share</w:t>
            </w:r>
          </w:p>
        </w:tc>
        <w:tc>
          <w:tcPr>
            <w:tcW w:w="2020" w:type="dxa"/>
            <w:vAlign w:val="bottom"/>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89"/>
              </w:rPr>
              <w:t>$0.00 – $63.98</w:t>
            </w:r>
          </w:p>
        </w:tc>
        <w:tc>
          <w:tcPr>
            <w:tcW w:w="122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Model</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Average Industry Volatility</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4"/>
              </w:rPr>
              <w:t>21%</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Marketability Discount</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4"/>
              </w:rPr>
              <w:t>20%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Estimated Time to Exit</w:t>
            </w:r>
          </w:p>
        </w:tc>
        <w:tc>
          <w:tcPr>
            <w:tcW w:w="2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1 to 5 years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Expected Settlement</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Price Per Share</w:t>
            </w:r>
          </w:p>
        </w:tc>
        <w:tc>
          <w:tcPr>
            <w:tcW w:w="20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$1.78</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Multiple Probability Weighted</w:t>
            </w:r>
          </w:p>
        </w:tc>
        <w:tc>
          <w:tcPr>
            <w:tcW w:w="27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Rate</w:t>
            </w:r>
          </w:p>
        </w:tc>
        <w:tc>
          <w:tcPr>
            <w:tcW w:w="2020" w:type="dxa"/>
            <w:vAlign w:val="bottom"/>
            <w:shd w:val="clear" w:color="auto" w:fill="CCEEFF"/>
          </w:tcPr>
          <w:p>
            <w:pPr>
              <w:jc w:val="right"/>
              <w:ind w:right="590"/>
              <w:spacing w:after="0" w:line="201" w:lineRule="exact"/>
              <w:rPr>
                <w:sz w:val="20"/>
                <w:szCs w:val="20"/>
                <w:color w:val="auto"/>
              </w:rPr>
            </w:pPr>
            <w:r>
              <w:rPr>
                <w:rFonts w:ascii="Arial" w:cs="Arial" w:eastAsia="Arial" w:hAnsi="Arial"/>
                <w:sz w:val="18"/>
                <w:szCs w:val="18"/>
                <w:color w:val="auto"/>
              </w:rPr>
              <w:t>25%</w:t>
            </w:r>
          </w:p>
        </w:tc>
        <w:tc>
          <w:tcPr>
            <w:tcW w:w="1220" w:type="dxa"/>
            <w:vAlign w:val="bottom"/>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Flow Model</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Probability Weighting</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25% – 100%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Last Equity Financing</w:t>
            </w:r>
          </w:p>
        </w:tc>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Price Per Share</w:t>
            </w:r>
          </w:p>
        </w:tc>
        <w:tc>
          <w:tcPr>
            <w:tcW w:w="20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8"/>
              </w:rPr>
              <w:t>$0.04 – $1.00</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$0.34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line="182" w:lineRule="exact"/>
              <w:rPr>
                <w:sz w:val="20"/>
                <w:szCs w:val="20"/>
                <w:color w:val="auto"/>
              </w:rPr>
            </w:pPr>
            <w:r>
              <w:rPr>
                <w:rFonts w:ascii="Arial" w:cs="Arial" w:eastAsia="Arial" w:hAnsi="Arial"/>
                <w:sz w:val="18"/>
                <w:szCs w:val="18"/>
                <w:color w:val="auto"/>
              </w:rPr>
              <w:t>Total Level 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192,911</w:t>
            </w:r>
          </w:p>
        </w:tc>
        <w:tc>
          <w:tcPr>
            <w:tcW w:w="25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carrying amount of borrowings under the Company’s revolving credit facility (the “Key Facility”) with KeyBank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 rate 2019 Notes (as defined in Note 6) is based on the closing public share price on the date of measurement. On June 30, 2017, the closing price of the 2019 Notes on the New York Stock Exchange was $25.64 per note, or $33.8 million. Therefore, the Company has categorized this borrowing as Level 1 within the fair value hierarchy described above.</w:t>
      </w:r>
    </w:p>
    <w:p>
      <w:pPr>
        <w:spacing w:after="0" w:line="19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53"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June 30, 2017 and December 31, 2016 and indicate the fair value hierarchy of the valuation techniques utilized by the Company to determine the fair value:</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88"/>
              </w:rPr>
              <w:t>June 30, 2017</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164,895</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Warrant investments</w:t>
            </w:r>
          </w:p>
        </w:tc>
        <w:tc>
          <w:tcPr>
            <w:tcW w:w="18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7,341</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1,234</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Other investments</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8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948</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740</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jc w:val="right"/>
              <w:ind w:right="341"/>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Warrant investments</w:t>
            </w:r>
          </w:p>
        </w:tc>
        <w:tc>
          <w:tcPr>
            <w:tcW w:w="18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6,362</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505</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Other investments</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8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w:t>
            </w:r>
          </w:p>
        </w:tc>
        <w:tc>
          <w:tcPr>
            <w:tcW w:w="200" w:type="dxa"/>
            <w:vAlign w:val="bottom"/>
            <w:vMerge w:val="continue"/>
          </w:tcPr>
          <w:p>
            <w:pPr>
              <w:spacing w:after="0"/>
              <w:rPr>
                <w:sz w:val="17"/>
                <w:szCs w:val="17"/>
                <w:color w:val="auto"/>
              </w:rPr>
            </w:pPr>
          </w:p>
        </w:tc>
        <w:tc>
          <w:tcPr>
            <w:tcW w:w="840" w:type="dxa"/>
            <w:vAlign w:val="bottom"/>
            <w:tcBorders>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2017:</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8"/>
                <w:szCs w:val="18"/>
                <w:b w:val="1"/>
                <w:bCs w:val="1"/>
                <w:color w:val="auto"/>
              </w:rPr>
              <w:t>Three Months Ended June 30, 2017</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1"/>
              </w:rPr>
              <w:t>(In thousands)</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Warrants and equity received and classified as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(20,693)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(20,749)</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(depreciation) appreciation included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earnings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(2,541)</w:t>
            </w: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June 30, 2017, there were no transfers between levels.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2016:</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8"/>
                <w:szCs w:val="18"/>
                <w:b w:val="1"/>
                <w:bCs w:val="1"/>
                <w:color w:val="auto"/>
              </w:rPr>
              <w:t>Three Months Ended June 30, 2016</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238,426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15,187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Warrants and equity received and classified as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9"/>
              </w:rPr>
              <w:t>Principal payments received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(22,432)</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(870)</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depreciation included in earnings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(3,560)</w:t>
            </w: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June 30, 2016, there were no transfers between levels.</w:t>
      </w:r>
    </w:p>
    <w:p>
      <w:pPr>
        <w:spacing w:after="0" w:line="17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2017:</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10"/>
          </w:tcPr>
          <w:p>
            <w:pPr>
              <w:jc w:val="right"/>
              <w:ind w:right="860"/>
              <w:spacing w:after="0"/>
              <w:rPr>
                <w:sz w:val="20"/>
                <w:szCs w:val="20"/>
                <w:color w:val="auto"/>
              </w:rPr>
            </w:pPr>
            <w:r>
              <w:rPr>
                <w:rFonts w:ascii="Arial" w:cs="Arial" w:eastAsia="Arial" w:hAnsi="Arial"/>
                <w:sz w:val="18"/>
                <w:szCs w:val="18"/>
                <w:b w:val="1"/>
                <w:bCs w:val="1"/>
                <w:color w:val="auto"/>
              </w:rPr>
              <w:t>Six Months Ended June 30, 2017</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1"/>
              </w:rPr>
              <w:t>(In thousands)</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47,990</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Warrants and equity received and classified as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(60,183)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(60,260)</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(10,102)</w:t>
            </w: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appreciation (depreciation) included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earnings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Transfer from debt investments to 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six months ended June 30, 2017,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June 30, 2017 includes $2.6 million in unrealized depreciation on debt and other investments, $0.4 million in unrealized depreciation on warrant investments and $0.01 million in unrealized appreciation on equity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2016:</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10"/>
          </w:tcPr>
          <w:p>
            <w:pPr>
              <w:jc w:val="right"/>
              <w:ind w:right="860"/>
              <w:spacing w:after="0"/>
              <w:rPr>
                <w:sz w:val="20"/>
                <w:szCs w:val="20"/>
                <w:color w:val="auto"/>
              </w:rPr>
            </w:pPr>
            <w:r>
              <w:rPr>
                <w:rFonts w:ascii="Arial" w:cs="Arial" w:eastAsia="Arial" w:hAnsi="Arial"/>
                <w:sz w:val="18"/>
                <w:szCs w:val="18"/>
                <w:b w:val="1"/>
                <w:bCs w:val="1"/>
                <w:color w:val="auto"/>
              </w:rPr>
              <w:t>Six Months Ended June 30, 2016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1"/>
              </w:rPr>
              <w:t>(In thousands)</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31,687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Warrants and equity received and classified as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Level 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(40,515)</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(2,788)</w:t>
            </w: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(depreciation) appreciation included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earnings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(3,666)</w:t>
            </w:r>
          </w:p>
        </w:tc>
      </w:tr>
      <w:tr>
        <w:trPr>
          <w:trHeight w:val="202"/>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Transfer from debt investments to 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232,638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six months ended June 30, 2016,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June 30, 2016 includes $5.2 million in unrealized depreciation on debt and other investments, $0.6 million in unrealized depreciation on warrant investments and $0.1 million in unrealized appreciation on equity investments.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amounts for 2017 and 2016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2017 and December 31, 2016, the recorded balances equaled fair values of all the Company’s financial instruments, except for the Company’s 2019 Notes, as previously described.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Off-balance-sheet instruments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borrowings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5"/>
              </w:rPr>
              <w:t>June 30, 2017</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b w:val="1"/>
                <w:bCs w:val="1"/>
                <w:color w:val="auto"/>
                <w:w w:val="96"/>
              </w:rPr>
              <w:t>December 31, 2016</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2"/>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6"/>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2"/>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8"/>
              </w:rPr>
              <w:t>Commitment</w:t>
            </w:r>
          </w:p>
        </w:tc>
        <w:tc>
          <w:tcPr>
            <w:tcW w:w="12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Commitment</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2019 Notes</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780" w:type="dxa"/>
            <w:vAlign w:val="bottom"/>
          </w:tcPr>
          <w:p>
            <w:pPr>
              <w:spacing w:after="0" w:line="182" w:lineRule="exact"/>
              <w:rPr>
                <w:sz w:val="20"/>
                <w:szCs w:val="20"/>
                <w:color w:val="auto"/>
              </w:rPr>
            </w:pPr>
            <w:r>
              <w:rPr>
                <w:rFonts w:ascii="Arial" w:cs="Arial" w:eastAsia="Arial" w:hAnsi="Arial"/>
                <w:sz w:val="18"/>
                <w:szCs w:val="18"/>
                <w:color w:val="auto"/>
                <w:w w:val="99"/>
              </w:rPr>
              <w:t>Unamortized debt issuance costs attributable to</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780" w:type="dxa"/>
            <w:vAlign w:val="bottom"/>
          </w:tcPr>
          <w:p>
            <w:pPr>
              <w:spacing w:after="0"/>
              <w:rPr>
                <w:sz w:val="20"/>
                <w:szCs w:val="20"/>
                <w:color w:val="auto"/>
              </w:rPr>
            </w:pPr>
            <w:r>
              <w:rPr>
                <w:rFonts w:ascii="Arial" w:cs="Arial" w:eastAsia="Arial" w:hAnsi="Arial"/>
                <w:sz w:val="18"/>
                <w:szCs w:val="18"/>
                <w:color w:val="auto"/>
              </w:rPr>
              <w:t>term borrowings</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In accordance with the 1940 Act, with certain limited exceptions, the Company is only allowed to borrow amounts such that the Company’s asset coverage, as defined in the 1940 Act, is at least 200% after such borrowings. As of June 30, 2017, the asset coverage for borrowed amounts was 344%.</w:t>
      </w:r>
    </w:p>
    <w:p>
      <w:pPr>
        <w:spacing w:after="0" w:line="12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entered into the Key Facility with Key effective November 4, 2013. The Key Facility has an accordion feature which allows for an increase in the total loan commitment to $150 million from the current $95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three-year revolving period followed by a two-year amortization period and matures on August 12, 2020. The interest rate is based upon the one-month London Interbank Offered Rate (“LIBOR”), plus a spread of 3.25%, with a LIBOR floor of 0.75%. The LIBOR rate was 1.22% and 0.77% on June 30, 2017 and December 31, 2016, respectively. The average interest rate for the three months ended June 30, 2017 and 2016 was 4.26% and 4.00%, respectively. The average interest rate for the six months ended June 30, 2017 and 2016 was 4.14% and 4.00%, respectively. The Key Facility requires the payment of an unused line fee in an amount equal to 0.50% of any unborrowed amount available under the facility annually. As of June 30, 2017 and December 31, 2016, the Company had borrowing capacity of $72.0 million and $32.0 million, respectively. At June 30, 2017 and December 31, 2016, $37.4 million and $4.6 million, respectively, was available, subject to existing terms and advance rates.</w:t>
      </w:r>
    </w:p>
    <w:p>
      <w:pPr>
        <w:spacing w:after="0" w:line="18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March 23, 2012, the Company issued and sold an aggregate principal amount of $30 million of 7.375% senior unsecured notes due in 2019 and on April 18, 2012, pursuant to the underwriters’ 30 day option to purchase additional notes, the Company sold an additional $3 million of such notes (collectively, the “2019 Notes”). The 2019 Notes will mature on March 15, 2019 and may be redeemed in whole or in part at the Company’s option at any time or from time to time at a redemption price of $25 per security plus accrued and unpaid interest. The 2019 Notes bear interest at a rate of 7.375% per year payable quarterly on March 15, June 15, September 15 and December 15 of each year. The 2019 Notes are the Company’s direct unsecured obligations and (i) rank equally in right of payment with the Company’s future unsecured indebtedness; (ii) are senior in right of payment to any of the Company’s future indebtedness that expressly provides it is subordinated to the 2019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June 30, 2017, the Company was in material compliance with the terms of the 2019 Notes. The 2019 Notes are listed on the New York Stock Exchange under the symbol “HTF”.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28, 2013, the Company completed the 2013-1 Securitization. In connection with the 2013-1 Securitization, 2013-1 Trust, a wholly owned subsidiary of the Company, issued $90 million in the Asset-Backed Notes, which were rated A1(sf) by Moody’s Investors Service, Inc. The Asset-Backed Notes were issued by 2013-1 Trust and were backed by a pool of loans made to certain portfolio companies of the Company and secured by certain assets of such portfolio companies. The Asset-Backed Notes were secured obligations of 2013-1 Trust and non-recourse to the Company. In connection with the issuance and sale of the Asset-Backed Notes, the Company made customary representations, warranties and covenants. The Asset-Backed Notes bore interest at a fixed rate of 3.00% per annum and had a stated maturity of May 15, 2018. As of December 31, 2016, the Asset-Backed Notes were repaid in full.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 with off-balance-sheet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balance of unfunded commitments to extend credit was $30.0 million and $20.8 million as of June 30, 2017 and December 31, 2016,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the Company’s unfunded commitments by portfolio company as of June 30, 2017:</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Unfunded</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Balance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HealthEdge Software, Inc.</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Luxtera, Inc.</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PebblePost, Inc.</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Rocket Lawyer Incorporated</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Strongbridge U.S. Inc.</w:t>
            </w:r>
          </w:p>
        </w:tc>
        <w:tc>
          <w:tcPr>
            <w:tcW w:w="26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June 30, 2017 which totaled $0.3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8. Concentrations of credit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largest debt investments may vary from period to period as new debt investments are recorded and existing debt investments are repaid. The Company’s five largest debt investments, at cost, represented 29% and 24% of total debt investments outstanding as of June 30, 2017 and December 31, 2016, respectively. No single debt investment represented more than 10% of the total debt investments as of June 30, 2017 and December 31, 2016. Investment income, consisting of interest and fees, can fluctuate significantly upon repayment of large debt investments. Interest income from the five largest debt investments accounted for 28% and 17%, respectively, of total interest and fee income on investments for the three months ended June 30, 2017 and 2016. Interest income from the five largest debt investments accounted for 21% and 18%, respectively, of total interest and fee income on investments for the six months ended June 30, 2017 and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Distributions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six months ended June 30, 2017 and for the years ended December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3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DRIP</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850"/>
              <w:spacing w:after="0"/>
              <w:rPr>
                <w:sz w:val="20"/>
                <w:szCs w:val="20"/>
                <w:color w:val="auto"/>
              </w:rPr>
            </w:pPr>
            <w:r>
              <w:rPr>
                <w:rFonts w:ascii="Arial" w:cs="Arial" w:eastAsia="Arial" w:hAnsi="Arial"/>
                <w:sz w:val="18"/>
                <w:szCs w:val="18"/>
                <w:b w:val="1"/>
                <w:bCs w:val="1"/>
                <w:color w:val="auto"/>
              </w:rPr>
              <w:t>Date</w:t>
            </w: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Cash</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w:t>
            </w:r>
          </w:p>
        </w:tc>
        <w:tc>
          <w:tcPr>
            <w:tcW w:w="580" w:type="dxa"/>
            <w:vAlign w:val="bottom"/>
          </w:tcPr>
          <w:p>
            <w:pPr>
              <w:spacing w:after="0"/>
              <w:rPr>
                <w:sz w:val="18"/>
                <w:szCs w:val="18"/>
                <w:color w:val="auto"/>
              </w:rPr>
            </w:pPr>
          </w:p>
        </w:tc>
      </w:tr>
      <w:tr>
        <w:trPr>
          <w:trHeight w:val="234"/>
        </w:trPr>
        <w:tc>
          <w:tcPr>
            <w:tcW w:w="1980" w:type="dxa"/>
            <w:vAlign w:val="bottom"/>
          </w:tcPr>
          <w:p>
            <w:pPr>
              <w:jc w:val="right"/>
              <w:ind w:right="670"/>
              <w:spacing w:after="0"/>
              <w:rPr>
                <w:sz w:val="20"/>
                <w:szCs w:val="20"/>
                <w:color w:val="auto"/>
              </w:rPr>
            </w:pPr>
            <w:r>
              <w:rPr>
                <w:rFonts w:ascii="Arial" w:cs="Arial" w:eastAsia="Arial" w:hAnsi="Arial"/>
                <w:sz w:val="18"/>
                <w:szCs w:val="18"/>
                <w:b w:val="1"/>
                <w:bCs w:val="1"/>
                <w:color w:val="auto"/>
              </w:rPr>
              <w:t>Declared</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Record Date</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Payment Date</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Distribution</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3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580" w:type="dxa"/>
            <w:vAlign w:val="bottom"/>
          </w:tcPr>
          <w:p>
            <w:pPr>
              <w:spacing w:after="0"/>
              <w:rPr>
                <w:sz w:val="20"/>
                <w:szCs w:val="20"/>
                <w:color w:val="auto"/>
              </w:rPr>
            </w:pPr>
          </w:p>
        </w:tc>
      </w:tr>
      <w:tr>
        <w:trPr>
          <w:trHeight w:val="210"/>
        </w:trPr>
        <w:tc>
          <w:tcPr>
            <w:tcW w:w="19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0" w:type="dxa"/>
            <w:vAlign w:val="bottom"/>
            <w:tcBorders>
              <w:top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(In thousands, except share and per share data)</w:t>
            </w: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Six Months Ended June 30, 2017</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4/27/17</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8/18/17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9/15/17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4/27/17</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7/20/17</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8/15/17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4/27/17</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6/20/17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7/14/17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3/3/17</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5/19/17</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6/15/17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3/3/17</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4/21/17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5/16/17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r>
      <w:tr>
        <w:trPr>
          <w:trHeight w:val="230"/>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3/3/17</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3/20/17</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4/18/17</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r>
      <w:tr>
        <w:trPr>
          <w:trHeight w:val="263"/>
        </w:trPr>
        <w:tc>
          <w:tcPr>
            <w:tcW w:w="19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2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2"/>
                <w:szCs w:val="22"/>
                <w:color w:val="auto"/>
              </w:rPr>
            </w:pPr>
          </w:p>
        </w:tc>
        <w:tc>
          <w:tcPr>
            <w:tcW w:w="580" w:type="dxa"/>
            <w:vAlign w:val="bottom"/>
          </w:tcPr>
          <w:p>
            <w:pPr>
              <w:spacing w:after="0"/>
              <w:rPr>
                <w:sz w:val="22"/>
                <w:szCs w:val="22"/>
                <w:color w:val="auto"/>
              </w:rPr>
            </w:pPr>
          </w:p>
        </w:tc>
      </w:tr>
      <w:tr>
        <w:trPr>
          <w:trHeight w:val="197"/>
        </w:trPr>
        <w:tc>
          <w:tcPr>
            <w:tcW w:w="36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Year Ended December 31, 2016</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10/28/16</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2/22/17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3/15/17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1,665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10/28/16</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1/19/17</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10/28/16</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12/20/16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1/13/17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1,550</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7/29/16</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11/18/16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7/29/16</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10/20/16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11/15/16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1,896</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7/29/16</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9/20/16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4/28/16</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8/19/16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9/15/16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4/28/16</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7/20/16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4/28/16</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6/20/16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7/15/16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3/3/16</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5/19/16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3/3/16</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4/20/16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5/16/16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r>
      <w:tr>
        <w:trPr>
          <w:trHeight w:val="230"/>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3/3/16</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3/18/16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4/15/16</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r>
      <w:tr>
        <w:trPr>
          <w:trHeight w:val="263"/>
        </w:trPr>
        <w:tc>
          <w:tcPr>
            <w:tcW w:w="19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22,751</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2"/>
                <w:szCs w:val="22"/>
                <w:color w:val="auto"/>
              </w:rPr>
            </w:pPr>
          </w:p>
        </w:tc>
        <w:tc>
          <w:tcPr>
            <w:tcW w:w="580" w:type="dxa"/>
            <w:vAlign w:val="bottom"/>
          </w:tcPr>
          <w:p>
            <w:pPr>
              <w:spacing w:after="0"/>
              <w:rPr>
                <w:sz w:val="22"/>
                <w:szCs w:val="22"/>
                <w:color w:val="auto"/>
              </w:rPr>
            </w:pPr>
          </w:p>
        </w:tc>
      </w:tr>
      <w:tr>
        <w:trPr>
          <w:trHeight w:val="197"/>
        </w:trPr>
        <w:tc>
          <w:tcPr>
            <w:tcW w:w="36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Year Ended December 31, 2015</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10/30/15</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2/22/16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3/15/16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10/30/15</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1/21/16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10/30/15</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12/18/15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1/15/16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7/29/15</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11/19/15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7/29/15</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10/20/15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11/16/15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1,967</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7/29/15</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9/18/15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5/1/15</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8/19/15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9/15/15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2,577</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5/1/15</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7/20/15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5/1/15</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6/18/15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7/15/15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3/6/15</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5/20/15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6/15/15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r>
      <w:tr>
        <w:trPr>
          <w:trHeight w:val="216"/>
        </w:trPr>
        <w:tc>
          <w:tcPr>
            <w:tcW w:w="1980" w:type="dxa"/>
            <w:vAlign w:val="bottom"/>
          </w:tcPr>
          <w:p>
            <w:pPr>
              <w:jc w:val="right"/>
              <w:ind w:right="130"/>
              <w:spacing w:after="0"/>
              <w:rPr>
                <w:sz w:val="20"/>
                <w:szCs w:val="20"/>
                <w:color w:val="auto"/>
              </w:rPr>
            </w:pPr>
            <w:r>
              <w:rPr>
                <w:rFonts w:ascii="Arial" w:cs="Arial" w:eastAsia="Arial" w:hAnsi="Arial"/>
                <w:sz w:val="18"/>
                <w:szCs w:val="18"/>
                <w:color w:val="auto"/>
              </w:rPr>
              <w:t>3/6/15</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4/20/15</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5/15/15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r>
      <w:tr>
        <w:trPr>
          <w:trHeight w:val="230"/>
        </w:trPr>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3/6/15</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3/20/15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4/15/15</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r>
      <w:tr>
        <w:trPr>
          <w:trHeight w:val="223"/>
        </w:trPr>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23,355</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1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6940" w:type="dxa"/>
            <w:vAlign w:val="bottom"/>
            <w:gridSpan w:val="5"/>
          </w:tcPr>
          <w:p>
            <w:pPr>
              <w:jc w:val="center"/>
              <w:ind w:right="35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60" w:type="dxa"/>
            <w:vAlign w:val="bottom"/>
          </w:tcPr>
          <w:p>
            <w:pPr>
              <w:spacing w:after="0"/>
              <w:rPr>
                <w:sz w:val="24"/>
                <w:szCs w:val="24"/>
                <w:color w:val="auto"/>
              </w:rPr>
            </w:pPr>
          </w:p>
        </w:tc>
        <w:tc>
          <w:tcPr>
            <w:tcW w:w="6940" w:type="dxa"/>
            <w:vAlign w:val="bottom"/>
            <w:gridSpan w:val="5"/>
          </w:tcPr>
          <w:p>
            <w:pPr>
              <w:jc w:val="center"/>
              <w:ind w:right="35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400" w:type="dxa"/>
            <w:vAlign w:val="bottom"/>
            <w:gridSpan w:val="6"/>
          </w:tcPr>
          <w:p>
            <w:pPr>
              <w:ind w:left="420"/>
              <w:spacing w:after="0"/>
              <w:rPr>
                <w:sz w:val="20"/>
                <w:szCs w:val="20"/>
                <w:color w:val="auto"/>
              </w:rPr>
            </w:pPr>
            <w:r>
              <w:rPr>
                <w:rFonts w:ascii="Arial" w:cs="Arial" w:eastAsia="Arial" w:hAnsi="Arial"/>
                <w:sz w:val="18"/>
                <w:szCs w:val="18"/>
                <w:color w:val="auto"/>
              </w:rPr>
              <w:t>On July 28, 2017, the Board declared monthly distributions per share, payable as set forth in the following table: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460" w:type="dxa"/>
            <w:vAlign w:val="bottom"/>
          </w:tcPr>
          <w:p>
            <w:pPr>
              <w:spacing w:after="0"/>
              <w:rPr>
                <w:sz w:val="20"/>
                <w:szCs w:val="20"/>
                <w:color w:val="auto"/>
              </w:rPr>
            </w:pPr>
            <w:r>
              <w:rPr>
                <w:rFonts w:ascii="Arial" w:cs="Arial" w:eastAsia="Arial" w:hAnsi="Arial"/>
                <w:sz w:val="18"/>
                <w:szCs w:val="18"/>
                <w:b w:val="1"/>
                <w:bCs w:val="1"/>
                <w:color w:val="auto"/>
              </w:rPr>
              <w:t>Ex-Dividend Date</w:t>
            </w:r>
          </w:p>
        </w:tc>
        <w:tc>
          <w:tcPr>
            <w:tcW w:w="2120" w:type="dxa"/>
            <w:vAlign w:val="bottom"/>
          </w:tcPr>
          <w:p>
            <w:pPr>
              <w:spacing w:after="0"/>
              <w:rPr>
                <w:sz w:val="24"/>
                <w:szCs w:val="24"/>
                <w:color w:val="auto"/>
              </w:rPr>
            </w:pPr>
          </w:p>
        </w:tc>
        <w:tc>
          <w:tcPr>
            <w:tcW w:w="2540" w:type="dxa"/>
            <w:vAlign w:val="bottom"/>
            <w:gridSpan w:val="3"/>
          </w:tcPr>
          <w:p>
            <w:pPr>
              <w:ind w:left="120"/>
              <w:spacing w:after="0"/>
              <w:rPr>
                <w:sz w:val="20"/>
                <w:szCs w:val="20"/>
                <w:color w:val="auto"/>
              </w:rPr>
            </w:pPr>
            <w:r>
              <w:rPr>
                <w:rFonts w:ascii="Arial" w:cs="Arial" w:eastAsia="Arial" w:hAnsi="Arial"/>
                <w:sz w:val="18"/>
                <w:szCs w:val="18"/>
                <w:b w:val="1"/>
                <w:bCs w:val="1"/>
                <w:color w:val="auto"/>
              </w:rPr>
              <w:t>Record Date</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Payment Date</w:t>
            </w:r>
          </w:p>
        </w:tc>
        <w:tc>
          <w:tcPr>
            <w:tcW w:w="202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Distributions Declared</w:t>
            </w: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16, 2017</w:t>
            </w: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15, 2017</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October 17, 2017</w:t>
            </w:r>
          </w:p>
        </w:tc>
        <w:tc>
          <w:tcPr>
            <w:tcW w:w="2120" w:type="dxa"/>
            <w:vAlign w:val="bottom"/>
          </w:tcPr>
          <w:p>
            <w:pPr>
              <w:spacing w:after="0"/>
              <w:rPr>
                <w:sz w:val="18"/>
                <w:szCs w:val="18"/>
                <w:color w:val="auto"/>
              </w:rPr>
            </w:pP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rPr>
              <w:t>October 19, 2017</w:t>
            </w:r>
          </w:p>
        </w:tc>
        <w:tc>
          <w:tcPr>
            <w:tcW w:w="2280" w:type="dxa"/>
            <w:vAlign w:val="bottom"/>
          </w:tcPr>
          <w:p>
            <w:pPr>
              <w:spacing w:after="0"/>
              <w:rPr>
                <w:sz w:val="20"/>
                <w:szCs w:val="20"/>
                <w:color w:val="auto"/>
              </w:rPr>
            </w:pPr>
            <w:r>
              <w:rPr>
                <w:rFonts w:ascii="Arial" w:cs="Arial" w:eastAsia="Arial" w:hAnsi="Arial"/>
                <w:sz w:val="18"/>
                <w:szCs w:val="18"/>
                <w:color w:val="auto"/>
              </w:rPr>
              <w:t>November 15, 2017</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September 18, 2017</w:t>
            </w:r>
          </w:p>
        </w:tc>
        <w:tc>
          <w:tcPr>
            <w:tcW w:w="212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20, 2017</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October 16, 2017</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After paying distributions of $0.30 per share and earning $0.24 per share for the quarter, the Company’s undistributed spillover income as of June 30, 2017 was $0.08 per share. Spillover income includes any ordinary income and net capital gains from the preceding tax years that were not distributed during such tax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Note 10. Financial highlights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60" w:type="dxa"/>
            <w:vAlign w:val="bottom"/>
            <w:gridSpan w:val="2"/>
          </w:tcPr>
          <w:p>
            <w:pPr>
              <w:ind w:left="420"/>
              <w:spacing w:after="0"/>
              <w:rPr>
                <w:sz w:val="20"/>
                <w:szCs w:val="20"/>
                <w:color w:val="auto"/>
              </w:rPr>
            </w:pPr>
            <w:r>
              <w:rPr>
                <w:rFonts w:ascii="Arial" w:cs="Arial" w:eastAsia="Arial" w:hAnsi="Arial"/>
                <w:sz w:val="18"/>
                <w:szCs w:val="18"/>
                <w:color w:val="auto"/>
              </w:rPr>
              <w:t>The following table shows financial highlights for the Company:</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gridSpan w:val="6"/>
          </w:tcPr>
          <w:p>
            <w:pPr>
              <w:jc w:val="right"/>
              <w:ind w:right="1152"/>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5"/>
          </w:tcPr>
          <w:p>
            <w:pPr>
              <w:jc w:val="right"/>
              <w:ind w:right="11"/>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12.09</w:t>
            </w:r>
          </w:p>
        </w:tc>
        <w:tc>
          <w:tcPr>
            <w:tcW w:w="380" w:type="dxa"/>
            <w:vAlign w:val="bottom"/>
          </w:tcPr>
          <w:p>
            <w:pPr>
              <w:spacing w:after="0"/>
              <w:rPr>
                <w:sz w:val="18"/>
                <w:szCs w:val="18"/>
                <w:color w:val="auto"/>
              </w:rPr>
            </w:pP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13.85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Realized loss on investments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ind w:right="252"/>
              <w:spacing w:after="0"/>
              <w:rPr>
                <w:sz w:val="20"/>
                <w:szCs w:val="20"/>
                <w:color w:val="auto"/>
              </w:rPr>
            </w:pPr>
            <w:r>
              <w:rPr>
                <w:rFonts w:ascii="Arial" w:cs="Arial" w:eastAsia="Arial" w:hAnsi="Arial"/>
                <w:sz w:val="18"/>
                <w:szCs w:val="18"/>
                <w:color w:val="auto"/>
              </w:rPr>
              <w:t>(0.93)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2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investments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4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(0.60)</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From net investment income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ind w:right="252"/>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212"/>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From net realized gain on investments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Return of capital</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720"/>
              <w:spacing w:after="0"/>
              <w:rPr>
                <w:sz w:val="20"/>
                <w:szCs w:val="20"/>
                <w:color w:val="auto"/>
              </w:rPr>
            </w:pPr>
            <w:r>
              <w:rPr>
                <w:rFonts w:ascii="Arial" w:cs="Arial" w:eastAsia="Arial" w:hAnsi="Arial"/>
                <w:sz w:val="18"/>
                <w:szCs w:val="18"/>
                <w:color w:val="auto"/>
              </w:rPr>
              <w:t>Per share market value, beginning of period</w:t>
            </w:r>
          </w:p>
        </w:tc>
        <w:tc>
          <w:tcPr>
            <w:tcW w:w="5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10.53</w:t>
            </w:r>
          </w:p>
        </w:tc>
        <w:tc>
          <w:tcPr>
            <w:tcW w:w="3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11.73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4940" w:type="dxa"/>
            <w:vAlign w:val="bottom"/>
          </w:tcPr>
          <w:p>
            <w:pPr>
              <w:spacing w:after="0" w:line="256" w:lineRule="exact"/>
              <w:rPr>
                <w:sz w:val="20"/>
                <w:szCs w:val="20"/>
                <w:color w:val="auto"/>
              </w:rPr>
            </w:pPr>
            <w:r>
              <w:rPr>
                <w:rFonts w:ascii="Arial" w:cs="Arial" w:eastAsia="Arial" w:hAnsi="Arial"/>
                <w:sz w:val="18"/>
                <w:szCs w:val="18"/>
                <w:color w:val="auto"/>
              </w:rPr>
              <w:t>Total return based on a market value</w:t>
            </w:r>
            <w:r>
              <w:rPr>
                <w:rFonts w:ascii="Arial" w:cs="Arial" w:eastAsia="Arial" w:hAnsi="Arial"/>
                <w:sz w:val="29"/>
                <w:szCs w:val="29"/>
                <w:color w:val="auto"/>
                <w:vertAlign w:val="superscript"/>
              </w:rPr>
              <w:t>(2)</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gridSpan w:val="2"/>
          </w:tcPr>
          <w:p>
            <w:pPr>
              <w:jc w:val="right"/>
              <w:ind w:right="172"/>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gridSpan w:val="2"/>
          </w:tcPr>
          <w:p>
            <w:pPr>
              <w:jc w:val="right"/>
              <w:ind w:right="1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11,519,180</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11,548,149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Ratios to average net assets: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 without incentive fees</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8.5%</w:t>
            </w:r>
            <w:r>
              <w:rPr>
                <w:rFonts w:ascii="Arial" w:cs="Arial" w:eastAsia="Arial" w:hAnsi="Arial"/>
                <w:sz w:val="29"/>
                <w:szCs w:val="29"/>
                <w:color w:val="auto"/>
                <w:vertAlign w:val="superscript"/>
              </w:rPr>
              <w:t>(3)</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9.5%</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70"/>
        </w:trPr>
        <w:tc>
          <w:tcPr>
            <w:tcW w:w="5660" w:type="dxa"/>
            <w:vAlign w:val="bottom"/>
            <w:gridSpan w:val="2"/>
          </w:tcPr>
          <w:p>
            <w:pPr>
              <w:ind w:left="720"/>
              <w:spacing w:after="0"/>
              <w:rPr>
                <w:sz w:val="20"/>
                <w:szCs w:val="20"/>
                <w:color w:val="auto"/>
              </w:rPr>
            </w:pPr>
            <w:r>
              <w:rPr>
                <w:rFonts w:ascii="Arial" w:cs="Arial" w:eastAsia="Arial" w:hAnsi="Arial"/>
                <w:sz w:val="18"/>
                <w:szCs w:val="18"/>
                <w:color w:val="auto"/>
              </w:rPr>
              <w:t>Incentive fees</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gridSpan w:val="2"/>
          </w:tcPr>
          <w:p>
            <w:pPr>
              <w:jc w:val="right"/>
              <w:spacing w:after="0" w:line="269" w:lineRule="exact"/>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(3)</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60" w:type="dxa"/>
            <w:vAlign w:val="bottom"/>
            <w:gridSpan w:val="2"/>
          </w:tcPr>
          <w:p>
            <w:pPr>
              <w:jc w:val="right"/>
              <w:spacing w:after="0" w:line="269" w:lineRule="exact"/>
              <w:rPr>
                <w:sz w:val="20"/>
                <w:szCs w:val="20"/>
                <w:color w:val="auto"/>
              </w:rPr>
            </w:pPr>
            <w:r>
              <w:rPr>
                <w:rFonts w:ascii="Arial" w:cs="Arial" w:eastAsia="Arial" w:hAnsi="Arial"/>
                <w:sz w:val="18"/>
                <w:szCs w:val="18"/>
                <w:color w:val="auto"/>
              </w:rPr>
              <w:t>2.7%</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expenses</w:t>
            </w:r>
          </w:p>
        </w:tc>
        <w:tc>
          <w:tcPr>
            <w:tcW w:w="5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(3)</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(3)</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720"/>
              <w:spacing w:after="0"/>
              <w:rPr>
                <w:sz w:val="20"/>
                <w:szCs w:val="20"/>
                <w:color w:val="auto"/>
              </w:rPr>
            </w:pPr>
            <w:r>
              <w:rPr>
                <w:rFonts w:ascii="Arial" w:cs="Arial" w:eastAsia="Arial" w:hAnsi="Arial"/>
                <w:sz w:val="18"/>
                <w:szCs w:val="18"/>
                <w:color w:val="auto"/>
              </w:rPr>
              <w:t>Net investment income with incentive fees</w:t>
            </w: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jc w:val="right"/>
              <w:spacing w:after="0" w:line="210" w:lineRule="exact"/>
              <w:rPr>
                <w:sz w:val="20"/>
                <w:szCs w:val="20"/>
                <w:color w:val="auto"/>
              </w:rPr>
            </w:pPr>
            <w:r>
              <w:rPr>
                <w:rFonts w:ascii="Arial" w:cs="Arial" w:eastAsia="Arial" w:hAnsi="Arial"/>
                <w:sz w:val="15"/>
                <w:szCs w:val="15"/>
                <w:color w:val="auto"/>
              </w:rPr>
              <w:t>8.8%</w:t>
            </w:r>
            <w:r>
              <w:rPr>
                <w:rFonts w:ascii="Arial" w:cs="Arial" w:eastAsia="Arial" w:hAnsi="Arial"/>
                <w:sz w:val="24"/>
                <w:szCs w:val="24"/>
                <w:color w:val="auto"/>
                <w:vertAlign w:val="superscript"/>
              </w:rPr>
              <w:t>(3)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spacing w:after="0" w:line="210" w:lineRule="exact"/>
              <w:rPr>
                <w:sz w:val="20"/>
                <w:szCs w:val="20"/>
                <w:color w:val="auto"/>
              </w:rPr>
            </w:pPr>
            <w:r>
              <w:rPr>
                <w:rFonts w:ascii="Arial" w:cs="Arial" w:eastAsia="Arial" w:hAnsi="Arial"/>
                <w:sz w:val="15"/>
                <w:szCs w:val="15"/>
                <w:color w:val="auto"/>
              </w:rPr>
              <w:t>11.4%</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136,762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138,464</w:t>
            </w:r>
          </w:p>
        </w:tc>
        <w:tc>
          <w:tcPr>
            <w:tcW w:w="380" w:type="dxa"/>
            <w:vAlign w:val="bottom"/>
          </w:tcPr>
          <w:p>
            <w:pPr>
              <w:spacing w:after="0"/>
              <w:rPr>
                <w:sz w:val="18"/>
                <w:szCs w:val="18"/>
                <w:color w:val="auto"/>
              </w:rPr>
            </w:pPr>
          </w:p>
        </w:tc>
        <w:tc>
          <w:tcPr>
            <w:tcW w:w="4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156,733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2"/>
          </w:tcPr>
          <w:p>
            <w:pPr>
              <w:jc w:val="right"/>
              <w:ind w:right="172"/>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jc w:val="right"/>
              <w:ind w:right="1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128270</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94" w:lineRule="exact"/>
        <w:rPr>
          <w:sz w:val="20"/>
          <w:szCs w:val="20"/>
          <w:color w:val="auto"/>
        </w:rPr>
      </w:pPr>
    </w:p>
    <w:p>
      <w:pPr>
        <w:jc w:val="both"/>
        <w:ind w:left="720" w:hanging="320"/>
        <w:spacing w:after="0" w:line="25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3" w:lineRule="exact"/>
        <w:rPr>
          <w:rFonts w:ascii="Arial" w:cs="Arial" w:eastAsia="Arial" w:hAnsi="Arial"/>
          <w:sz w:val="18"/>
          <w:szCs w:val="18"/>
          <w:color w:val="auto"/>
        </w:rPr>
      </w:pPr>
    </w:p>
    <w:p>
      <w:pPr>
        <w:ind w:left="720" w:hanging="320"/>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ind w:left="720" w:hanging="320"/>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54" w:lineRule="exact"/>
        <w:rPr>
          <w:sz w:val="20"/>
          <w:szCs w:val="20"/>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and warrants;</w:t>
      </w:r>
    </w:p>
    <w:p>
      <w:pPr>
        <w:spacing w:after="0" w:line="23"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560" w:right="20" w:hanging="187"/>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560" w:hanging="187"/>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qualify and maintain qualification as a regulated investment company, or RIC, and as a business development company, or BDC;</w:t>
      </w:r>
    </w:p>
    <w:p>
      <w:pPr>
        <w:spacing w:after="0" w:line="20" w:lineRule="exact"/>
        <w:rPr>
          <w:rFonts w:ascii="Arial" w:cs="Arial" w:eastAsia="Arial" w:hAnsi="Arial"/>
          <w:sz w:val="17"/>
          <w:szCs w:val="17"/>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560" w:hanging="187"/>
        <w:spacing w:after="0" w:line="250"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 and</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2016, and elsewhere in this quarterly report on Form 10-Q.</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a specialty finance company that lends to and invests in development-stage companies in the technology, life science, healthcare information and services and cleantech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June 30, 2017, 99.0%, or $163.2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However, as a BDC, we are only generally allowed to borrow amounts such that our asset coverage, as defined in the 1940 Act, equals at least 200% after such borrowing. The amount of leverage that we employ depends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distributions for U.S. federal income tax purposes to our stockholders as long as we meet certain source-of-income, distribution, asset diversification and other requirements.</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portfolio by type of investment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2017</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2016</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of Total</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Fair</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26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Investments</w:t>
            </w:r>
          </w:p>
        </w:tc>
        <w:tc>
          <w:tcPr>
            <w:tcW w:w="2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Portfolio</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186,186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7,341</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6,362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Equity</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948</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2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color w:val="auto"/>
        </w:rPr>
        <w:t>The following table shows total portfolio investment activity as of and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For the Six Months Ended</w:t>
            </w:r>
          </w:p>
        </w:tc>
      </w:t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180,114</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245,035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194,003</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250,267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debt investments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22,074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15,187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47,990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31,687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received on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Early pay-offs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(39,517)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(16,729)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New equity</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8,934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(4,728)</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debt investments by industry sector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June 30, 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2016</w:t>
            </w:r>
          </w:p>
        </w:tc>
      </w:tr>
      <w:tr>
        <w:trPr>
          <w:trHeight w:val="191"/>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gridSpan w:val="2"/>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26,752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40,612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Medical Device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Technology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Consumer-Related</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18,620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20,631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30,941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9,898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Networking</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1,727</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41,222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53,349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Cleantech</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Energy Efficiency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Waste Recycling</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Diagnostics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3,606</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r>
      <w:tr>
        <w:trPr>
          <w:trHeight w:val="230"/>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164,895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largest debt investments in our portfolio may vary from year to year as new debt investments are originated and existing debt investments are repaid. Our five largest debt investments represented 29% and 24% of total debt investments outstanding as of June 30, 2017 and December 31, 2016, respectively. No single debt investment represented more than 10% of our total debt investments as of June 30, 2017 and December 31,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June 30, 2017 and December 31, 2016, our debt investments had a weighted average credit rating of 3.0. The following table shows the classification of our debt investment portfolio by credit rating as of June 30, 2017 and 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2017</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2016</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gridSpan w:val="2"/>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of Debt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of Debt</w:t>
            </w:r>
          </w:p>
        </w:tc>
      </w:tr>
      <w:tr>
        <w:trPr>
          <w:trHeight w:val="234"/>
        </w:trPr>
        <w:tc>
          <w:tcPr>
            <w:tcW w:w="26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at Fair Value</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Investments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 Fair Value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13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26,132</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15.8%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29,721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2640" w:type="dxa"/>
            <w:vAlign w:val="bottom"/>
            <w:shd w:val="clear" w:color="auto" w:fill="CCEEFF"/>
          </w:tcPr>
          <w:p>
            <w:pPr>
              <w:jc w:val="right"/>
              <w:ind w:right="2130"/>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124,123</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13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7,040</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30"/>
        </w:trPr>
        <w:tc>
          <w:tcPr>
            <w:tcW w:w="2640" w:type="dxa"/>
            <w:vAlign w:val="bottom"/>
            <w:shd w:val="clear" w:color="auto" w:fill="CCEEFF"/>
          </w:tcPr>
          <w:p>
            <w:pPr>
              <w:jc w:val="right"/>
              <w:ind w:right="213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164,895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2017, there were three debt investments with an internal credit rating of 1, with an aggregate cost of $16.0 million and an aggregate fair value of $7.6 million. As of December 31, 2016, there were four debt investments with an internal credit rating of 1, with an aggregate cost of $26.2 million and an aggregate fair value of $11.5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June 30, 2017 and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consolidated results of operations for the three months ended June 30, 2017 and 2016:</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Credit for excise tax</w:t>
            </w:r>
          </w:p>
        </w:tc>
        <w:tc>
          <w:tcPr>
            <w:tcW w:w="1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8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159,879</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234,186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8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56,989</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Total investment income decreased by $3.2 million, or 35.3%, to $5.9 million for the three months ended June 30, 2017 as compared to the three months ended June 30, 2016. For the three months ended June 30, 2017, total investment income consisted primarily of $5.4 million in interest income from investments, which included $1.2 million in income from the accretion of origination fees and end-of-term payments, or ETPs, and $0.5 million in fee income. Interest income on investments decreased by $3.4 million, or 38.3%, for the three months ended June 30, 2017 compared to the three months ended June 30, 2016. Interest income on investments decreased primarily due to a decrease of $74.3 million, or 31.7%, in the average size of our investment portfolio for the three months ended June 30, 2017 as compared to the three months ended June 30, 2016. Fee income, which includes success fee and prepayment fee income on debt investments, increased by $0.2 million, or 51.3%, to $0.5 million primarily due to prepayment fees earned on higher principal prepayments and fees charged for waivers or amendments received during the three months ended June 30, 2017 compared to the three months ended June 30, 2016.</w:t>
      </w:r>
    </w:p>
    <w:p>
      <w:pPr>
        <w:spacing w:after="0" w:line="1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three months ended June 30, 2017 and 2016, our dollar-weighted annualized yield on average debt investments was 14.7% and 15.5%, respectively, and our investment portfolio (including non-income producing investments) had an overall total return of 13.5% and 15.1%, respectively. We calculate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28% and 17%, respectively, of investment income for the three months ended June 30, 2017 and 2016.</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Total expenses decreased by $1.5 million, or 33.0%, to $3.1 million for the three months ended June 30, 2017 as compared to the three months ended June 30, 2016.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decreased by $0.4 million, or 28.3%, to $1.1 million for the three months ended June 30, 2017 as compared to the three months ended June 30, 2016. Interest expense, which includes the amortization of debt issuance costs, decreased primarily due to a decrease in average borrowings of $50.1 million, or 46.8%, which was partially offset by an increase in our effective cost of debt for the three months ended June 30, 2017 as compared to the three months ended June 30, 2016.</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Base management fee expense decreased by $0.4 million, or 28.8%, to $0.9 million for the three months ended June 30, 2017 as compared to the three months ended June 30, 2016. Base management fee decreased primarily due to a decrease of $74.3 million, or 31.7%, in the average size of our investment portfolio for the three months ended June 30, 2017 as compared to the three months ended June 30, 2016.</w:t>
      </w:r>
    </w:p>
    <w:p>
      <w:pPr>
        <w:spacing w:after="0" w:line="16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Performance based incentive fee expense decreased by $0.6 million, or 60.6%, to $0.4 million for the three months ended June 30, 2017 as compared to the three months ended June 30, 2016. Performance based incentive fee expense decreased due to lower pre-incentive fee net investment income for the three months ended June 30, 2017 as compared to the three months ended June 30, 2016, as well as the fact that the incentive fee expense for the three months ended June 30, 2017 was limited by the cap and deferral mechanism, or the Incentive Fee Cap and Deferral Mechanism, under our Investment Management Agreement. This resulted in $0.2 million of reduced expense and additional net investment income for the three months ended June 30, 2017. The incentive fee on pre-incentive fee net investment income was subject to the Incentive Fee Cap and Deferral Mechanism due to the cumulative incentive fees paid since July 1, 2014 exceeding the cumulative pre-incentive fee net return since July 1, 2015.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405"/>
        <w:spacing w:after="0" w:line="286" w:lineRule="auto"/>
        <w:rPr>
          <w:sz w:val="20"/>
          <w:szCs w:val="20"/>
          <w:color w:val="auto"/>
        </w:rPr>
      </w:pPr>
      <w:r>
        <w:rPr>
          <w:rFonts w:ascii="Arial" w:cs="Arial" w:eastAsia="Arial" w:hAnsi="Arial"/>
          <w:sz w:val="17"/>
          <w:szCs w:val="17"/>
          <w:color w:val="auto"/>
        </w:rPr>
        <w:t>Administrative fee expense decreased by $0.1 million, or 32.0%, to $0.2 million for the three months ended June 30, 2017 as compared to the three months ended June 30, 2016. Administrative fee expense decreased primarily due to a decrease in our allocated costs of compensation incurred by the Advisor on our behalf for the three months ended June 30, 2017 as compared to the three months ended June 30, 2016.</w:t>
      </w:r>
    </w:p>
    <w:p>
      <w:pPr>
        <w:spacing w:after="0" w:line="1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Professional fees and general and administrative expenses primarily include legal and audit fees and insurance premiums. These expenses remained flat at $0.6 million for the three months ended June 30, 2017 as compared to the three months ended June 30, 2016.</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June 30, 2017, we realized net gains totaling $0.2 million primarily due to the realized gains on the sale of equity received upon the exercise of warrants. During the three months ended June 30, 2016, we realized net losses totaling $0.9 million primarily due to the resolution of one debt investment.</w:t>
      </w:r>
    </w:p>
    <w:p>
      <w:pPr>
        <w:spacing w:after="0" w:line="18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the three months ended June 30, 2017, net unrealized depreciation on investments totaled $2.2 million which was primarily due to the unrealized depreciation on two debt investments. During the three months ended June 30, 2016, net unrealized depreciation on investments totaled $3.7 million which was primarily due to the unrealized depreciation on one debt investment offset by the reversal of previously recorded unrealized depreciation on one debt investment that was settled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2017 and 2016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consolidated results of operations for the six months ended June 30, 2017 and 2016:</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Credit for excise tax</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(10,670)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63"/>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1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170,225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237,174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9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71,442</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109,551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Total investment income decreased by $5.5 million, or 30.2%, to $12.8 million for the six months ended June 30, 2017 as compared to the six months ended June 30, 2016. For the six months ended June 30, 2017, total investment income consisted primarily of $11.7 million in interest income from investments, which included $2.9 million in income from the accretion of origination fees and ETPs, and $1.1 million in fee income. Interest income on investments decreased by $6.1 million, or 34.2%, for the six months ended June 30, 2017 compared to the six months ended June 30, 2016. Interest income on investments decreased primarily due to a decrease of $66.9 million, or 28.2%, in the average size of our investment portfolio for the six months ended June 30, 2017 as compared to the six months ended June 30, 2016. Fee income, which includes success fee and prepayment fee income on debt investments, increased by $0.5 million, or 91.0%, to $1.1 million primarily due to fees earned on higher principal prepayments received during the six months ended June 30, 2017 compared to the six months ended June 30, 2016.</w:t>
      </w:r>
    </w:p>
    <w:p>
      <w:pPr>
        <w:spacing w:after="0" w:line="17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six months ended June 30, 2017 and 2016, our dollar-weighted annualized yield on average debt investments was 15.1% and 15.5%, respectively, and our investment portfolio (including non-income producing investments) had an overall total return of 14.1% and 15.1%, respectively. We calculate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21% and 18%, respectively, of investment income for the six months ended June 30, 2017 and 2016.</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Total expenses decreased by $2.8 million, or 29.7%, to $6.7 million for the six months ended June 30, 2017 as compared to the six months ended June 30, 2016.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decreased by $0.6 million, or 21.2%, to $2.4 million for the six months ended June 30, 2017 as compared to the six months ended June 30, 2016. Interest expense, which includes the amortization of debt issuance costs, decreased primarily due to a decrease in average borrowings of $38.1 million, or 34.8%, which was partially offset by an increase in our effective cost of debt for the six months ended June 30, 2017 as compared to the six months ended June 30, 2016.</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Base management fee expense decreased by $0.7 million, or 26.4%, to $1.9 million for the six months ended June 30, 2017 as compared to the six months ended June 30, 2016. Base management fee expense decreased primarily due to a decrease of $66.9 million, or 28.2%, in the average size of our investment portfolio for the six months ended June 30, 2017 as compared to the six months ended June 30, 2016.</w:t>
      </w:r>
    </w:p>
    <w:p>
      <w:pPr>
        <w:spacing w:after="0" w:line="1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Performance based incentive fee expense decreased by $1.3 million, or 60.7%, to $0.8 million for the six months ended June 30, 2017 as compared to the six months ended June 30, 2016. Performance based incentive fee expense decreased due to lower pre-incentive fee net investment income for the six months ended June 30, 2017 as compared to the six months ended June 30, 2016, as well as the fact that the incentive fee expense for the six months ended June 30, 2017 was limited by the Incentive Fee Cap and Deferral Mechanism under our Investment Management Agreement. This resulted in $0.6 million of reduced expense and additional net investment income for the six months ended June 30, 2017. The incentive fee on pre-incentive fee net investment income was subject to the Incentive Fee Cap and Deferral Mechanism due to the cumulative incentive fees paid since July 1, 2014 exceeding the cumulative pre-incentive fee net return since July 1, 2015.</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Administrative fee expense decreased by $0.2 million, or 31.5%, to $0.4 million for the six months ended June 30, 2017 as compared to the six months ended June 30, 2016. Administrative fee expense decreased primarily due to a decrease in our allocated costs of compensation incurred by the Advisor on our behalf for the six months ended June 30, 2017 as compared to the six months ended June 30, 2016.</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Professional fees and general and administrative expenses primarily include legal and audit fees and insurance premiums. These expenses were $1.2 million and $1.3 million for the six months ended June 30, 2017 and 2016,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2017, we realized net losses totaling $10.7 million primarily due to the resolution of two debt investments partially offset by realized gains on the sale of equity received upon the exercise of warrants. During the six months ended June 30, 2016, we realized net losses totaling $2.9 million primarily due to the resolution of two debt investments partially offset by realized gains on the sale of equity received upon the exercise of warrants.</w:t>
      </w:r>
    </w:p>
    <w:p>
      <w:pPr>
        <w:spacing w:after="0" w:line="18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the six months ended June 30, 2017, net unrealized appreciation on investments totaled $8.9 million which was primarily due to reversal of previously recorded unrealized depreciation on two debt investments that were settled during the period, partially offset by the unrealized depreciation on two debt investments. During the six months ended June 30, 2016, net unrealized depreciation on investments totaled $4.7 million which was primarily due to the unrealized depreciation on one debt investment.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2017 and December 31, 2016, we had cash of $12.3 million and $37.1 million, respectively. Cash is available to fund new investments, reduce borrowings, pay expenses, repurchase common stock and pay distributions. Our primary sources of capital have been from our public and private equity offerings, use of our revolving credit facilities and issuance of our 7.375% notes due 2019, or the 2019 Notes, and our fixed-rate asset-backed notes, or the Asset-Backed Notes.</w:t>
      </w:r>
    </w:p>
    <w:p>
      <w:pPr>
        <w:spacing w:after="0" w:line="1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April 27, 2017,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Exchange Act and any applicable requirements of the 1940 Act. Unless extended by our Board, the repurchase program will terminate on the earlier of June 30, 2018 or the repurchase of $5.0 million of our common stock. During the three and six months ended June 30, 2017 and 2016, we did not complete any repurchases of our common stock. From the inception of the stock repurchase program through June 30, 2017, we repurchased 161,542 shares of our common stock at an average price of $11.27 on the open market at a total cost of $1.8 million.</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June 30, 2017 and December 31, 2016, the outstanding principal balance under our revolving credit facility, or the Key Facility, with KeyBank National Association, or Key, was $23.0 million and $63.0 million, respectively. As of June 30, 2017 and December 31, 2016, we had borrowing capacity under the Key Facility of $72.0 million and $32.0 million, respectively. At June 30, 2017 and December 31, 2016, $37.4 million and $4.6 million, respectively, was available, subject to existing terms and advance rates.</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operating activities provided cash of $22.0 million for the six months ended June 30, 2017, and our financing activities used cash of $46.8 million for the same period. Our operating activities provided cash primarily from principal payments received on our debt investments, partially offset by investments made in portfolio companies. Our financing activities used cash primarily to repay the Key Facility and pay distributions to our stockholders.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operating activities provided cash of $18.1 million for the six months ended June 30, 2016, and our financing activities used cash of $22.6 million for the same period. Our operating activities provided cash primarily from principal payments received on our debt investments partially offset by investments made in portfolio companies. Our financing activities used cash primarily to fully pay off our Asset-Backed Notes and pay distributions to our stockholders.</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6"/>
          <w:szCs w:val="16"/>
          <w:color w:val="auto"/>
        </w:rPr>
        <w:t>In order to be subject to taxation as a RIC, we intend to distribute to our stockholders all or substantially all of our investment company taxable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a BDC, we are required to maintain asset coverage of at least 200%. This requirement limits the amount that we may borrow.</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borrowings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2017</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2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16"/>
                <w:szCs w:val="16"/>
                <w:color w:val="auto"/>
              </w:rPr>
            </w:pPr>
          </w:p>
        </w:tc>
        <w:tc>
          <w:tcPr>
            <w:tcW w:w="9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6"/>
              </w:rPr>
              <w:t>Unused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6"/>
              </w:rPr>
              <w:t>Unused</w:t>
            </w:r>
          </w:p>
        </w:tc>
        <w:tc>
          <w:tcPr>
            <w:tcW w:w="120" w:type="dxa"/>
            <w:vAlign w:val="bottom"/>
          </w:tcPr>
          <w:p>
            <w:pPr>
              <w:spacing w:after="0"/>
              <w:rPr>
                <w:sz w:val="16"/>
                <w:szCs w:val="16"/>
                <w:color w:val="auto"/>
              </w:rPr>
            </w:pPr>
          </w:p>
        </w:tc>
      </w:tr>
      <w:tr>
        <w:trPr>
          <w:trHeight w:val="234"/>
        </w:trPr>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Commitment</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Outstanding</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Commitment</w:t>
            </w:r>
          </w:p>
        </w:tc>
        <w:tc>
          <w:tcPr>
            <w:tcW w:w="10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Commitment</w:t>
            </w:r>
          </w:p>
        </w:tc>
        <w:tc>
          <w:tcPr>
            <w:tcW w:w="20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Commitment</w:t>
            </w:r>
          </w:p>
        </w:tc>
      </w:tr>
      <w:tr>
        <w:trPr>
          <w:trHeight w:val="210"/>
        </w:trPr>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63,000</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32,000</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2019 Notes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33,000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182"/>
        </w:trPr>
        <w:tc>
          <w:tcPr>
            <w:tcW w:w="2840" w:type="dxa"/>
            <w:vAlign w:val="bottom"/>
          </w:tcPr>
          <w:p>
            <w:pPr>
              <w:spacing w:after="0" w:line="182" w:lineRule="exact"/>
              <w:rPr>
                <w:sz w:val="20"/>
                <w:szCs w:val="20"/>
                <w:color w:val="auto"/>
              </w:rPr>
            </w:pPr>
            <w:r>
              <w:rPr>
                <w:rFonts w:ascii="Arial" w:cs="Arial" w:eastAsia="Arial" w:hAnsi="Arial"/>
                <w:sz w:val="18"/>
                <w:szCs w:val="18"/>
                <w:color w:val="auto"/>
              </w:rPr>
              <w:t>Unamortized debt issuance costs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4"/>
        </w:trPr>
        <w:tc>
          <w:tcPr>
            <w:tcW w:w="2840" w:type="dxa"/>
            <w:vAlign w:val="bottom"/>
          </w:tcPr>
          <w:p>
            <w:pPr>
              <w:spacing w:after="0"/>
              <w:rPr>
                <w:sz w:val="20"/>
                <w:szCs w:val="20"/>
                <w:color w:val="auto"/>
              </w:rPr>
            </w:pPr>
            <w:r>
              <w:rPr>
                <w:rFonts w:ascii="Arial" w:cs="Arial" w:eastAsia="Arial" w:hAnsi="Arial"/>
                <w:sz w:val="18"/>
                <w:szCs w:val="18"/>
                <w:color w:val="auto"/>
              </w:rPr>
              <w:t>attributable to term borrowings</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We entered into the Key Facility with Key effective November 4, 2013. The interest rate on the Key Facility is based upon the one-month London Interbank Offered Rate, or LIBOR, plus a spread of 3.25%, with a LIBOR floor of 0.75%. The LIBOR rate was 1.22% and 0.77% on June 30, 2017 and December 31, 2016, respectively. The interest rate in effect was 4.30% and 4.00%, respectively, as of June 30, 2017 and December 31, 2016. The Key Facility requires the payment of an unused line fee in an amount equal to 0.50% of any unborrowed amount available under the facility annually.</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Key Facility has an accordion feature which allows for an increase in the total loan commitment to $150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We may request advances under the Key Facility through August 12, 2018, or the Revolving Period.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All outstanding advances under the Key Facility are due and payable on August 12, 2020.</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March 23, 2012, we issued and sold an aggregate principal amount of $30 million 2019 Notes, and on April 18, 2012, pursuant to the underwriters’ 30-day option to purchase additional notes, we sold an additional $3 million of the 2019 Notes. The 2019 Notes will mature on March 15, 2019 and may be redeemed in whole or in part at our option at any time or from time to time at a redemption price of $25 per security plus accrued and unpaid interest. The 2019 Notes bear interest at a rate of 7.375% per year payable quarterly on March 15, June 15, September 15 and December 15 of each year. The 2019 Notes are our direct, unsecured obligations and (1) rank equally in right of payment with our future unsecured indebtedness; (2) are senior in right of payment to any of our future indebtedness that expressly provides it is subordinated to the 2019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June 30, 2017, we were in material compliance with the terms of the 2019 Notes. The 2019 Notes are listed on the New York Stock Exchange under the symbol “HTF”.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405"/>
        <w:spacing w:after="0" w:line="273" w:lineRule="auto"/>
        <w:rPr>
          <w:sz w:val="20"/>
          <w:szCs w:val="20"/>
          <w:color w:val="auto"/>
        </w:rPr>
      </w:pPr>
      <w:r>
        <w:rPr>
          <w:rFonts w:ascii="Arial" w:cs="Arial" w:eastAsia="Arial" w:hAnsi="Arial"/>
          <w:sz w:val="17"/>
          <w:szCs w:val="17"/>
          <w:color w:val="auto"/>
        </w:rPr>
        <w:t>On June 28, 2013, we completed the 2013-1 Securitization. In connection with the 2013-1 Securitization, 2013-1 Trust, a wholly owned subsidiary of ours, issued $90 million in the Asset-Backed Notes, which were rated A1(sf) by Moody’s Investors Service, Inc. The Asset-Backed Notes were issued by 2013-1 Trust and were backed by a pool of loans made to certain portfolio companies of ours and secured by certain assets of such portfolio companies. The Asset-Backed Notes were secured obligations of 2013-1 Trust and non-recourse to us. In connection with the issuance and sale of the Asset-Backed Notes, we made customary representations, warranties and covenants. The Asset-Backed Notes bore interest at a fixed rate of 3.00% per annum and had a stated maturity of May 15, 2018. As of June 13, 2016, the Asset-Backed Notes were repaid in full.</w:t>
      </w:r>
    </w:p>
    <w:p>
      <w:pPr>
        <w:spacing w:after="0" w:line="17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Under the terms of the Asset-Backed Notes, we were required to maintain a reserve cash balance, funded through principal collections from the underlying securitized debt portfolio, which could have been used to make monthly interest and principal payments on the Asset-Backed Notes.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2017 and December 31, 2016, other assets were $1.7 million and $2.1 million, respectively, which were primarily comprised of debt issuance costs and prepaid expenses.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June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5"/>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3 – 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Unfunded commitments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22,500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June 30, 2017, we had unfunded commitments of $30.0 million.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June 30, 2017, we reasonably believed that our assets would provide adequate financial resources to satisfy all of our unfunded commitments.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405"/>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the extent our taxable earnings for a fiscal year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June 30, 2017 and 2016, we paid the Advisor $1.3 million and $2.3 million, respectively, pursuant to the Investment Management Agreement. During the six months ended June 30, 2017 and 2016, we paid the Advisor $2.7 million and $4.7 million, respectively, pursuant to the Investment Management Agreement.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Advisor is 60% owned by HTF Holdings LLC, which is 100% owned by Horizon Technology Finance, LLC. By virtue of their ownership interest in Horizon Technology Finance, LLC, our Chief Executive Officer, Robert D. Pomeroy, Jr. and our President, Gerald A. Michaud, may be deemed to control our Advisor.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405"/>
        <w:spacing w:after="0" w:line="272" w:lineRule="auto"/>
        <w:rPr>
          <w:sz w:val="20"/>
          <w:szCs w:val="20"/>
          <w:color w:val="auto"/>
        </w:rPr>
      </w:pPr>
      <w:r>
        <w:rPr>
          <w:rFonts w:ascii="Arial" w:cs="Arial" w:eastAsia="Arial" w:hAnsi="Arial"/>
          <w:sz w:val="17"/>
          <w:szCs w:val="17"/>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June 30, 2017 and 2016, we paid the Advisor $0.2 million and $0.3 million, respectively, pursuant to the Administration Agreement. During the six months ended June 30, 2017 and 2016, we paid the Advisor $0.4 million and $0.6 million, respectively, pursuant to the Administration Agreement.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such investments. On January 23, 2017, we filed an application for exemptive relief with the SEC which, if granted, would permit us more flexibility to co-invest with the Advisor funds, subject to certain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Level 1</w:t>
            </w:r>
          </w:p>
        </w:tc>
        <w:tc>
          <w:tcPr>
            <w:tcW w:w="10140" w:type="dxa"/>
            <w:vAlign w:val="bottom"/>
          </w:tcPr>
          <w:p>
            <w:pPr>
              <w:ind w:left="340"/>
              <w:spacing w:after="0"/>
              <w:rPr>
                <w:sz w:val="20"/>
                <w:szCs w:val="20"/>
                <w:color w:val="auto"/>
              </w:rPr>
            </w:pPr>
            <w:r>
              <w:rPr>
                <w:rFonts w:ascii="Arial" w:cs="Arial" w:eastAsia="Arial" w:hAnsi="Arial"/>
                <w:sz w:val="18"/>
                <w:szCs w:val="18"/>
                <w:color w:val="auto"/>
              </w:rPr>
              <w:t>Quoted prices in active markets for identical assets and liabilities.</w:t>
            </w:r>
          </w:p>
        </w:tc>
      </w:tr>
      <w:tr>
        <w:trPr>
          <w:trHeight w:val="418"/>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Level 2</w:t>
            </w:r>
          </w:p>
        </w:tc>
        <w:tc>
          <w:tcPr>
            <w:tcW w:w="10140" w:type="dxa"/>
            <w:vAlign w:val="bottom"/>
          </w:tcPr>
          <w:p>
            <w:pPr>
              <w:ind w:left="340"/>
              <w:spacing w:after="0"/>
              <w:rPr>
                <w:sz w:val="20"/>
                <w:szCs w:val="20"/>
                <w:color w:val="auto"/>
              </w:rPr>
            </w:pPr>
            <w:r>
              <w:rPr>
                <w:rFonts w:ascii="Arial" w:cs="Arial" w:eastAsia="Arial" w:hAnsi="Arial"/>
                <w:sz w:val="18"/>
                <w:szCs w:val="18"/>
                <w:color w:val="auto"/>
                <w:w w:val="94"/>
              </w:rPr>
              <w:t>Observable inputs other than Level 1 prices such as quoted prices for similar assets or liabilities in active markets, quoted prices in</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1"/>
              </w:rPr>
              <w:t>markets that are not active and model-based valuation techniques for which all significant inputs are observable or can be corroborated</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by observable market data for substantially the full term of the assets or liabilities.</w:t>
            </w:r>
          </w:p>
        </w:tc>
      </w:tr>
      <w:tr>
        <w:trPr>
          <w:trHeight w:val="418"/>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Level 3</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Unobservable inputs that are supported by little or no market activity and that are significant to the fair value of the assets or liabilities.</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6"/>
              </w:rPr>
              <w:t>Level 3 assets and liabilities include financial instruments whose value is determined using pricing models, discounted cash flow</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methodologies or similar techniques, as well as instruments for which the determination of fair value requires significant management</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judgment or estimation.</w:t>
            </w:r>
          </w:p>
        </w:tc>
      </w:tr>
      <w:tr>
        <w:trPr>
          <w:trHeight w:val="648"/>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ind w:left="436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909" w:right="239" w:bottom="1440" w:gutter="0" w:footer="0" w:header="0"/>
        </w:sectPr>
      </w:pPr>
    </w:p>
    <w:bookmarkStart w:id="47" w:name="page48"/>
    <w:bookmarkEnd w:id="47"/>
    <w:p>
      <w:pPr>
        <w:jc w:val="both"/>
        <w:ind w:firstLine="405"/>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at least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six months ended June 30, 2017 and 2016, we did not recognize any interest income from debt investments on non-accrual status.</w:t>
      </w:r>
    </w:p>
    <w:p>
      <w:pPr>
        <w:spacing w:after="0" w:line="16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elected to be treated as a RIC under Subchapter M of the Code and operate in a manner so as to qualify for the tax treatment applicable to RICs. In order to qualify as a RIC and to avoid corporate-level U.S. federal income tax on the income distributed to stockholders, among other things, we are required to meet certain source of income and asset diversification requirements, and we must timely distribute dividends to our stockholders out of assets legally available for distribution of an amount generally at least equal to 90% of our investment company taxable income, as defined by the Code and determined without regard to any deduction for dividends paid, for each tax year. We, among other things, have made and intend to continue to make the requisite distributions to our stockholders, which will generally relieve us from U.S. federal income taxes.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405"/>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June 30, 2017 and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We are subject to financial market risks, including changes in interest rates. During the periods covered by our financial statements, the interest rates on the debt investments within our portfolio were primarily at floating rates.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debt investments in the future will primarily have floating interest rates. As of June 30, 2017 and December 31, 2016, 99% and 96%, respectively, of the outstanding principal amount of our debt investments bore interest at floating rates. The initial commitments to lend to our portfolio companies are usually based on a floating LIBOR index.</w:t>
      </w:r>
    </w:p>
    <w:p>
      <w:pPr>
        <w:spacing w:after="0" w:line="1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our June 30, 2017 consolidated statement of assets and liabilities (without adjustment for potential changes in the credit market, credit quality, size and composition of assets on the consolidated statement of assets and liabilities or other business developments that could affect net income), the following table shows the annual impact on the change in net assets resulting from operations of changes in interest rates, which assumes no changes in our investments and borrowings: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19"/>
                <w:szCs w:val="19"/>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Change in</w:t>
            </w:r>
          </w:p>
        </w:tc>
      </w:tr>
      <w:tr>
        <w:trPr>
          <w:trHeight w:val="270"/>
        </w:trPr>
        <w:tc>
          <w:tcPr>
            <w:tcW w:w="6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3"/>
                <w:szCs w:val="23"/>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Expense</w:t>
            </w:r>
          </w:p>
        </w:tc>
        <w:tc>
          <w:tcPr>
            <w:tcW w:w="1260" w:type="dxa"/>
            <w:vAlign w:val="bottom"/>
            <w:gridSpan w:val="3"/>
          </w:tcPr>
          <w:p>
            <w:pPr>
              <w:jc w:val="right"/>
              <w:ind w:right="160"/>
              <w:spacing w:after="0" w:line="269" w:lineRule="exact"/>
              <w:rPr>
                <w:sz w:val="20"/>
                <w:szCs w:val="20"/>
                <w:color w:val="auto"/>
              </w:rPr>
            </w:pPr>
            <w:r>
              <w:rPr>
                <w:rFonts w:ascii="Arial" w:cs="Arial" w:eastAsia="Arial" w:hAnsi="Arial"/>
                <w:sz w:val="18"/>
                <w:szCs w:val="18"/>
                <w:b w:val="1"/>
                <w:bCs w:val="1"/>
                <w:color w:val="auto"/>
                <w:w w:val="91"/>
              </w:rPr>
              <w:t>Net Assets</w:t>
            </w:r>
            <w:r>
              <w:rPr>
                <w:rFonts w:ascii="Arial" w:cs="Arial" w:eastAsia="Arial" w:hAnsi="Arial"/>
                <w:sz w:val="30"/>
                <w:szCs w:val="30"/>
                <w:b w:val="1"/>
                <w:bCs w:val="1"/>
                <w:color w:val="auto"/>
                <w:w w:val="91"/>
                <w:vertAlign w:val="superscript"/>
              </w:rPr>
              <w:t>(1)</w:t>
            </w:r>
          </w:p>
        </w:tc>
      </w:tr>
      <w:tr>
        <w:trPr>
          <w:trHeight w:val="223"/>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Change in basis points</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CCEEFF"/>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Up 200 basis points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Down 300 basis points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(1,469)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Down 100 basis points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While our 2019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June 30, 2017,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other information set forth in this report, you should carefully consider the “Risk Factors” discussed in our annual report on Form 10-K for the year ended December 31, 2016,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six months ended June 30, 2017 to the risk factors set forth in “Item 1A. Risk Factors” of our annual report on Form 10-K for the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905"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Description</w:t>
      </w:r>
    </w:p>
    <w:p>
      <w:pPr>
        <w:spacing w:after="0" w:line="61" w:lineRule="exact"/>
        <w:rPr>
          <w:sz w:val="20"/>
          <w:szCs w:val="20"/>
          <w:color w:val="auto"/>
        </w:rPr>
      </w:pPr>
    </w:p>
    <w:p>
      <w:pPr>
        <w:sectPr>
          <w:pgSz w:w="11900" w:h="16838" w:orient="portrait"/>
          <w:cols w:equalWidth="0" w:num="2">
            <w:col w:w="4300" w:space="720"/>
            <w:col w:w="6400"/>
          </w:cols>
          <w:pgMar w:left="240" w:top="905" w:right="239" w:bottom="1440" w:gutter="0" w:footer="0" w:header="0"/>
          <w:type w:val="continuous"/>
        </w:sectPr>
      </w:pPr>
    </w:p>
    <w:p>
      <w:pPr>
        <w:ind w:left="1380" w:right="20" w:hanging="1005"/>
        <w:spacing w:after="0" w:line="258" w:lineRule="auto"/>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Certifications by Chief Executive Officer pursuant to Exchange Act Rule 13a-14(a), as adopted pursuant to Section 302 of the Sarbanes-Oxley Act of 2002,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380" w:hanging="1005"/>
        <w:spacing w:after="0" w:line="250" w:lineRule="auto"/>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Certifications by Chief Financial Officer pursuant to Exchange Act Rule 13a-14(a), as adopted pursuant to Section 302 of the Sarbanes-Oxley Act of 2002, as amended</w:t>
      </w:r>
    </w:p>
    <w:p>
      <w:pPr>
        <w:spacing w:after="0" w:line="1" w:lineRule="exact"/>
        <w:rPr>
          <w:sz w:val="20"/>
          <w:szCs w:val="20"/>
          <w:color w:val="auto"/>
        </w:rPr>
      </w:pPr>
    </w:p>
    <w:p>
      <w:pPr>
        <w:ind w:left="1380" w:right="20" w:hanging="1005"/>
        <w:spacing w:after="0" w:line="250" w:lineRule="auto"/>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18 U.S.C. Section 1350, as adopted pursuant to Section 906 of the Sarbanes-Oxley Act of 2002, as amended</w:t>
      </w:r>
    </w:p>
    <w:p>
      <w:pPr>
        <w:spacing w:after="0" w:line="1" w:lineRule="exact"/>
        <w:rPr>
          <w:sz w:val="20"/>
          <w:szCs w:val="20"/>
          <w:color w:val="auto"/>
        </w:rPr>
      </w:pPr>
    </w:p>
    <w:p>
      <w:pPr>
        <w:ind w:left="1380" w:hanging="1005"/>
        <w:spacing w:after="0" w:line="261" w:lineRule="auto"/>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18 U.S.C. Section 1350, as adopted pursuant to Section 906 of the Sarbanes-Oxley Act of 2002,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3"/>
          </w:tcPr>
          <w:p>
            <w:pPr>
              <w:ind w:left="214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 2017</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Robert D. Pomeroy, Jr.</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 and Chairman of the Board</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 2017</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648"/>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440" w:hanging="189"/>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251"/>
        <w:spacing w:after="0" w:line="342" w:lineRule="auto"/>
        <w:tabs>
          <w:tab w:leader="none" w:pos="4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51"/>
        <w:spacing w:after="0" w:line="277" w:lineRule="auto"/>
        <w:tabs>
          <w:tab w:leader="none" w:pos="4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51"/>
        <w:spacing w:after="0" w:line="264"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251"/>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251"/>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251"/>
        <w:spacing w:after="0" w:line="277" w:lineRule="auto"/>
        <w:tabs>
          <w:tab w:leader="none" w:pos="4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251"/>
        <w:spacing w:after="0" w:line="264"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251"/>
        <w:spacing w:after="0" w:line="308" w:lineRule="auto"/>
        <w:tabs>
          <w:tab w:leader="none" w:pos="43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251"/>
        <w:spacing w:after="0" w:line="277" w:lineRule="auto"/>
        <w:tabs>
          <w:tab w:leader="none" w:pos="4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251"/>
        <w:spacing w:after="0" w:line="277" w:lineRule="auto"/>
        <w:tabs>
          <w:tab w:leader="none" w:pos="4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D. Pomeroy, Jr.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440" w:hanging="189"/>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251"/>
        <w:spacing w:after="0" w:line="342" w:lineRule="auto"/>
        <w:tabs>
          <w:tab w:leader="none" w:pos="44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51"/>
        <w:spacing w:after="0" w:line="277" w:lineRule="auto"/>
        <w:tabs>
          <w:tab w:leader="none" w:pos="4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51"/>
        <w:spacing w:after="0" w:line="264"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251"/>
        <w:spacing w:after="0" w:line="264"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251"/>
        <w:spacing w:after="0" w:line="264"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251"/>
        <w:spacing w:after="0" w:line="277" w:lineRule="auto"/>
        <w:tabs>
          <w:tab w:leader="none" w:pos="4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251"/>
        <w:spacing w:after="0" w:line="264"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251"/>
        <w:spacing w:after="0" w:line="308" w:lineRule="auto"/>
        <w:tabs>
          <w:tab w:leader="none" w:pos="43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251"/>
        <w:spacing w:after="0" w:line="277" w:lineRule="auto"/>
        <w:tabs>
          <w:tab w:leader="none" w:pos="4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251"/>
        <w:spacing w:after="0" w:line="277" w:lineRule="auto"/>
        <w:tabs>
          <w:tab w:leader="none" w:pos="4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Trolio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2017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7" w:lineRule="exact"/>
        <w:rPr>
          <w:sz w:val="20"/>
          <w:szCs w:val="20"/>
          <w:color w:val="auto"/>
        </w:rPr>
      </w:pPr>
    </w:p>
    <w:p>
      <w:pPr>
        <w:ind w:left="460" w:hanging="245"/>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2017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7" w:lineRule="exact"/>
        <w:rPr>
          <w:sz w:val="20"/>
          <w:szCs w:val="20"/>
          <w:color w:val="auto"/>
        </w:rPr>
      </w:pPr>
    </w:p>
    <w:p>
      <w:pPr>
        <w:ind w:left="460" w:hanging="245"/>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lowerRoman"/>
      <w:start w:val="2"/>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2019-12-29T05:37:00Z</dcterms:created>
  <dcterms:modified xsi:type="dcterms:W3CDTF">2019-12-29T05:37:00Z</dcterms:modified>
</cp:coreProperties>
</file>