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420" w:right="1580" w:hanging="3133"/>
        <w:spacing w:after="0" w:line="501"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2017</w:t>
      </w:r>
    </w:p>
    <w:p>
      <w:pPr>
        <w:ind w:left="590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660" w:hanging="409"/>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tbl>
      <w:tblPr>
        <w:tblLayout w:type="fixed"/>
        <w:tblInd w:w="3560" w:type="dxa"/>
        <w:tblCellMar>
          <w:top w:w="0" w:type="dxa"/>
          <w:left w:w="0" w:type="dxa"/>
          <w:bottom w:w="0" w:type="dxa"/>
          <w:right w:w="0" w:type="dxa"/>
        </w:tblCellMar>
      </w:tblPr>
      <w:tr>
        <w:trPr>
          <w:trHeight w:val="207"/>
        </w:trPr>
        <w:tc>
          <w:tcPr>
            <w:tcW w:w="342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58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r>
      <w:tr>
        <w:trPr>
          <w:trHeight w:val="453"/>
        </w:trPr>
        <w:tc>
          <w:tcPr>
            <w:tcW w:w="4000" w:type="dxa"/>
            <w:vAlign w:val="bottom"/>
            <w:gridSpan w:val="2"/>
          </w:tcPr>
          <w:p>
            <w:pPr>
              <w:ind w:left="440"/>
              <w:spacing w:after="0"/>
              <w:rPr>
                <w:sz w:val="20"/>
                <w:szCs w:val="20"/>
                <w:color w:val="auto"/>
              </w:rPr>
            </w:pPr>
            <w:r>
              <w:rPr>
                <w:rFonts w:ascii="Arial" w:cs="Arial" w:eastAsia="Arial" w:hAnsi="Arial"/>
                <w:sz w:val="18"/>
                <w:szCs w:val="18"/>
                <w:b w:val="1"/>
                <w:bCs w:val="1"/>
                <w:color w:val="auto"/>
              </w:rPr>
              <w:t>COMMISSION FILE NUMBER: 814-00802</w:t>
            </w:r>
          </w:p>
        </w:tc>
        <w:tc>
          <w:tcPr>
            <w:tcW w:w="3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HORIZON TECHNOLOGY FINANCE CORPORATION</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4460" w:type="dxa"/>
            <w:vAlign w:val="bottom"/>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4900" w:type="dxa"/>
            <w:vAlign w:val="bottom"/>
          </w:tcPr>
          <w:p>
            <w:pPr>
              <w:jc w:val="right"/>
              <w:ind w:right="770"/>
              <w:spacing w:after="0"/>
              <w:rPr>
                <w:sz w:val="20"/>
                <w:szCs w:val="20"/>
                <w:color w:val="auto"/>
              </w:rPr>
            </w:pPr>
            <w:r>
              <w:rPr>
                <w:rFonts w:ascii="Arial" w:cs="Arial" w:eastAsia="Arial" w:hAnsi="Arial"/>
                <w:sz w:val="18"/>
                <w:szCs w:val="18"/>
                <w:b w:val="1"/>
                <w:bCs w:val="1"/>
                <w:color w:val="auto"/>
              </w:rPr>
              <w:t>27-2114934</w:t>
            </w:r>
          </w:p>
        </w:tc>
      </w:tr>
      <w:tr>
        <w:trPr>
          <w:trHeight w:val="230"/>
        </w:trPr>
        <w:tc>
          <w:tcPr>
            <w:tcW w:w="4460" w:type="dxa"/>
            <w:vAlign w:val="bottom"/>
          </w:tcPr>
          <w:p>
            <w:pPr>
              <w:jc w:val="center"/>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4900" w:type="dxa"/>
            <w:vAlign w:val="bottom"/>
          </w:tcPr>
          <w:p>
            <w:pPr>
              <w:jc w:val="center"/>
              <w:ind w:left="223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14"/>
        </w:trPr>
        <w:tc>
          <w:tcPr>
            <w:tcW w:w="4460" w:type="dxa"/>
            <w:vAlign w:val="bottom"/>
          </w:tcPr>
          <w:p>
            <w:pPr>
              <w:jc w:val="center"/>
              <w:spacing w:after="0"/>
              <w:rPr>
                <w:sz w:val="20"/>
                <w:szCs w:val="20"/>
                <w:color w:val="auto"/>
              </w:rPr>
            </w:pPr>
            <w:r>
              <w:rPr>
                <w:rFonts w:ascii="Arial" w:cs="Arial" w:eastAsia="Arial" w:hAnsi="Arial"/>
                <w:sz w:val="18"/>
                <w:szCs w:val="18"/>
                <w:b w:val="1"/>
                <w:bCs w:val="1"/>
                <w:color w:val="auto"/>
                <w:w w:val="91"/>
              </w:rPr>
              <w:t>312 Farmington Avenue</w:t>
            </w:r>
          </w:p>
        </w:tc>
        <w:tc>
          <w:tcPr>
            <w:tcW w:w="4900" w:type="dxa"/>
            <w:vAlign w:val="bottom"/>
          </w:tcPr>
          <w:p>
            <w:pPr>
              <w:spacing w:after="0"/>
              <w:rPr>
                <w:sz w:val="24"/>
                <w:szCs w:val="24"/>
                <w:color w:val="auto"/>
              </w:rPr>
            </w:pPr>
          </w:p>
        </w:tc>
      </w:tr>
      <w:tr>
        <w:trPr>
          <w:trHeight w:val="220"/>
        </w:trPr>
        <w:tc>
          <w:tcPr>
            <w:tcW w:w="4460" w:type="dxa"/>
            <w:vAlign w:val="bottom"/>
          </w:tcPr>
          <w:p>
            <w:pPr>
              <w:jc w:val="center"/>
              <w:spacing w:after="0"/>
              <w:rPr>
                <w:sz w:val="20"/>
                <w:szCs w:val="20"/>
                <w:color w:val="auto"/>
              </w:rPr>
            </w:pPr>
            <w:r>
              <w:rPr>
                <w:rFonts w:ascii="Arial" w:cs="Arial" w:eastAsia="Arial" w:hAnsi="Arial"/>
                <w:sz w:val="18"/>
                <w:szCs w:val="18"/>
                <w:b w:val="1"/>
                <w:bCs w:val="1"/>
                <w:color w:val="auto"/>
                <w:w w:val="94"/>
              </w:rPr>
              <w:t>Farmington, CT</w:t>
            </w:r>
          </w:p>
        </w:tc>
        <w:tc>
          <w:tcPr>
            <w:tcW w:w="4900" w:type="dxa"/>
            <w:vAlign w:val="bottom"/>
          </w:tcPr>
          <w:p>
            <w:pPr>
              <w:jc w:val="right"/>
              <w:ind w:right="970"/>
              <w:spacing w:after="0"/>
              <w:rPr>
                <w:sz w:val="20"/>
                <w:szCs w:val="20"/>
                <w:color w:val="auto"/>
              </w:rPr>
            </w:pPr>
            <w:r>
              <w:rPr>
                <w:rFonts w:ascii="Arial" w:cs="Arial" w:eastAsia="Arial" w:hAnsi="Arial"/>
                <w:sz w:val="18"/>
                <w:szCs w:val="18"/>
                <w:b w:val="1"/>
                <w:bCs w:val="1"/>
                <w:color w:val="auto"/>
              </w:rPr>
              <w:t>06032</w:t>
            </w:r>
          </w:p>
        </w:tc>
      </w:tr>
      <w:tr>
        <w:trPr>
          <w:trHeight w:val="230"/>
        </w:trPr>
        <w:tc>
          <w:tcPr>
            <w:tcW w:w="4460" w:type="dxa"/>
            <w:vAlign w:val="bottom"/>
          </w:tcPr>
          <w:p>
            <w:pPr>
              <w:jc w:val="center"/>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900" w:type="dxa"/>
            <w:vAlign w:val="bottom"/>
          </w:tcPr>
          <w:p>
            <w:pPr>
              <w:jc w:val="center"/>
              <w:ind w:left="2230"/>
              <w:spacing w:after="0"/>
              <w:rPr>
                <w:sz w:val="20"/>
                <w:szCs w:val="20"/>
                <w:color w:val="auto"/>
              </w:rPr>
            </w:pPr>
            <w:r>
              <w:rPr>
                <w:rFonts w:ascii="Arial" w:cs="Arial" w:eastAsia="Arial" w:hAnsi="Arial"/>
                <w:sz w:val="18"/>
                <w:szCs w:val="18"/>
                <w:i w:val="1"/>
                <w:iCs w:val="1"/>
                <w:color w:val="auto"/>
                <w:w w:val="91"/>
              </w:rPr>
              <w:t>(Zip Code)</w:t>
            </w:r>
          </w:p>
        </w:tc>
      </w:tr>
      <w:tr>
        <w:trPr>
          <w:trHeight w:val="432"/>
        </w:trPr>
        <w:tc>
          <w:tcPr>
            <w:tcW w:w="4460" w:type="dxa"/>
            <w:vAlign w:val="bottom"/>
          </w:tcPr>
          <w:p>
            <w:pPr>
              <w:spacing w:after="0"/>
              <w:rPr>
                <w:sz w:val="24"/>
                <w:szCs w:val="24"/>
                <w:color w:val="auto"/>
              </w:rPr>
            </w:pPr>
          </w:p>
        </w:tc>
        <w:tc>
          <w:tcPr>
            <w:tcW w:w="4900" w:type="dxa"/>
            <w:vAlign w:val="bottom"/>
          </w:tcPr>
          <w:p>
            <w:pPr>
              <w:jc w:val="right"/>
              <w:ind w:right="3610"/>
              <w:spacing w:after="0"/>
              <w:rPr>
                <w:sz w:val="20"/>
                <w:szCs w:val="20"/>
                <w:color w:val="auto"/>
              </w:rPr>
            </w:pPr>
            <w:r>
              <w:rPr>
                <w:rFonts w:ascii="Arial" w:cs="Arial" w:eastAsia="Arial" w:hAnsi="Arial"/>
                <w:sz w:val="18"/>
                <w:szCs w:val="18"/>
                <w:b w:val="1"/>
                <w:bCs w:val="1"/>
                <w:color w:val="auto"/>
                <w:w w:val="95"/>
              </w:rPr>
              <w:t>(860) 676-8654</w:t>
            </w:r>
          </w:p>
        </w:tc>
      </w:tr>
    </w:tbl>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8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7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54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10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540" w:type="dxa"/>
            <w:vAlign w:val="bottom"/>
          </w:tcPr>
          <w:p>
            <w:pPr>
              <w:ind w:left="12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1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7880" w:type="dxa"/>
            <w:vAlign w:val="bottom"/>
            <w:gridSpan w:val="2"/>
          </w:tcPr>
          <w:p>
            <w:pPr>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w:t>
            </w:r>
          </w:p>
        </w:tc>
        <w:tc>
          <w:tcPr>
            <w:tcW w:w="2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w w:val="94"/>
              </w:rPr>
              <w:t>transition period for complying with any new or revised financial accounting standards provided pursuant</w:t>
            </w:r>
          </w:p>
        </w:tc>
        <w:tc>
          <w:tcPr>
            <w:tcW w:w="254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780" w:type="dxa"/>
            <w:vAlign w:val="bottom"/>
          </w:tcPr>
          <w:p>
            <w:pPr>
              <w:spacing w:after="0"/>
              <w:rPr>
                <w:sz w:val="20"/>
                <w:szCs w:val="20"/>
                <w:color w:val="auto"/>
              </w:rPr>
            </w:pPr>
            <w:r>
              <w:rPr>
                <w:rFonts w:ascii="Arial" w:cs="Arial" w:eastAsia="Arial" w:hAnsi="Arial"/>
                <w:sz w:val="18"/>
                <w:szCs w:val="18"/>
                <w:color w:val="auto"/>
                <w:w w:val="94"/>
              </w:rPr>
              <w:t>to Section 13(a) of the Exchange Act</w:t>
            </w:r>
          </w:p>
        </w:tc>
        <w:tc>
          <w:tcPr>
            <w:tcW w:w="5100" w:type="dxa"/>
            <w:vAlign w:val="bottom"/>
          </w:tcPr>
          <w:p>
            <w:pPr>
              <w:spacing w:after="0"/>
              <w:rPr>
                <w:sz w:val="21"/>
                <w:szCs w:val="21"/>
                <w:color w:val="auto"/>
              </w:rPr>
            </w:pPr>
          </w:p>
        </w:tc>
        <w:tc>
          <w:tcPr>
            <w:tcW w:w="25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9"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the registrant’s common stock, $0.001 par value per share, outstanding as of October 31, 2017 was 11,517,984.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74"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360" w:type="dxa"/>
            <w:vAlign w:val="bottom"/>
            <w:gridSpan w:val="16"/>
          </w:tcPr>
          <w:p>
            <w:pPr>
              <w:jc w:val="center"/>
              <w:ind w:right="1780"/>
              <w:spacing w:after="0"/>
              <w:rPr>
                <w:sz w:val="20"/>
                <w:szCs w:val="20"/>
                <w:color w:val="auto"/>
              </w:rPr>
            </w:pPr>
            <w:r>
              <w:rPr>
                <w:rFonts w:ascii="Arial" w:cs="Arial" w:eastAsia="Arial" w:hAnsi="Arial"/>
                <w:sz w:val="18"/>
                <w:szCs w:val="18"/>
                <w:b w:val="1"/>
                <w:bCs w:val="1"/>
                <w:color w:val="auto"/>
              </w:rPr>
              <w:t>HORIZON TECHNOLOGY FINANCE CORPORATION</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20" w:type="dxa"/>
            <w:vAlign w:val="bottom"/>
            <w:gridSpan w:val="14"/>
          </w:tcPr>
          <w:p>
            <w:pPr>
              <w:jc w:val="center"/>
              <w:ind w:right="2520"/>
              <w:spacing w:after="0"/>
              <w:rPr>
                <w:sz w:val="20"/>
                <w:szCs w:val="20"/>
                <w:color w:val="auto"/>
              </w:rPr>
            </w:pPr>
            <w:r>
              <w:rPr>
                <w:rFonts w:ascii="Arial" w:cs="Arial" w:eastAsia="Arial" w:hAnsi="Arial"/>
                <w:sz w:val="18"/>
                <w:szCs w:val="18"/>
                <w:b w:val="1"/>
                <w:bCs w:val="1"/>
                <w:color w:val="auto"/>
                <w:w w:val="99"/>
              </w:rPr>
              <w:t>FORM 10-Q</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20" w:type="dxa"/>
            <w:vAlign w:val="bottom"/>
            <w:gridSpan w:val="14"/>
          </w:tcPr>
          <w:p>
            <w:pPr>
              <w:jc w:val="center"/>
              <w:ind w:right="2500"/>
              <w:spacing w:after="0"/>
              <w:rPr>
                <w:sz w:val="20"/>
                <w:szCs w:val="20"/>
                <w:color w:val="auto"/>
              </w:rPr>
            </w:pPr>
            <w:r>
              <w:rPr>
                <w:rFonts w:ascii="Arial" w:cs="Arial" w:eastAsia="Arial" w:hAnsi="Arial"/>
                <w:sz w:val="18"/>
                <w:szCs w:val="18"/>
                <w:b w:val="1"/>
                <w:bCs w:val="1"/>
                <w:color w:val="auto"/>
                <w:w w:val="98"/>
              </w:rPr>
              <w:t>TABLE OF CONTENTS</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gridSpan w:val="5"/>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0000EE"/>
            </w:tcBorders>
            <w:gridSpan w:val="4"/>
            <w:shd w:val="clear" w:color="auto" w:fill="CCEEFF"/>
          </w:tcPr>
          <w:p>
            <w:pPr>
              <w:jc w:val="center"/>
              <w:spacing w:after="0" w:line="15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4260" w:type="dxa"/>
            <w:vAlign w:val="bottom"/>
            <w:tcBorders>
              <w:bottom w:val="single" w:sz="8" w:color="CCEEFF"/>
            </w:tcBorders>
            <w:gridSpan w:val="8"/>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3"/>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20" w:type="dxa"/>
            <w:vAlign w:val="bottom"/>
            <w:gridSpan w:val="22"/>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660" w:type="dxa"/>
            <w:vAlign w:val="bottom"/>
            <w:gridSpan w:val="4"/>
          </w:tcPr>
          <w:p>
            <w:pPr>
              <w:jc w:val="center"/>
              <w:ind w:left="390"/>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120" w:type="dxa"/>
            <w:vAlign w:val="bottom"/>
            <w:gridSpan w:val="22"/>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Assets and Liabilities as of September 30, 2017 and December 31, 2016 (unaudited)</w:t>
              </w:r>
            </w:hyperlink>
          </w:p>
        </w:tc>
        <w:tc>
          <w:tcPr>
            <w:tcW w:w="660" w:type="dxa"/>
            <w:vAlign w:val="bottom"/>
            <w:gridSpan w:val="4"/>
          </w:tcPr>
          <w:p>
            <w:pPr>
              <w:jc w:val="center"/>
              <w:ind w:left="390"/>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52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for the three and nine months ended September 30, 2017 and 2016 (unaudited)</w:t>
              </w:r>
            </w:hyperlink>
          </w:p>
        </w:tc>
        <w:tc>
          <w:tcPr>
            <w:tcW w:w="600" w:type="dxa"/>
            <w:vAlign w:val="bottom"/>
            <w:tcBorders>
              <w:bottom w:val="single" w:sz="8" w:color="CCEEFF"/>
            </w:tcBorders>
            <w:gridSpan w:val="2"/>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center"/>
              <w:spacing w:after="0" w:line="17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120" w:type="dxa"/>
            <w:vAlign w:val="bottom"/>
            <w:gridSpan w:val="22"/>
          </w:tcPr>
          <w:p>
            <w:pPr>
              <w:spacing w:after="0" w:line="17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Consolidated Statements of Changes in Net Assets for the nine months ended September 30, 2017 and 2016 (unaudited)</w:t>
              </w:r>
            </w:hyperlink>
          </w:p>
        </w:tc>
        <w:tc>
          <w:tcPr>
            <w:tcW w:w="660" w:type="dxa"/>
            <w:vAlign w:val="bottom"/>
            <w:gridSpan w:val="4"/>
          </w:tcPr>
          <w:p>
            <w:pPr>
              <w:jc w:val="center"/>
              <w:ind w:left="390"/>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nine months ended September 30, 2017 and 2016 (unaudited)</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7860" w:type="dxa"/>
            <w:vAlign w:val="bottom"/>
            <w:tcBorders>
              <w:top w:val="single" w:sz="8" w:color="0000EE"/>
            </w:tcBorders>
            <w:gridSpan w:val="18"/>
          </w:tcPr>
          <w:p>
            <w:pPr>
              <w:spacing w:after="0" w:line="17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Consolidated Schedules of Investments as of September 30, 2017 and December 31, 2016 (unaudited)</w:t>
              </w:r>
            </w:hyperlink>
          </w:p>
        </w:tc>
        <w:tc>
          <w:tcPr>
            <w:tcW w:w="1260" w:type="dxa"/>
            <w:vAlign w:val="bottom"/>
            <w:tcBorders>
              <w:top w:val="single" w:sz="8" w:color="CCEEFF"/>
            </w:tcBorders>
            <w:gridSpan w:val="4"/>
          </w:tcPr>
          <w:p>
            <w:pPr>
              <w:spacing w:after="0"/>
              <w:rPr>
                <w:sz w:val="15"/>
                <w:szCs w:val="15"/>
                <w:color w:val="auto"/>
              </w:rPr>
            </w:pPr>
          </w:p>
        </w:tc>
        <w:tc>
          <w:tcPr>
            <w:tcW w:w="520" w:type="dxa"/>
            <w:vAlign w:val="bottom"/>
            <w:tcBorders>
              <w:top w:val="single" w:sz="8" w:color="CCEEFF"/>
            </w:tcBorders>
            <w:gridSpan w:val="2"/>
          </w:tcPr>
          <w:p>
            <w:pPr>
              <w:spacing w:after="0"/>
              <w:rPr>
                <w:sz w:val="15"/>
                <w:szCs w:val="15"/>
                <w:color w:val="auto"/>
              </w:rPr>
            </w:pPr>
          </w:p>
        </w:tc>
        <w:tc>
          <w:tcPr>
            <w:tcW w:w="100" w:type="dxa"/>
            <w:vAlign w:val="bottom"/>
            <w:tcBorders>
              <w:top w:val="single" w:sz="8" w:color="0000EE"/>
            </w:tcBorders>
          </w:tcPr>
          <w:p>
            <w:pPr>
              <w:jc w:val="center"/>
              <w:spacing w:after="0" w:line="17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Notes to the Consolidated Financial Statements (unaudited)</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18</w:t>
              </w:r>
            </w:hyperlink>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3"/>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Item 2.</w:t>
              </w:r>
            </w:hyperlink>
          </w:p>
        </w:tc>
        <w:tc>
          <w:tcPr>
            <w:tcW w:w="9120" w:type="dxa"/>
            <w:vAlign w:val="bottom"/>
            <w:gridSpan w:val="22"/>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660" w:type="dxa"/>
            <w:vAlign w:val="bottom"/>
            <w:gridSpan w:val="4"/>
          </w:tcPr>
          <w:p>
            <w:pPr>
              <w:jc w:val="center"/>
              <w:ind w:left="390"/>
              <w:spacing w:after="0" w:line="17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Item 3.</w:t>
              </w:r>
            </w:hyperlink>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43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Quantitative and Qualitative Disclosures About Market Risk</w:t>
              </w:r>
            </w:hyperlink>
          </w:p>
        </w:tc>
        <w:tc>
          <w:tcPr>
            <w:tcW w:w="4760" w:type="dxa"/>
            <w:vAlign w:val="bottom"/>
            <w:tcBorders>
              <w:bottom w:val="single" w:sz="8" w:color="CCEEFF"/>
            </w:tcBorders>
            <w:gridSpan w:val="9"/>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4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3"/>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Item 4.</w:t>
              </w:r>
            </w:hyperlink>
          </w:p>
        </w:tc>
        <w:tc>
          <w:tcPr>
            <w:tcW w:w="9120" w:type="dxa"/>
            <w:vAlign w:val="bottom"/>
            <w:gridSpan w:val="22"/>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Controls and Procedures</w:t>
              </w:r>
            </w:hyperlink>
          </w:p>
        </w:tc>
        <w:tc>
          <w:tcPr>
            <w:tcW w:w="660" w:type="dxa"/>
            <w:vAlign w:val="bottom"/>
            <w:gridSpan w:val="4"/>
          </w:tcPr>
          <w:p>
            <w:pPr>
              <w:jc w:val="center"/>
              <w:ind w:left="390"/>
              <w:spacing w:after="0" w:line="17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53</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880" w:type="dxa"/>
            <w:vAlign w:val="bottom"/>
            <w:gridSpan w:val="13"/>
          </w:tcPr>
          <w:p>
            <w:pPr>
              <w:jc w:val="center"/>
              <w:ind w:right="4240"/>
              <w:spacing w:after="0" w:line="176" w:lineRule="exact"/>
              <w:rPr>
                <w:rFonts w:ascii="Arial" w:cs="Arial" w:eastAsia="Arial" w:hAnsi="Arial"/>
                <w:sz w:val="18"/>
                <w:szCs w:val="18"/>
                <w:b w:val="1"/>
                <w:bCs w:val="1"/>
                <w:color w:val="0000EE"/>
                <w:w w:val="99"/>
              </w:rPr>
            </w:pPr>
            <w:hyperlink w:anchor="page54">
              <w:r>
                <w:rPr>
                  <w:rFonts w:ascii="Arial" w:cs="Arial" w:eastAsia="Arial" w:hAnsi="Arial"/>
                  <w:sz w:val="18"/>
                  <w:szCs w:val="18"/>
                  <w:b w:val="1"/>
                  <w:bCs w:val="1"/>
                  <w:color w:val="0000EE"/>
                  <w:w w:val="99"/>
                </w:rPr>
                <w:t>PART II</w:t>
              </w:r>
            </w:hyperlink>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Item 1.</w:t>
              </w:r>
            </w:hyperlink>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13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Legal Proceedings</w:t>
              </w:r>
            </w:hyperlink>
          </w:p>
        </w:tc>
        <w:tc>
          <w:tcPr>
            <w:tcW w:w="7780" w:type="dxa"/>
            <w:vAlign w:val="bottom"/>
            <w:tcBorders>
              <w:bottom w:val="single" w:sz="8" w:color="CCEEFF"/>
            </w:tcBorders>
            <w:gridSpan w:val="17"/>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54</w:t>
              </w:r>
            </w:hyperlink>
          </w:p>
        </w:tc>
        <w:tc>
          <w:tcPr>
            <w:tcW w:w="4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3"/>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Item 1A.</w:t>
              </w:r>
            </w:hyperlink>
          </w:p>
        </w:tc>
        <w:tc>
          <w:tcPr>
            <w:tcW w:w="9120" w:type="dxa"/>
            <w:vAlign w:val="bottom"/>
            <w:gridSpan w:val="22"/>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Risk Factors</w:t>
              </w:r>
            </w:hyperlink>
          </w:p>
        </w:tc>
        <w:tc>
          <w:tcPr>
            <w:tcW w:w="660" w:type="dxa"/>
            <w:vAlign w:val="bottom"/>
            <w:gridSpan w:val="4"/>
          </w:tcPr>
          <w:p>
            <w:pPr>
              <w:jc w:val="center"/>
              <w:ind w:left="390"/>
              <w:spacing w:after="0" w:line="17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54</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Item 2.</w:t>
              </w:r>
            </w:hyperlink>
          </w:p>
        </w:tc>
        <w:tc>
          <w:tcPr>
            <w:tcW w:w="640" w:type="dxa"/>
            <w:vAlign w:val="bottom"/>
            <w:gridSpan w:val="2"/>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Unregistered Sales of Equity Securities and Use of Proceeds</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54</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Item 3.</w:t>
              </w:r>
            </w:hyperlink>
          </w:p>
        </w:tc>
        <w:tc>
          <w:tcPr>
            <w:tcW w:w="640" w:type="dxa"/>
            <w:vAlign w:val="bottom"/>
            <w:tcBorders>
              <w:top w:val="single" w:sz="8" w:color="CCEEFF"/>
            </w:tcBorders>
            <w:gridSpan w:val="2"/>
          </w:tcPr>
          <w:p>
            <w:pPr>
              <w:spacing w:after="0"/>
              <w:rPr>
                <w:sz w:val="15"/>
                <w:szCs w:val="15"/>
                <w:color w:val="auto"/>
              </w:rPr>
            </w:pPr>
          </w:p>
        </w:tc>
        <w:tc>
          <w:tcPr>
            <w:tcW w:w="434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Defaults Upon Senior Securities</w:t>
              </w:r>
            </w:hyperlink>
          </w:p>
        </w:tc>
        <w:tc>
          <w:tcPr>
            <w:tcW w:w="4780" w:type="dxa"/>
            <w:vAlign w:val="bottom"/>
            <w:tcBorders>
              <w:top w:val="single" w:sz="8" w:color="CCEEFF"/>
            </w:tcBorders>
            <w:gridSpan w:val="10"/>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3"/>
          </w:tcPr>
          <w:p>
            <w:pPr>
              <w:jc w:val="center"/>
              <w:spacing w:after="0" w:line="17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54</w:t>
              </w:r>
            </w:hyperlink>
          </w:p>
        </w:tc>
        <w:tc>
          <w:tcPr>
            <w:tcW w:w="4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Item 4.</w:t>
              </w:r>
            </w:hyperlink>
          </w:p>
        </w:tc>
        <w:tc>
          <w:tcPr>
            <w:tcW w:w="640" w:type="dxa"/>
            <w:vAlign w:val="bottom"/>
            <w:gridSpan w:val="2"/>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Mine Safety Disclosures</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54</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Item 5.</w:t>
              </w:r>
            </w:hyperlink>
          </w:p>
        </w:tc>
        <w:tc>
          <w:tcPr>
            <w:tcW w:w="640" w:type="dxa"/>
            <w:vAlign w:val="bottom"/>
            <w:tcBorders>
              <w:top w:val="single" w:sz="8" w:color="CCEEFF"/>
            </w:tcBorders>
            <w:gridSpan w:val="2"/>
          </w:tcPr>
          <w:p>
            <w:pPr>
              <w:spacing w:after="0"/>
              <w:rPr>
                <w:sz w:val="15"/>
                <w:szCs w:val="15"/>
                <w:color w:val="auto"/>
              </w:rPr>
            </w:pPr>
          </w:p>
        </w:tc>
        <w:tc>
          <w:tcPr>
            <w:tcW w:w="176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7360" w:type="dxa"/>
            <w:vAlign w:val="bottom"/>
            <w:tcBorders>
              <w:top w:val="single" w:sz="8" w:color="CCEEFF"/>
            </w:tcBorders>
            <w:gridSpan w:val="16"/>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3"/>
          </w:tcPr>
          <w:p>
            <w:pPr>
              <w:jc w:val="center"/>
              <w:spacing w:after="0" w:line="17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54</w:t>
              </w:r>
            </w:hyperlink>
          </w:p>
        </w:tc>
        <w:tc>
          <w:tcPr>
            <w:tcW w:w="4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Item 6.</w:t>
              </w:r>
            </w:hyperlink>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Exhibits</w:t>
              </w:r>
            </w:hyperlink>
          </w:p>
        </w:tc>
        <w:tc>
          <w:tcPr>
            <w:tcW w:w="8520" w:type="dxa"/>
            <w:vAlign w:val="bottom"/>
            <w:tcBorders>
              <w:bottom w:val="single" w:sz="8" w:color="CCEEFF"/>
            </w:tcBorders>
            <w:gridSpan w:val="21"/>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54</w:t>
              </w:r>
            </w:hyperlink>
          </w:p>
        </w:tc>
        <w:tc>
          <w:tcPr>
            <w:tcW w:w="4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Borders>
              <w:bottom w:val="single" w:sz="8" w:color="0000EE"/>
            </w:tcBorders>
            <w:gridSpan w:val="2"/>
          </w:tcPr>
          <w:p>
            <w:pPr>
              <w:spacing w:after="0" w:line="176" w:lineRule="exact"/>
              <w:rPr>
                <w:rFonts w:ascii="Arial" w:cs="Arial" w:eastAsia="Arial" w:hAnsi="Arial"/>
                <w:sz w:val="18"/>
                <w:szCs w:val="18"/>
                <w:color w:val="0000EE"/>
                <w:w w:val="85"/>
              </w:rPr>
            </w:pPr>
            <w:hyperlink w:anchor="page55">
              <w:r>
                <w:rPr>
                  <w:rFonts w:ascii="Arial" w:cs="Arial" w:eastAsia="Arial" w:hAnsi="Arial"/>
                  <w:sz w:val="18"/>
                  <w:szCs w:val="18"/>
                  <w:color w:val="0000EE"/>
                  <w:w w:val="85"/>
                </w:rPr>
                <w:t>Signatures</w:t>
              </w:r>
            </w:hyperlink>
          </w:p>
        </w:tc>
        <w:tc>
          <w:tcPr>
            <w:tcW w:w="8360" w:type="dxa"/>
            <w:vAlign w:val="bottom"/>
            <w:gridSpan w:val="20"/>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bottom w:val="single" w:sz="8" w:color="0000EE"/>
            </w:tcBorders>
            <w:gridSpan w:val="3"/>
          </w:tcPr>
          <w:p>
            <w:pPr>
              <w:jc w:val="center"/>
              <w:spacing w:after="0" w:line="17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55</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EX-31.1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EX-31.2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EX-32.2</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80" w:type="dxa"/>
            <w:vAlign w:val="bottom"/>
          </w:tcPr>
          <w:p>
            <w:pPr>
              <w:jc w:val="center"/>
              <w:ind w:left="2810"/>
              <w:spacing w:after="0"/>
              <w:rPr>
                <w:sz w:val="20"/>
                <w:szCs w:val="20"/>
                <w:color w:val="auto"/>
              </w:rPr>
            </w:pPr>
            <w:r>
              <w:rPr>
                <w:rFonts w:ascii="Arial" w:cs="Arial" w:eastAsia="Arial" w:hAnsi="Arial"/>
                <w:sz w:val="18"/>
                <w:szCs w:val="18"/>
                <w:b w:val="1"/>
                <w:bCs w:val="1"/>
                <w:color w:val="auto"/>
                <w:w w:val="90"/>
              </w:rPr>
              <w:t>Horizon Technology Finance Corporation and Subsidiaries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80" w:type="dxa"/>
            <w:vAlign w:val="bottom"/>
          </w:tcPr>
          <w:p>
            <w:pPr>
              <w:jc w:val="center"/>
              <w:ind w:left="2810"/>
              <w:spacing w:after="0"/>
              <w:rPr>
                <w:sz w:val="20"/>
                <w:szCs w:val="20"/>
                <w:color w:val="auto"/>
              </w:rPr>
            </w:pPr>
            <w:r>
              <w:rPr>
                <w:rFonts w:ascii="Arial" w:cs="Arial" w:eastAsia="Arial" w:hAnsi="Arial"/>
                <w:sz w:val="18"/>
                <w:szCs w:val="18"/>
                <w:b w:val="1"/>
                <w:bCs w:val="1"/>
                <w:color w:val="auto"/>
                <w:w w:val="89"/>
              </w:rPr>
              <w:t>Consolidated Statements of Assets and Liabilities (Unaudited)</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80" w:type="dxa"/>
            <w:vAlign w:val="bottom"/>
          </w:tcPr>
          <w:p>
            <w:pPr>
              <w:jc w:val="center"/>
              <w:ind w:left="2810"/>
              <w:spacing w:after="0"/>
              <w:rPr>
                <w:sz w:val="20"/>
                <w:szCs w:val="20"/>
                <w:color w:val="auto"/>
              </w:rPr>
            </w:pPr>
            <w:r>
              <w:rPr>
                <w:rFonts w:ascii="Arial" w:cs="Arial" w:eastAsia="Arial" w:hAnsi="Arial"/>
                <w:sz w:val="18"/>
                <w:szCs w:val="18"/>
                <w:b w:val="1"/>
                <w:bCs w:val="1"/>
                <w:color w:val="auto"/>
                <w:w w:val="88"/>
              </w:rPr>
              <w:t>(Dollars in thousands, except share and per share data)</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September 30,</w:t>
            </w:r>
          </w:p>
        </w:tc>
        <w:tc>
          <w:tcPr>
            <w:tcW w:w="60" w:type="dxa"/>
            <w:vAlign w:val="bottom"/>
          </w:tcPr>
          <w:p>
            <w:pPr>
              <w:spacing w:after="0"/>
              <w:rPr>
                <w:sz w:val="24"/>
                <w:szCs w:val="24"/>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Non-affiliate investments at fair value (cost of $184,124 and $211,627, respectively) (Note 4)</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173,211</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194,003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Affiliate investments at fair value (cost of $3,767)(Note 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3,493</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Total investments at fair value (cost of $187,891 and $211,627, respectively)</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176,704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22,326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Interest receivable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4,366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1,413</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204,809</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239,252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Borrowings (Note 7)</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64,101</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Distributions payable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3,455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 payable (Note 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Incentive fee payable (Note 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68,813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100,060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Preferred stock, par value $0.001 per share, 1,000,000 shares authorized, zero shares issued and outstanding as of</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30, 2017 and December 31, 2016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80" w:type="dxa"/>
            <w:vAlign w:val="bottom"/>
          </w:tcPr>
          <w:p>
            <w:pPr>
              <w:spacing w:after="0" w:line="201" w:lineRule="exact"/>
              <w:rPr>
                <w:sz w:val="20"/>
                <w:szCs w:val="20"/>
                <w:color w:val="auto"/>
              </w:rPr>
            </w:pPr>
            <w:r>
              <w:rPr>
                <w:rFonts w:ascii="Arial" w:cs="Arial" w:eastAsia="Arial" w:hAnsi="Arial"/>
                <w:sz w:val="18"/>
                <w:szCs w:val="18"/>
                <w:color w:val="auto"/>
                <w:w w:val="89"/>
              </w:rPr>
              <w:t>Common stock, par value $0.001 per share, 100,000,000 shares authorized, 11,684,244 and 11,671,966 shares issued</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w w:val="89"/>
              </w:rPr>
              <w:t>and 11,516,779 and 11,510,424 shares outstanding as of September 30, 2017 and December 31, 2016, respectively</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179,626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Distributions in excess of net investment income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(846)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(11,187)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(31,609)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(20,511)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net assets</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135,996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 and net assets</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204,809</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239,252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8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Net asset value per common share</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11.81</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4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4"/>
              </w:rPr>
              <w:t>For the Three Months Ended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2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w w:val="94"/>
              </w:rPr>
              <w:t>For the 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Interest income on investments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non-affiliate investments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6,819</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17,861</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income on affiliate investments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interest income on investments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Fee income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Prepayment fee income on non-affiliate investments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Fee income on non-affiliate investments</w:t>
            </w:r>
          </w:p>
        </w:tc>
        <w:tc>
          <w:tcPr>
            <w:tcW w:w="1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485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 income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Base management fee (Note 3)</w:t>
            </w:r>
          </w:p>
        </w:tc>
        <w:tc>
          <w:tcPr>
            <w:tcW w:w="1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921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2,783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Performance based incentive fee (Note 3)</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Administrative fee (Note 3)</w:t>
            </w:r>
          </w:p>
        </w:tc>
        <w:tc>
          <w:tcPr>
            <w:tcW w:w="1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575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investment income before excise tax</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Credit for excise tax</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investment income</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Net realized and unrealized loss on investments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gain on non-affiliate investments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(11,098)</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realized (loss) gain on investments</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(2,857</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9"/>
              </w:rPr>
              <w:t>Net unrealized (depreciation) appreciation on non-affiliate investments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(14,752)</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unrealized depreciation on affiliate investments</w:t>
            </w:r>
          </w:p>
        </w:tc>
        <w:tc>
          <w:tcPr>
            <w:tcW w:w="1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unrealized (depreciation) appreciation on investments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(14,752</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realized and unrealized loss on investments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(17,609</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2,709</w:t>
            </w:r>
          </w:p>
        </w:tc>
        <w:tc>
          <w:tcPr>
            <w:tcW w:w="160" w:type="dxa"/>
            <w:vAlign w:val="bottom"/>
          </w:tcPr>
          <w:p>
            <w:pPr>
              <w:spacing w:after="0"/>
              <w:rPr>
                <w:sz w:val="24"/>
                <w:szCs w:val="24"/>
                <w:color w:val="auto"/>
              </w:rPr>
            </w:pP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(5,643)</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7,095</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(4,325)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investment income per common share</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spacing w:after="0"/>
              <w:rPr>
                <w:sz w:val="20"/>
                <w:szCs w:val="20"/>
                <w:color w:val="auto"/>
              </w:rPr>
            </w:pPr>
            <w:r>
              <w:rPr>
                <w:rFonts w:ascii="Arial" w:cs="Arial" w:eastAsia="Arial" w:hAnsi="Arial"/>
                <w:sz w:val="18"/>
                <w:szCs w:val="18"/>
                <w:color w:val="auto"/>
              </w:rPr>
              <w:t>Net increase (decrease) in net assets per common share</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0.24</w:t>
            </w:r>
          </w:p>
        </w:tc>
        <w:tc>
          <w:tcPr>
            <w:tcW w:w="16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(0.49</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0.62</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Distributions declared per share</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0.30</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0.345</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0.90</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1.035</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11,518,552</w:t>
            </w:r>
          </w:p>
        </w:tc>
        <w:tc>
          <w:tcPr>
            <w:tcW w:w="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11,549,508</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11,516,246</w:t>
            </w:r>
          </w:p>
        </w:tc>
        <w:tc>
          <w:tcPr>
            <w:tcW w:w="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11,543,995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Distributions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Paid-In</w:t>
            </w:r>
          </w:p>
        </w:tc>
        <w:tc>
          <w:tcPr>
            <w:tcW w:w="8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5"/>
              </w:rPr>
              <w:t>in Excess of</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Unrealized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Capital in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Net</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Depreciation</w:t>
            </w:r>
          </w:p>
        </w:tc>
        <w:tc>
          <w:tcPr>
            <w:tcW w:w="80" w:type="dxa"/>
            <w:vAlign w:val="bottom"/>
          </w:tcPr>
          <w:p>
            <w:pPr>
              <w:spacing w:after="0"/>
              <w:rPr>
                <w:sz w:val="18"/>
                <w:szCs w:val="18"/>
                <w:color w:val="auto"/>
              </w:rPr>
            </w:pPr>
          </w:p>
        </w:tc>
        <w:tc>
          <w:tcPr>
            <w:tcW w:w="11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Net 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06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Excess of</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1"/>
                <w:szCs w:val="21"/>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on</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Loss on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Total Net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Par</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Income</w:t>
            </w:r>
          </w:p>
        </w:tc>
        <w:tc>
          <w:tcPr>
            <w:tcW w:w="120" w:type="dxa"/>
            <w:vAlign w:val="bottom"/>
          </w:tcPr>
          <w:p>
            <w:pPr>
              <w:spacing w:after="0"/>
              <w:rPr>
                <w:sz w:val="19"/>
                <w:szCs w:val="19"/>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19"/>
                <w:szCs w:val="19"/>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11,535,212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6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179,707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spacing w:after="0" w:line="201" w:lineRule="exact"/>
              <w:rPr>
                <w:sz w:val="20"/>
                <w:szCs w:val="20"/>
                <w:color w:val="auto"/>
              </w:rPr>
            </w:pPr>
            <w:r>
              <w:rPr>
                <w:rFonts w:ascii="Arial" w:cs="Arial" w:eastAsia="Arial" w:hAnsi="Arial"/>
                <w:sz w:val="18"/>
                <w:szCs w:val="18"/>
                <w:color w:val="auto"/>
                <w:w w:val="92"/>
              </w:rPr>
              <w:t>Net decrease in net assets resulting</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w w:val="94"/>
              </w:rPr>
              <w:t>from operations, net of excise tax</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13,284</w:t>
            </w:r>
          </w:p>
        </w:tc>
        <w:tc>
          <w:tcPr>
            <w:tcW w:w="1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(14,752)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(2,857)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reinvestment plan</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18,048</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(1,319)</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(11,952)</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(11,952)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at September 30, 2016</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11,551,941</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179,902</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143,669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b w:val="1"/>
                <w:bCs w:val="1"/>
                <w:color w:val="auto"/>
              </w:rPr>
              <w:t>Balance at December 31, 2016</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11,510,424</w:t>
            </w:r>
          </w:p>
        </w:tc>
        <w:tc>
          <w:tcPr>
            <w:tcW w:w="900" w:type="dxa"/>
            <w:vAlign w:val="bottom"/>
            <w:gridSpan w:val="2"/>
          </w:tcPr>
          <w:p>
            <w:pPr>
              <w:jc w:val="right"/>
              <w:ind w:right="661"/>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179,551</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(19,463)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(20,511)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139,192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Net increase in net assets resulting</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from operations, net of excise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9,917</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(11,098)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Issuance of common stock under</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dividend reinvestment plan</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12,278</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(5,923)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Distributions declared</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(10,366)</w:t>
            </w:r>
          </w:p>
        </w:tc>
        <w:tc>
          <w:tcPr>
            <w:tcW w:w="1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(10,366)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2017</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11,516,779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6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179,626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280" w:type="dxa"/>
            <w:vAlign w:val="bottom"/>
          </w:tcPr>
          <w:p>
            <w:pPr>
              <w:jc w:val="center"/>
              <w:ind w:left="3050"/>
              <w:spacing w:after="0"/>
              <w:rPr>
                <w:sz w:val="20"/>
                <w:szCs w:val="20"/>
                <w:color w:val="auto"/>
              </w:rPr>
            </w:pPr>
            <w:r>
              <w:rPr>
                <w:rFonts w:ascii="Arial" w:cs="Arial" w:eastAsia="Arial" w:hAnsi="Arial"/>
                <w:sz w:val="18"/>
                <w:szCs w:val="18"/>
                <w:b w:val="1"/>
                <w:bCs w:val="1"/>
                <w:color w:val="auto"/>
                <w:w w:val="90"/>
              </w:rPr>
              <w:t>Horizon Technology Finance Corporation and Subsidiaries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280" w:type="dxa"/>
            <w:vAlign w:val="bottom"/>
          </w:tcPr>
          <w:p>
            <w:pPr>
              <w:jc w:val="center"/>
              <w:ind w:left="307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80" w:type="dxa"/>
            <w:vAlign w:val="bottom"/>
          </w:tcPr>
          <w:p>
            <w:pPr>
              <w:jc w:val="center"/>
              <w:ind w:left="3050"/>
              <w:spacing w:after="0"/>
              <w:rPr>
                <w:sz w:val="20"/>
                <w:szCs w:val="20"/>
                <w:color w:val="auto"/>
              </w:rPr>
            </w:pPr>
            <w:r>
              <w:rPr>
                <w:rFonts w:ascii="Arial" w:cs="Arial" w:eastAsia="Arial" w:hAnsi="Arial"/>
                <w:sz w:val="18"/>
                <w:szCs w:val="18"/>
                <w:b w:val="1"/>
                <w:bCs w:val="1"/>
                <w:color w:val="auto"/>
                <w:w w:val="89"/>
              </w:rPr>
              <w:t>(Dollars in thousands)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4"/>
              </w:rPr>
              <w:t>For the Nine Months Ended</w:t>
            </w:r>
          </w:p>
        </w:tc>
        <w:tc>
          <w:tcPr>
            <w:tcW w:w="0" w:type="dxa"/>
            <w:vAlign w:val="bottom"/>
          </w:tcPr>
          <w:p>
            <w:pPr>
              <w:spacing w:after="0"/>
              <w:rPr>
                <w:sz w:val="1"/>
                <w:szCs w:val="1"/>
                <w:color w:val="auto"/>
              </w:rPr>
            </w:pPr>
          </w:p>
        </w:tc>
      </w:tr>
      <w:tr>
        <w:trPr>
          <w:trHeight w:val="234"/>
        </w:trPr>
        <w:tc>
          <w:tcPr>
            <w:tcW w:w="8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7,095</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(4,325)</w:t>
            </w:r>
          </w:p>
        </w:tc>
        <w:tc>
          <w:tcPr>
            <w:tcW w:w="0" w:type="dxa"/>
            <w:vAlign w:val="bottom"/>
          </w:tcPr>
          <w:p>
            <w:pPr>
              <w:spacing w:after="0"/>
              <w:rPr>
                <w:sz w:val="1"/>
                <w:szCs w:val="1"/>
                <w:color w:val="auto"/>
              </w:rPr>
            </w:pPr>
          </w:p>
        </w:tc>
      </w:tr>
      <w:tr>
        <w:trPr>
          <w:trHeight w:val="202"/>
        </w:trPr>
        <w:tc>
          <w:tcPr>
            <w:tcW w:w="8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Adjustments to reconcile net increase (decrease) in net assets resulting from operations to net cash provided by</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383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11,098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(8,276)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14,752</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Purchase of investments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(66,311)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(45,223)</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80,062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69,266</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decrease in investments in money market funds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rPr>
              <w:t>Net decrease in restricted investments in money market funds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(increase) in interest receivable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rPr>
              <w:t>Decrease in end-of-term payments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1,008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unearned income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rPr>
              <w:t>Decrease in other assets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423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other accrued expenses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rPr>
              <w:t>Decrease in base management fee payable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incentive fee payable</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27,117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Proceeds from issuance of 2022 Notes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32,500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Repayment of Asset-Backed Notes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(14,546)</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Advances on credit facility</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34,000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Repayment of credit facility</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(97,000)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Distributions paid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(10,230)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(11,736)</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(1,137)</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0"/>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8280" w:type="dxa"/>
            <w:vAlign w:val="bottom"/>
          </w:tcPr>
          <w:p>
            <w:pPr>
              <w:ind w:left="180"/>
              <w:spacing w:after="0"/>
              <w:rPr>
                <w:sz w:val="20"/>
                <w:szCs w:val="20"/>
                <w:color w:val="auto"/>
              </w:rPr>
            </w:pPr>
            <w:r>
              <w:rPr>
                <w:rFonts w:ascii="Arial" w:cs="Arial" w:eastAsia="Arial" w:hAnsi="Arial"/>
                <w:sz w:val="18"/>
                <w:szCs w:val="18"/>
                <w:color w:val="auto"/>
              </w:rPr>
              <w:t>Net (decrease) increase in cash</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(14,809)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Beginning of period</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37,135</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20,765</w:t>
            </w:r>
          </w:p>
        </w:tc>
        <w:tc>
          <w:tcPr>
            <w:tcW w:w="0" w:type="dxa"/>
            <w:vAlign w:val="bottom"/>
          </w:tcPr>
          <w:p>
            <w:pPr>
              <w:spacing w:after="0"/>
              <w:rPr>
                <w:sz w:val="1"/>
                <w:szCs w:val="1"/>
                <w:color w:val="auto"/>
              </w:rPr>
            </w:pPr>
          </w:p>
        </w:tc>
      </w:tr>
      <w:tr>
        <w:trPr>
          <w:trHeight w:val="223"/>
        </w:trPr>
        <w:tc>
          <w:tcPr>
            <w:tcW w:w="8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period</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3,242</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Supplemental non-cash investing and financing activities:</w:t>
            </w: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investments received and recorded as unearned income</w:t>
            </w: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1,482</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Distributions payable</w:t>
            </w: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3,455</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3,985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2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End-of-term payments receivable</w:t>
            </w: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3,657</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4,859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r>
      <w:tr>
        <w:trPr>
          <w:trHeight w:val="171"/>
        </w:trPr>
        <w:tc>
          <w:tcPr>
            <w:tcW w:w="2300" w:type="dxa"/>
            <w:vAlign w:val="bottom"/>
          </w:tcPr>
          <w:p>
            <w:pPr>
              <w:spacing w:after="0"/>
              <w:rPr>
                <w:sz w:val="20"/>
                <w:szCs w:val="20"/>
                <w:color w:val="auto"/>
              </w:rPr>
            </w:pPr>
            <w:r>
              <w:rPr>
                <w:rFonts w:ascii="Arial" w:cs="Arial" w:eastAsia="Arial" w:hAnsi="Arial"/>
                <w:sz w:val="14"/>
                <w:szCs w:val="14"/>
                <w:b w:val="1"/>
                <w:bCs w:val="1"/>
                <w:color w:val="auto"/>
              </w:rPr>
              <w:t>Portfolio Company (1)</w:t>
            </w:r>
          </w:p>
        </w:tc>
        <w:tc>
          <w:tcPr>
            <w:tcW w:w="1680" w:type="dxa"/>
            <w:vAlign w:val="bottom"/>
          </w:tcPr>
          <w:p>
            <w:pPr>
              <w:ind w:left="780"/>
              <w:spacing w:after="0"/>
              <w:rPr>
                <w:sz w:val="20"/>
                <w:szCs w:val="20"/>
                <w:color w:val="auto"/>
              </w:rPr>
            </w:pPr>
            <w:r>
              <w:rPr>
                <w:rFonts w:ascii="Arial" w:cs="Arial" w:eastAsia="Arial" w:hAnsi="Arial"/>
                <w:sz w:val="14"/>
                <w:szCs w:val="14"/>
                <w:b w:val="1"/>
                <w:bCs w:val="1"/>
                <w:color w:val="auto"/>
              </w:rPr>
              <w:t>Sector</w:t>
            </w:r>
          </w:p>
        </w:tc>
        <w:tc>
          <w:tcPr>
            <w:tcW w:w="3720" w:type="dxa"/>
            <w:vAlign w:val="bottom"/>
          </w:tcPr>
          <w:p>
            <w:pPr>
              <w:ind w:left="940"/>
              <w:spacing w:after="0"/>
              <w:rPr>
                <w:sz w:val="20"/>
                <w:szCs w:val="20"/>
                <w:color w:val="auto"/>
              </w:rPr>
            </w:pPr>
            <w:r>
              <w:rPr>
                <w:rFonts w:ascii="Arial" w:cs="Arial" w:eastAsia="Arial" w:hAnsi="Arial"/>
                <w:sz w:val="14"/>
                <w:szCs w:val="14"/>
                <w:b w:val="1"/>
                <w:bCs w:val="1"/>
                <w:color w:val="auto"/>
              </w:rPr>
              <w:t>Type of Investment (3)(4)(7)(9)(10)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Investments (6)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39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Non-Affiliate Investments — 127.3% (8)</w:t>
            </w:r>
          </w:p>
        </w:tc>
        <w:tc>
          <w:tcPr>
            <w:tcW w:w="3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3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Non-Affiliate Debt Investments — 116.1% (8)</w:t>
            </w: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Debt Investments — Life Science — 23.4% (8)</w:t>
            </w:r>
          </w:p>
        </w:tc>
        <w:tc>
          <w:tcPr>
            <w:tcW w:w="3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Palatin Technologies, Inc. (2)(5)</w:t>
            </w:r>
          </w:p>
        </w:tc>
        <w:tc>
          <w:tcPr>
            <w:tcW w:w="1680" w:type="dxa"/>
            <w:vAlign w:val="bottom"/>
          </w:tcPr>
          <w:p>
            <w:pPr>
              <w:ind w:left="120"/>
              <w:spacing w:after="0" w:line="130" w:lineRule="exact"/>
              <w:rPr>
                <w:sz w:val="20"/>
                <w:szCs w:val="20"/>
                <w:color w:val="auto"/>
              </w:rPr>
            </w:pPr>
            <w:r>
              <w:rPr>
                <w:rFonts w:ascii="Arial" w:cs="Arial" w:eastAsia="Arial" w:hAnsi="Arial"/>
                <w:sz w:val="14"/>
                <w:szCs w:val="14"/>
                <w:color w:val="auto"/>
              </w:rPr>
              <w:t>Biotechnology</w:t>
            </w:r>
          </w:p>
        </w:tc>
        <w:tc>
          <w:tcPr>
            <w:tcW w:w="3720" w:type="dxa"/>
            <w:vAlign w:val="bottom"/>
          </w:tcPr>
          <w:p>
            <w:pPr>
              <w:ind w:left="280"/>
              <w:spacing w:after="0" w:line="130" w:lineRule="exact"/>
              <w:rPr>
                <w:sz w:val="20"/>
                <w:szCs w:val="20"/>
                <w:color w:val="auto"/>
              </w:rPr>
            </w:pPr>
            <w:r>
              <w:rPr>
                <w:rFonts w:ascii="Arial" w:cs="Arial" w:eastAsia="Arial" w:hAnsi="Arial"/>
                <w:sz w:val="14"/>
                <w:szCs w:val="14"/>
                <w:color w:val="auto"/>
              </w:rPr>
              <w:t>Term Loan (9.73% cash (Libor + 8.50%; Floor</w:t>
            </w:r>
          </w:p>
        </w:tc>
        <w:tc>
          <w:tcPr>
            <w:tcW w:w="2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2,500</w:t>
            </w:r>
          </w:p>
        </w:tc>
        <w:tc>
          <w:tcPr>
            <w:tcW w:w="300" w:type="dxa"/>
            <w:vAlign w:val="bottom"/>
            <w:gridSpan w:val="2"/>
          </w:tcPr>
          <w:p>
            <w:pPr>
              <w:jc w:val="right"/>
              <w:ind w:right="4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2,475</w:t>
            </w:r>
          </w:p>
        </w:tc>
        <w:tc>
          <w:tcPr>
            <w:tcW w:w="3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2,475</w:t>
            </w:r>
          </w:p>
        </w:tc>
      </w:tr>
      <w:tr>
        <w:trPr>
          <w:trHeight w:val="167"/>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720" w:type="dxa"/>
            <w:vAlign w:val="bottom"/>
          </w:tcPr>
          <w:p>
            <w:pPr>
              <w:ind w:left="280"/>
              <w:spacing w:after="0"/>
              <w:rPr>
                <w:sz w:val="20"/>
                <w:szCs w:val="20"/>
                <w:color w:val="auto"/>
              </w:rPr>
            </w:pPr>
            <w:r>
              <w:rPr>
                <w:rFonts w:ascii="Arial" w:cs="Arial" w:eastAsia="Arial" w:hAnsi="Arial"/>
                <w:sz w:val="14"/>
                <w:szCs w:val="14"/>
                <w:color w:val="auto"/>
              </w:rPr>
              <w:t>9.00%), 5.00% ETP, Due 1/1/19)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372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Term Loan (9.73% cash (Libor + 8.50%;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3,667</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3,635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3,635</w:t>
            </w:r>
          </w:p>
        </w:tc>
      </w:tr>
      <w:tr>
        <w:trPr>
          <w:trHeight w:val="167"/>
        </w:trPr>
        <w:tc>
          <w:tcPr>
            <w:tcW w:w="23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9.00%), 5.00% ETP, Due 8/1/19)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Sample6, Inc. (2)</w:t>
            </w:r>
          </w:p>
        </w:tc>
        <w:tc>
          <w:tcPr>
            <w:tcW w:w="1680" w:type="dxa"/>
            <w:vAlign w:val="bottom"/>
          </w:tcPr>
          <w:p>
            <w:pPr>
              <w:ind w:left="120"/>
              <w:spacing w:after="0" w:line="130" w:lineRule="exact"/>
              <w:rPr>
                <w:sz w:val="20"/>
                <w:szCs w:val="20"/>
                <w:color w:val="auto"/>
              </w:rPr>
            </w:pPr>
            <w:r>
              <w:rPr>
                <w:rFonts w:ascii="Arial" w:cs="Arial" w:eastAsia="Arial" w:hAnsi="Arial"/>
                <w:sz w:val="14"/>
                <w:szCs w:val="14"/>
                <w:color w:val="auto"/>
              </w:rPr>
              <w:t>Biotechnology</w:t>
            </w:r>
          </w:p>
        </w:tc>
        <w:tc>
          <w:tcPr>
            <w:tcW w:w="3720" w:type="dxa"/>
            <w:vAlign w:val="bottom"/>
          </w:tcPr>
          <w:p>
            <w:pPr>
              <w:ind w:left="280"/>
              <w:spacing w:after="0" w:line="130" w:lineRule="exact"/>
              <w:rPr>
                <w:sz w:val="20"/>
                <w:szCs w:val="20"/>
                <w:color w:val="auto"/>
              </w:rPr>
            </w:pPr>
            <w:r>
              <w:rPr>
                <w:rFonts w:ascii="Arial" w:cs="Arial" w:eastAsia="Arial" w:hAnsi="Arial"/>
                <w:sz w:val="14"/>
                <w:szCs w:val="14"/>
                <w:color w:val="auto"/>
              </w:rPr>
              <w:t>Term Loan (10.23% cash (Libor + 9.00%;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551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548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548</w:t>
            </w:r>
          </w:p>
        </w:tc>
      </w:tr>
      <w:tr>
        <w:trPr>
          <w:trHeight w:val="167"/>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720" w:type="dxa"/>
            <w:vAlign w:val="bottom"/>
          </w:tcPr>
          <w:p>
            <w:pPr>
              <w:ind w:left="280"/>
              <w:spacing w:after="0"/>
              <w:rPr>
                <w:sz w:val="20"/>
                <w:szCs w:val="20"/>
                <w:color w:val="auto"/>
              </w:rPr>
            </w:pPr>
            <w:r>
              <w:rPr>
                <w:rFonts w:ascii="Arial" w:cs="Arial" w:eastAsia="Arial" w:hAnsi="Arial"/>
                <w:sz w:val="14"/>
                <w:szCs w:val="14"/>
                <w:color w:val="auto"/>
              </w:rPr>
              <w:t>9.50%; Ceiling 11.00%), 4.50% ETP, Due 8/1/18)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372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Term Loan (10.23% cash (Libor + 9.00%;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332</w:t>
            </w:r>
          </w:p>
        </w:tc>
      </w:tr>
      <w:tr>
        <w:trPr>
          <w:trHeight w:val="167"/>
        </w:trPr>
        <w:tc>
          <w:tcPr>
            <w:tcW w:w="23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9.50%; Ceiling 11.00%), 4.50% ETP, Due 8/1/18)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720" w:type="dxa"/>
            <w:vAlign w:val="bottom"/>
          </w:tcPr>
          <w:p>
            <w:pPr>
              <w:ind w:left="280"/>
              <w:spacing w:after="0" w:line="130" w:lineRule="exact"/>
              <w:rPr>
                <w:sz w:val="20"/>
                <w:szCs w:val="20"/>
                <w:color w:val="auto"/>
              </w:rPr>
            </w:pPr>
            <w:r>
              <w:rPr>
                <w:rFonts w:ascii="Arial" w:cs="Arial" w:eastAsia="Arial" w:hAnsi="Arial"/>
                <w:sz w:val="14"/>
                <w:szCs w:val="14"/>
                <w:color w:val="auto"/>
              </w:rPr>
              <w:t>Term Loan (10.23% cash (Libor + 9.00%;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1,181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1,172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1,172</w:t>
            </w:r>
          </w:p>
        </w:tc>
      </w:tr>
      <w:tr>
        <w:trPr>
          <w:trHeight w:val="167"/>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720" w:type="dxa"/>
            <w:vAlign w:val="bottom"/>
          </w:tcPr>
          <w:p>
            <w:pPr>
              <w:ind w:left="280"/>
              <w:spacing w:after="0"/>
              <w:rPr>
                <w:sz w:val="20"/>
                <w:szCs w:val="20"/>
                <w:color w:val="auto"/>
              </w:rPr>
            </w:pPr>
            <w:r>
              <w:rPr>
                <w:rFonts w:ascii="Arial" w:cs="Arial" w:eastAsia="Arial" w:hAnsi="Arial"/>
                <w:sz w:val="14"/>
                <w:szCs w:val="14"/>
                <w:color w:val="auto"/>
              </w:rPr>
              <w:t>9.50%; Ceiling 11.00%), 4.50% ETP, Due 8/1/18)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vTv Therapeutics Inc. (2)(5)</w:t>
            </w:r>
          </w:p>
        </w:tc>
        <w:tc>
          <w:tcPr>
            <w:tcW w:w="16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Biotechnology</w:t>
            </w:r>
          </w:p>
        </w:tc>
        <w:tc>
          <w:tcPr>
            <w:tcW w:w="372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Term Loan (11.23% cash (Libor + 10.00%;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6,250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6,191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6,191</w:t>
            </w:r>
          </w:p>
        </w:tc>
      </w:tr>
      <w:tr>
        <w:trPr>
          <w:trHeight w:val="167"/>
        </w:trPr>
        <w:tc>
          <w:tcPr>
            <w:tcW w:w="23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10.50%), 6.00% ETP, Due 5/1/20)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720" w:type="dxa"/>
            <w:vAlign w:val="bottom"/>
          </w:tcPr>
          <w:p>
            <w:pPr>
              <w:ind w:left="280"/>
              <w:spacing w:after="0" w:line="130" w:lineRule="exact"/>
              <w:rPr>
                <w:sz w:val="20"/>
                <w:szCs w:val="20"/>
                <w:color w:val="auto"/>
              </w:rPr>
            </w:pPr>
            <w:r>
              <w:rPr>
                <w:rFonts w:ascii="Arial" w:cs="Arial" w:eastAsia="Arial" w:hAnsi="Arial"/>
                <w:sz w:val="14"/>
                <w:szCs w:val="14"/>
                <w:color w:val="auto"/>
              </w:rPr>
              <w:t>Term Loan (11.23% cash (Libor + 10.00%;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3,750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3,696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3,696</w:t>
            </w:r>
          </w:p>
        </w:tc>
      </w:tr>
      <w:tr>
        <w:trPr>
          <w:trHeight w:val="167"/>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720" w:type="dxa"/>
            <w:vAlign w:val="bottom"/>
          </w:tcPr>
          <w:p>
            <w:pPr>
              <w:ind w:left="280"/>
              <w:spacing w:after="0"/>
              <w:rPr>
                <w:sz w:val="20"/>
                <w:szCs w:val="20"/>
                <w:color w:val="auto"/>
              </w:rPr>
            </w:pPr>
            <w:r>
              <w:rPr>
                <w:rFonts w:ascii="Arial" w:cs="Arial" w:eastAsia="Arial" w:hAnsi="Arial"/>
                <w:sz w:val="14"/>
                <w:szCs w:val="14"/>
                <w:color w:val="auto"/>
              </w:rPr>
              <w:t>10.50%), 6.00% ETP, Due 10/1/20)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Titan Pharmaceuticals, Inc. (2)(5)</w:t>
            </w:r>
          </w:p>
        </w:tc>
        <w:tc>
          <w:tcPr>
            <w:tcW w:w="16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Drug Delivery</w:t>
            </w:r>
          </w:p>
        </w:tc>
        <w:tc>
          <w:tcPr>
            <w:tcW w:w="372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Term Loan (9.63% cash (Libor + 8.40%;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3,500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3,394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3,394</w:t>
            </w:r>
          </w:p>
        </w:tc>
      </w:tr>
      <w:tr>
        <w:trPr>
          <w:trHeight w:val="167"/>
        </w:trPr>
        <w:tc>
          <w:tcPr>
            <w:tcW w:w="23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9.50%), 5.00% ETP, Due 6/1/21)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720" w:type="dxa"/>
            <w:vAlign w:val="bottom"/>
          </w:tcPr>
          <w:p>
            <w:pPr>
              <w:ind w:left="280"/>
              <w:spacing w:after="0" w:line="130" w:lineRule="exact"/>
              <w:rPr>
                <w:sz w:val="20"/>
                <w:szCs w:val="20"/>
                <w:color w:val="auto"/>
              </w:rPr>
            </w:pPr>
            <w:r>
              <w:rPr>
                <w:rFonts w:ascii="Arial" w:cs="Arial" w:eastAsia="Arial" w:hAnsi="Arial"/>
                <w:sz w:val="14"/>
                <w:szCs w:val="14"/>
                <w:color w:val="auto"/>
              </w:rPr>
              <w:t>Term Loan (9.63% cash (Libor + 8.40%;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3,500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3,425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3,425</w:t>
            </w:r>
          </w:p>
        </w:tc>
      </w:tr>
      <w:tr>
        <w:trPr>
          <w:trHeight w:val="167"/>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720" w:type="dxa"/>
            <w:vAlign w:val="bottom"/>
          </w:tcPr>
          <w:p>
            <w:pPr>
              <w:ind w:left="280"/>
              <w:spacing w:after="0"/>
              <w:rPr>
                <w:sz w:val="20"/>
                <w:szCs w:val="20"/>
                <w:color w:val="auto"/>
              </w:rPr>
            </w:pPr>
            <w:r>
              <w:rPr>
                <w:rFonts w:ascii="Arial" w:cs="Arial" w:eastAsia="Arial" w:hAnsi="Arial"/>
                <w:sz w:val="14"/>
                <w:szCs w:val="14"/>
                <w:color w:val="auto"/>
              </w:rPr>
              <w:t>9.50%), 5.00% ETP, Due 6/1/21)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Lantos Technologies, Inc. (2)</w:t>
            </w:r>
          </w:p>
        </w:tc>
        <w:tc>
          <w:tcPr>
            <w:tcW w:w="16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72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Term Loan (11.73% cash (Libor + 10.50%;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2,479</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2,465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2,183</w:t>
            </w:r>
          </w:p>
        </w:tc>
      </w:tr>
      <w:tr>
        <w:trPr>
          <w:trHeight w:val="167"/>
        </w:trPr>
        <w:tc>
          <w:tcPr>
            <w:tcW w:w="23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11.50%), 8.91% ETP, Due 5/1/19)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Mederi Therapeutics, Inc. (2)</w:t>
            </w:r>
          </w:p>
        </w:tc>
        <w:tc>
          <w:tcPr>
            <w:tcW w:w="1680" w:type="dxa"/>
            <w:vAlign w:val="bottom"/>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720" w:type="dxa"/>
            <w:vAlign w:val="bottom"/>
          </w:tcPr>
          <w:p>
            <w:pPr>
              <w:ind w:left="280"/>
              <w:spacing w:after="0" w:line="130" w:lineRule="exact"/>
              <w:rPr>
                <w:sz w:val="20"/>
                <w:szCs w:val="20"/>
                <w:color w:val="auto"/>
              </w:rPr>
            </w:pPr>
            <w:r>
              <w:rPr>
                <w:rFonts w:ascii="Arial" w:cs="Arial" w:eastAsia="Arial" w:hAnsi="Arial"/>
                <w:sz w:val="14"/>
                <w:szCs w:val="14"/>
                <w:color w:val="auto"/>
              </w:rPr>
              <w:t>Term Loan (12.87% cash (Libor + 11.82%;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173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171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171</w:t>
            </w:r>
          </w:p>
        </w:tc>
      </w:tr>
      <w:tr>
        <w:trPr>
          <w:trHeight w:val="167"/>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720" w:type="dxa"/>
            <w:vAlign w:val="bottom"/>
          </w:tcPr>
          <w:p>
            <w:pPr>
              <w:ind w:left="280"/>
              <w:spacing w:after="0"/>
              <w:rPr>
                <w:sz w:val="20"/>
                <w:szCs w:val="20"/>
                <w:color w:val="auto"/>
              </w:rPr>
            </w:pPr>
            <w:r>
              <w:rPr>
                <w:rFonts w:ascii="Arial" w:cs="Arial" w:eastAsia="Arial" w:hAnsi="Arial"/>
                <w:sz w:val="14"/>
                <w:szCs w:val="14"/>
                <w:color w:val="auto"/>
              </w:rPr>
              <w:t>12.00%), 6.00% ETP, Due 12/1/17)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372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Term Loan (12.87% cash (Libor + 11.82%;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171</w:t>
            </w:r>
          </w:p>
        </w:tc>
      </w:tr>
      <w:tr>
        <w:trPr>
          <w:trHeight w:val="167"/>
        </w:trPr>
        <w:tc>
          <w:tcPr>
            <w:tcW w:w="23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12.00%), 6.00% ETP, Due 12/1/17)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NinePoint Medical, Inc. (2)</w:t>
            </w:r>
          </w:p>
        </w:tc>
        <w:tc>
          <w:tcPr>
            <w:tcW w:w="1680" w:type="dxa"/>
            <w:vAlign w:val="bottom"/>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720" w:type="dxa"/>
            <w:vAlign w:val="bottom"/>
          </w:tcPr>
          <w:p>
            <w:pPr>
              <w:ind w:left="280"/>
              <w:spacing w:after="0" w:line="130" w:lineRule="exact"/>
              <w:rPr>
                <w:sz w:val="20"/>
                <w:szCs w:val="20"/>
                <w:color w:val="auto"/>
              </w:rPr>
            </w:pPr>
            <w:r>
              <w:rPr>
                <w:rFonts w:ascii="Arial" w:cs="Arial" w:eastAsia="Arial" w:hAnsi="Arial"/>
                <w:sz w:val="14"/>
                <w:szCs w:val="14"/>
                <w:color w:val="auto"/>
              </w:rPr>
              <w:t>Term Loan (9.98% cash (Libor + 8.75%;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3,000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2,975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2,975</w:t>
            </w:r>
          </w:p>
        </w:tc>
      </w:tr>
      <w:tr>
        <w:trPr>
          <w:trHeight w:val="167"/>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720" w:type="dxa"/>
            <w:vAlign w:val="bottom"/>
          </w:tcPr>
          <w:p>
            <w:pPr>
              <w:ind w:left="280"/>
              <w:spacing w:after="0"/>
              <w:rPr>
                <w:sz w:val="20"/>
                <w:szCs w:val="20"/>
                <w:color w:val="auto"/>
              </w:rPr>
            </w:pPr>
            <w:r>
              <w:rPr>
                <w:rFonts w:ascii="Arial" w:cs="Arial" w:eastAsia="Arial" w:hAnsi="Arial"/>
                <w:sz w:val="14"/>
                <w:szCs w:val="14"/>
                <w:color w:val="auto"/>
              </w:rPr>
              <w:t>9.25%), 4.50% ETP, Due 3/1/19)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372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Term Loan (9.98% cash (Libor + 8.75%;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1,500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1,484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1,484</w:t>
            </w:r>
          </w:p>
        </w:tc>
      </w:tr>
      <w:tr>
        <w:trPr>
          <w:trHeight w:val="181"/>
        </w:trPr>
        <w:tc>
          <w:tcPr>
            <w:tcW w:w="23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3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9.25%), 4.50% ETP, Due 3/1/19)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42"/>
        </w:trPr>
        <w:tc>
          <w:tcPr>
            <w:tcW w:w="398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Total Non-Affiliate Debt Investments — Life Science</w:t>
            </w:r>
          </w:p>
        </w:tc>
        <w:tc>
          <w:tcPr>
            <w:tcW w:w="3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32,134</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31,852</w:t>
            </w:r>
          </w:p>
        </w:tc>
        <w:tc>
          <w:tcPr>
            <w:tcW w:w="100" w:type="dxa"/>
            <w:vAlign w:val="bottom"/>
            <w:tcBorders>
              <w:bottom w:val="single" w:sz="8" w:color="CCEEFF"/>
            </w:tcBorders>
          </w:tcPr>
          <w:p>
            <w:pPr>
              <w:spacing w:after="0"/>
              <w:rPr>
                <w:sz w:val="12"/>
                <w:szCs w:val="12"/>
                <w:color w:val="auto"/>
              </w:rPr>
            </w:pPr>
          </w:p>
        </w:tc>
      </w:tr>
      <w:tr>
        <w:trPr>
          <w:trHeight w:val="142"/>
        </w:trPr>
        <w:tc>
          <w:tcPr>
            <w:tcW w:w="39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Non-Affiliate Debt Investments — Technology — 82.0% (8)</w:t>
            </w:r>
          </w:p>
        </w:tc>
        <w:tc>
          <w:tcPr>
            <w:tcW w:w="3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PebblePost, Inc. (2)</w:t>
            </w:r>
          </w:p>
        </w:tc>
        <w:tc>
          <w:tcPr>
            <w:tcW w:w="1680" w:type="dxa"/>
            <w:vAlign w:val="bottom"/>
          </w:tcPr>
          <w:p>
            <w:pPr>
              <w:ind w:left="120"/>
              <w:spacing w:after="0" w:line="130" w:lineRule="exact"/>
              <w:rPr>
                <w:sz w:val="20"/>
                <w:szCs w:val="20"/>
                <w:color w:val="auto"/>
              </w:rPr>
            </w:pPr>
            <w:r>
              <w:rPr>
                <w:rFonts w:ascii="Arial" w:cs="Arial" w:eastAsia="Arial" w:hAnsi="Arial"/>
                <w:sz w:val="14"/>
                <w:szCs w:val="14"/>
                <w:color w:val="auto"/>
              </w:rPr>
              <w:t>Communications</w:t>
            </w:r>
          </w:p>
        </w:tc>
        <w:tc>
          <w:tcPr>
            <w:tcW w:w="3720" w:type="dxa"/>
            <w:vAlign w:val="bottom"/>
          </w:tcPr>
          <w:p>
            <w:pPr>
              <w:ind w:left="280"/>
              <w:spacing w:after="0" w:line="130" w:lineRule="exact"/>
              <w:rPr>
                <w:sz w:val="20"/>
                <w:szCs w:val="20"/>
                <w:color w:val="auto"/>
              </w:rPr>
            </w:pPr>
            <w:r>
              <w:rPr>
                <w:rFonts w:ascii="Arial" w:cs="Arial" w:eastAsia="Arial" w:hAnsi="Arial"/>
                <w:sz w:val="14"/>
                <w:szCs w:val="14"/>
                <w:color w:val="auto"/>
              </w:rPr>
              <w:t>Term Loan (10.49% cash (Libor + 9.26%;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4,000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3,869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3,869</w:t>
            </w:r>
          </w:p>
        </w:tc>
      </w:tr>
      <w:tr>
        <w:trPr>
          <w:trHeight w:val="167"/>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720" w:type="dxa"/>
            <w:vAlign w:val="bottom"/>
          </w:tcPr>
          <w:p>
            <w:pPr>
              <w:ind w:left="280"/>
              <w:spacing w:after="0"/>
              <w:rPr>
                <w:sz w:val="20"/>
                <w:szCs w:val="20"/>
                <w:color w:val="auto"/>
              </w:rPr>
            </w:pPr>
            <w:r>
              <w:rPr>
                <w:rFonts w:ascii="Arial" w:cs="Arial" w:eastAsia="Arial" w:hAnsi="Arial"/>
                <w:sz w:val="14"/>
                <w:szCs w:val="14"/>
                <w:color w:val="auto"/>
              </w:rPr>
              <w:t>10.25%), 4.00% ETP, Due 7/1/21)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372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Term Loan (10.49% cash (Libor + 9.26%;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3,928</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3,928</w:t>
            </w:r>
          </w:p>
        </w:tc>
      </w:tr>
      <w:tr>
        <w:trPr>
          <w:trHeight w:val="167"/>
        </w:trPr>
        <w:tc>
          <w:tcPr>
            <w:tcW w:w="23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10.25%), 4.00% ETP, Due 7/1/21)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680" w:type="dxa"/>
            <w:vAlign w:val="bottom"/>
          </w:tcPr>
          <w:p>
            <w:pPr>
              <w:ind w:left="120"/>
              <w:spacing w:after="0" w:line="130" w:lineRule="exact"/>
              <w:rPr>
                <w:sz w:val="20"/>
                <w:szCs w:val="20"/>
                <w:color w:val="auto"/>
              </w:rPr>
            </w:pPr>
            <w:r>
              <w:rPr>
                <w:rFonts w:ascii="Arial" w:cs="Arial" w:eastAsia="Arial" w:hAnsi="Arial"/>
                <w:sz w:val="14"/>
                <w:szCs w:val="14"/>
                <w:color w:val="auto"/>
              </w:rPr>
              <w:t>Consumer-related</w:t>
            </w:r>
          </w:p>
        </w:tc>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Gwynnie Bee, Inc. (2)</w:t>
            </w:r>
          </w:p>
        </w:tc>
        <w:tc>
          <w:tcPr>
            <w:tcW w:w="1680" w:type="dxa"/>
            <w:vAlign w:val="bottom"/>
          </w:tcPr>
          <w:p>
            <w:pPr>
              <w:ind w:left="120"/>
              <w:spacing w:after="0" w:line="149" w:lineRule="exact"/>
              <w:rPr>
                <w:sz w:val="20"/>
                <w:szCs w:val="20"/>
                <w:color w:val="auto"/>
              </w:rPr>
            </w:pPr>
            <w:r>
              <w:rPr>
                <w:rFonts w:ascii="Arial" w:cs="Arial" w:eastAsia="Arial" w:hAnsi="Arial"/>
                <w:sz w:val="14"/>
                <w:szCs w:val="14"/>
                <w:color w:val="auto"/>
              </w:rPr>
              <w:t>Technologies</w:t>
            </w:r>
          </w:p>
        </w:tc>
        <w:tc>
          <w:tcPr>
            <w:tcW w:w="3720" w:type="dxa"/>
            <w:vAlign w:val="bottom"/>
          </w:tcPr>
          <w:p>
            <w:pPr>
              <w:ind w:left="280"/>
              <w:spacing w:after="0" w:line="149" w:lineRule="exact"/>
              <w:rPr>
                <w:sz w:val="20"/>
                <w:szCs w:val="20"/>
                <w:color w:val="auto"/>
              </w:rPr>
            </w:pPr>
            <w:r>
              <w:rPr>
                <w:rFonts w:ascii="Arial" w:cs="Arial" w:eastAsia="Arial" w:hAnsi="Arial"/>
                <w:sz w:val="14"/>
                <w:szCs w:val="14"/>
                <w:color w:val="auto"/>
              </w:rPr>
              <w:t>Term Loan (11.74% cash (Libor + 10.50%; Floor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w:t>
            </w:r>
          </w:p>
        </w:tc>
      </w:tr>
      <w:tr>
        <w:trPr>
          <w:trHeight w:val="167"/>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720" w:type="dxa"/>
            <w:vAlign w:val="bottom"/>
          </w:tcPr>
          <w:p>
            <w:pPr>
              <w:ind w:left="280"/>
              <w:spacing w:after="0"/>
              <w:rPr>
                <w:sz w:val="20"/>
                <w:szCs w:val="20"/>
                <w:color w:val="auto"/>
              </w:rPr>
            </w:pPr>
            <w:r>
              <w:rPr>
                <w:rFonts w:ascii="Arial" w:cs="Arial" w:eastAsia="Arial" w:hAnsi="Arial"/>
                <w:sz w:val="14"/>
                <w:szCs w:val="14"/>
                <w:color w:val="auto"/>
              </w:rPr>
              <w:t>11.00%; Ceiling 12.50%), 2.00% ETP, Due 11/1/17)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372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Term Loan (11.74% cash (Libor + 10.50%;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130</w:t>
            </w:r>
          </w:p>
        </w:tc>
      </w:tr>
      <w:tr>
        <w:trPr>
          <w:trHeight w:val="167"/>
        </w:trPr>
        <w:tc>
          <w:tcPr>
            <w:tcW w:w="23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11.00%; Ceiling 12.50%), 2.00% ETP, Due 2/1/18)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720" w:type="dxa"/>
            <w:vAlign w:val="bottom"/>
          </w:tcPr>
          <w:p>
            <w:pPr>
              <w:ind w:left="280"/>
              <w:spacing w:after="0" w:line="130" w:lineRule="exact"/>
              <w:rPr>
                <w:sz w:val="20"/>
                <w:szCs w:val="20"/>
                <w:color w:val="auto"/>
              </w:rPr>
            </w:pPr>
            <w:r>
              <w:rPr>
                <w:rFonts w:ascii="Arial" w:cs="Arial" w:eastAsia="Arial" w:hAnsi="Arial"/>
                <w:sz w:val="14"/>
                <w:szCs w:val="14"/>
                <w:color w:val="auto"/>
              </w:rPr>
              <w:t>Term Loan (11.74% cash (Libor + 10.50%;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197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197</w:t>
            </w:r>
          </w:p>
        </w:tc>
      </w:tr>
      <w:tr>
        <w:trPr>
          <w:trHeight w:val="167"/>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720" w:type="dxa"/>
            <w:vAlign w:val="bottom"/>
          </w:tcPr>
          <w:p>
            <w:pPr>
              <w:ind w:left="280"/>
              <w:spacing w:after="0"/>
              <w:rPr>
                <w:sz w:val="20"/>
                <w:szCs w:val="20"/>
                <w:color w:val="auto"/>
              </w:rPr>
            </w:pPr>
            <w:r>
              <w:rPr>
                <w:rFonts w:ascii="Arial" w:cs="Arial" w:eastAsia="Arial" w:hAnsi="Arial"/>
                <w:sz w:val="14"/>
                <w:szCs w:val="14"/>
                <w:color w:val="auto"/>
              </w:rPr>
              <w:t>11.00%; Ceiling 12.50%), 2.00% ETP, Due 4/1/18)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6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Consumer-related</w:t>
            </w:r>
          </w:p>
        </w:tc>
        <w:tc>
          <w:tcPr>
            <w:tcW w:w="3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 Tote, Inc. (2)</w:t>
            </w:r>
          </w:p>
        </w:tc>
        <w:tc>
          <w:tcPr>
            <w:tcW w:w="1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Technologies</w:t>
            </w:r>
          </w:p>
        </w:tc>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Term Loan (10.88% cash (Libor + 9.65%; Floor</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3,955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3,955</w:t>
            </w:r>
          </w:p>
        </w:tc>
      </w:tr>
      <w:tr>
        <w:trPr>
          <w:trHeight w:val="167"/>
        </w:trPr>
        <w:tc>
          <w:tcPr>
            <w:tcW w:w="23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10.15%), 5.00% ETP, Due 3/1/20)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720" w:type="dxa"/>
            <w:vAlign w:val="bottom"/>
          </w:tcPr>
          <w:p>
            <w:pPr>
              <w:ind w:left="280"/>
              <w:spacing w:after="0" w:line="130" w:lineRule="exact"/>
              <w:rPr>
                <w:sz w:val="20"/>
                <w:szCs w:val="20"/>
                <w:color w:val="auto"/>
              </w:rPr>
            </w:pPr>
            <w:r>
              <w:rPr>
                <w:rFonts w:ascii="Arial" w:cs="Arial" w:eastAsia="Arial" w:hAnsi="Arial"/>
                <w:sz w:val="14"/>
                <w:szCs w:val="14"/>
                <w:color w:val="auto"/>
              </w:rPr>
              <w:t>Term Loan (10.88% cash (Libor + 9.65%;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3,000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2,966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2,966</w:t>
            </w:r>
          </w:p>
        </w:tc>
      </w:tr>
      <w:tr>
        <w:trPr>
          <w:trHeight w:val="167"/>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720" w:type="dxa"/>
            <w:vAlign w:val="bottom"/>
          </w:tcPr>
          <w:p>
            <w:pPr>
              <w:ind w:left="280"/>
              <w:spacing w:after="0"/>
              <w:rPr>
                <w:sz w:val="20"/>
                <w:szCs w:val="20"/>
                <w:color w:val="auto"/>
              </w:rPr>
            </w:pPr>
            <w:r>
              <w:rPr>
                <w:rFonts w:ascii="Arial" w:cs="Arial" w:eastAsia="Arial" w:hAnsi="Arial"/>
                <w:sz w:val="14"/>
                <w:szCs w:val="14"/>
                <w:color w:val="auto"/>
              </w:rPr>
              <w:t>10.15%), 5.00% ETP, Due 3/1/20)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6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Consumer-related</w:t>
            </w:r>
          </w:p>
        </w:tc>
        <w:tc>
          <w:tcPr>
            <w:tcW w:w="3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Rhapsody International, Inc. (2)</w:t>
            </w:r>
          </w:p>
        </w:tc>
        <w:tc>
          <w:tcPr>
            <w:tcW w:w="1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Technologies</w:t>
            </w:r>
          </w:p>
        </w:tc>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Term Loan (11.73% cash (Libor + 10.50%; Floor</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5,881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5,881</w:t>
            </w:r>
          </w:p>
        </w:tc>
      </w:tr>
      <w:tr>
        <w:trPr>
          <w:trHeight w:val="167"/>
        </w:trPr>
        <w:tc>
          <w:tcPr>
            <w:tcW w:w="23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11.00%), 3.00% ETP, Due 10/1/19)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680" w:type="dxa"/>
            <w:vAlign w:val="bottom"/>
          </w:tcPr>
          <w:p>
            <w:pPr>
              <w:ind w:left="120"/>
              <w:spacing w:after="0" w:line="130" w:lineRule="exact"/>
              <w:rPr>
                <w:sz w:val="20"/>
                <w:szCs w:val="20"/>
                <w:color w:val="auto"/>
              </w:rPr>
            </w:pPr>
            <w:r>
              <w:rPr>
                <w:rFonts w:ascii="Arial" w:cs="Arial" w:eastAsia="Arial" w:hAnsi="Arial"/>
                <w:sz w:val="14"/>
                <w:szCs w:val="14"/>
                <w:color w:val="auto"/>
              </w:rPr>
              <w:t>Consumer-related</w:t>
            </w:r>
          </w:p>
        </w:tc>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SavingStar, Inc. (2)</w:t>
            </w:r>
          </w:p>
        </w:tc>
        <w:tc>
          <w:tcPr>
            <w:tcW w:w="1680" w:type="dxa"/>
            <w:vAlign w:val="bottom"/>
          </w:tcPr>
          <w:p>
            <w:pPr>
              <w:ind w:left="120"/>
              <w:spacing w:after="0" w:line="149" w:lineRule="exact"/>
              <w:rPr>
                <w:sz w:val="20"/>
                <w:szCs w:val="20"/>
                <w:color w:val="auto"/>
              </w:rPr>
            </w:pPr>
            <w:r>
              <w:rPr>
                <w:rFonts w:ascii="Arial" w:cs="Arial" w:eastAsia="Arial" w:hAnsi="Arial"/>
                <w:sz w:val="14"/>
                <w:szCs w:val="14"/>
                <w:color w:val="auto"/>
              </w:rPr>
              <w:t>Technologies</w:t>
            </w:r>
          </w:p>
        </w:tc>
        <w:tc>
          <w:tcPr>
            <w:tcW w:w="3720" w:type="dxa"/>
            <w:vAlign w:val="bottom"/>
          </w:tcPr>
          <w:p>
            <w:pPr>
              <w:ind w:left="280"/>
              <w:spacing w:after="0" w:line="149" w:lineRule="exact"/>
              <w:rPr>
                <w:sz w:val="20"/>
                <w:szCs w:val="20"/>
                <w:color w:val="auto"/>
              </w:rPr>
            </w:pPr>
            <w:r>
              <w:rPr>
                <w:rFonts w:ascii="Arial" w:cs="Arial" w:eastAsia="Arial" w:hAnsi="Arial"/>
                <w:sz w:val="14"/>
                <w:szCs w:val="14"/>
                <w:color w:val="auto"/>
              </w:rPr>
              <w:t>Term Loan (11.63% cash (Libor + 10.40%; Floor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2,267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2,237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2,237</w:t>
            </w:r>
          </w:p>
        </w:tc>
      </w:tr>
      <w:tr>
        <w:trPr>
          <w:trHeight w:val="167"/>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720" w:type="dxa"/>
            <w:vAlign w:val="bottom"/>
          </w:tcPr>
          <w:p>
            <w:pPr>
              <w:ind w:left="280"/>
              <w:spacing w:after="0"/>
              <w:rPr>
                <w:sz w:val="20"/>
                <w:szCs w:val="20"/>
                <w:color w:val="auto"/>
              </w:rPr>
            </w:pPr>
            <w:r>
              <w:rPr>
                <w:rFonts w:ascii="Arial" w:cs="Arial" w:eastAsia="Arial" w:hAnsi="Arial"/>
                <w:sz w:val="14"/>
                <w:szCs w:val="14"/>
                <w:color w:val="auto"/>
              </w:rPr>
              <w:t>10.90%), 4.25% ETP, Due 6/1/20)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372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Term Loan (11.63% cash (Libor + 10.40%;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1,978</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1,911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1,911</w:t>
            </w:r>
          </w:p>
        </w:tc>
      </w:tr>
      <w:tr>
        <w:trPr>
          <w:trHeight w:val="167"/>
        </w:trPr>
        <w:tc>
          <w:tcPr>
            <w:tcW w:w="23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10.90%), 3.80% ETP, Due 11/1/20)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IgnitionOne, Inc. (2)</w:t>
            </w:r>
          </w:p>
        </w:tc>
        <w:tc>
          <w:tcPr>
            <w:tcW w:w="1680" w:type="dxa"/>
            <w:vAlign w:val="bottom"/>
          </w:tcPr>
          <w:p>
            <w:pPr>
              <w:ind w:left="120"/>
              <w:spacing w:after="0" w:line="130" w:lineRule="exact"/>
              <w:rPr>
                <w:sz w:val="20"/>
                <w:szCs w:val="20"/>
                <w:color w:val="auto"/>
              </w:rPr>
            </w:pPr>
            <w:r>
              <w:rPr>
                <w:rFonts w:ascii="Arial" w:cs="Arial" w:eastAsia="Arial" w:hAnsi="Arial"/>
                <w:sz w:val="14"/>
                <w:szCs w:val="14"/>
                <w:color w:val="auto"/>
              </w:rPr>
              <w:t>Internet and Media</w:t>
            </w:r>
          </w:p>
        </w:tc>
        <w:tc>
          <w:tcPr>
            <w:tcW w:w="3720" w:type="dxa"/>
            <w:vAlign w:val="bottom"/>
          </w:tcPr>
          <w:p>
            <w:pPr>
              <w:ind w:left="280"/>
              <w:spacing w:after="0" w:line="130" w:lineRule="exact"/>
              <w:rPr>
                <w:sz w:val="20"/>
                <w:szCs w:val="20"/>
                <w:color w:val="auto"/>
              </w:rPr>
            </w:pPr>
            <w:r>
              <w:rPr>
                <w:rFonts w:ascii="Arial" w:cs="Arial" w:eastAsia="Arial" w:hAnsi="Arial"/>
                <w:sz w:val="14"/>
                <w:szCs w:val="14"/>
                <w:color w:val="auto"/>
              </w:rPr>
              <w:t>Term Loan (11.46% cash (Libor + 10.23%;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3,000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2,822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2,822</w:t>
            </w:r>
          </w:p>
        </w:tc>
      </w:tr>
      <w:tr>
        <w:trPr>
          <w:trHeight w:val="167"/>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720" w:type="dxa"/>
            <w:vAlign w:val="bottom"/>
          </w:tcPr>
          <w:p>
            <w:pPr>
              <w:ind w:left="280"/>
              <w:spacing w:after="0"/>
              <w:rPr>
                <w:sz w:val="20"/>
                <w:szCs w:val="20"/>
                <w:color w:val="auto"/>
              </w:rPr>
            </w:pPr>
            <w:r>
              <w:rPr>
                <w:rFonts w:ascii="Arial" w:cs="Arial" w:eastAsia="Arial" w:hAnsi="Arial"/>
                <w:sz w:val="14"/>
                <w:szCs w:val="14"/>
                <w:color w:val="auto"/>
              </w:rPr>
              <w:t>10.23%), 2.00% ETP, Due 4/1/22)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372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Term Loan (11.46% cash (Libor + 10.23%;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2,822</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2,822</w:t>
            </w:r>
          </w:p>
        </w:tc>
      </w:tr>
      <w:tr>
        <w:trPr>
          <w:trHeight w:val="167"/>
        </w:trPr>
        <w:tc>
          <w:tcPr>
            <w:tcW w:w="23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10.23%), 2.00% ETP, Due 4/1/22)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720" w:type="dxa"/>
            <w:vAlign w:val="bottom"/>
          </w:tcPr>
          <w:p>
            <w:pPr>
              <w:ind w:left="280"/>
              <w:spacing w:after="0" w:line="130" w:lineRule="exact"/>
              <w:rPr>
                <w:sz w:val="20"/>
                <w:szCs w:val="20"/>
                <w:color w:val="auto"/>
              </w:rPr>
            </w:pPr>
            <w:r>
              <w:rPr>
                <w:rFonts w:ascii="Arial" w:cs="Arial" w:eastAsia="Arial" w:hAnsi="Arial"/>
                <w:sz w:val="14"/>
                <w:szCs w:val="14"/>
                <w:color w:val="auto"/>
              </w:rPr>
              <w:t>Term Loan (11.46% cash (Libor + 10.23%;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3,000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2,822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2,822</w:t>
            </w:r>
          </w:p>
        </w:tc>
      </w:tr>
      <w:tr>
        <w:trPr>
          <w:trHeight w:val="167"/>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720" w:type="dxa"/>
            <w:vAlign w:val="bottom"/>
          </w:tcPr>
          <w:p>
            <w:pPr>
              <w:ind w:left="280"/>
              <w:spacing w:after="0"/>
              <w:rPr>
                <w:sz w:val="20"/>
                <w:szCs w:val="20"/>
                <w:color w:val="auto"/>
              </w:rPr>
            </w:pPr>
            <w:r>
              <w:rPr>
                <w:rFonts w:ascii="Arial" w:cs="Arial" w:eastAsia="Arial" w:hAnsi="Arial"/>
                <w:sz w:val="14"/>
                <w:szCs w:val="14"/>
                <w:color w:val="auto"/>
              </w:rPr>
              <w:t>10.23%), 2.00% ETP, Due 4/1/22)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372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Term Loan (11.46% cash (Libor + 10.23%;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2,822</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2,822</w:t>
            </w:r>
          </w:p>
        </w:tc>
      </w:tr>
      <w:tr>
        <w:trPr>
          <w:trHeight w:val="167"/>
        </w:trPr>
        <w:tc>
          <w:tcPr>
            <w:tcW w:w="23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10.23%), 2.00% ETP, Due 4/1/22)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Jump Ramp Games, Inc. (2)</w:t>
            </w:r>
          </w:p>
        </w:tc>
        <w:tc>
          <w:tcPr>
            <w:tcW w:w="1680" w:type="dxa"/>
            <w:vAlign w:val="bottom"/>
          </w:tcPr>
          <w:p>
            <w:pPr>
              <w:ind w:left="120"/>
              <w:spacing w:after="0" w:line="130" w:lineRule="exact"/>
              <w:rPr>
                <w:sz w:val="20"/>
                <w:szCs w:val="20"/>
                <w:color w:val="auto"/>
              </w:rPr>
            </w:pPr>
            <w:r>
              <w:rPr>
                <w:rFonts w:ascii="Arial" w:cs="Arial" w:eastAsia="Arial" w:hAnsi="Arial"/>
                <w:sz w:val="14"/>
                <w:szCs w:val="14"/>
                <w:color w:val="auto"/>
              </w:rPr>
              <w:t>Internet and Media</w:t>
            </w:r>
          </w:p>
        </w:tc>
        <w:tc>
          <w:tcPr>
            <w:tcW w:w="3720" w:type="dxa"/>
            <w:vAlign w:val="bottom"/>
          </w:tcPr>
          <w:p>
            <w:pPr>
              <w:ind w:left="280"/>
              <w:spacing w:after="0" w:line="130" w:lineRule="exact"/>
              <w:rPr>
                <w:sz w:val="20"/>
                <w:szCs w:val="20"/>
                <w:color w:val="auto"/>
              </w:rPr>
            </w:pPr>
            <w:r>
              <w:rPr>
                <w:rFonts w:ascii="Arial" w:cs="Arial" w:eastAsia="Arial" w:hAnsi="Arial"/>
                <w:sz w:val="14"/>
                <w:szCs w:val="14"/>
                <w:color w:val="auto"/>
              </w:rPr>
              <w:t>Term Loan (10.96% cash (Libor + 9.73%),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4,000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3,937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3,937</w:t>
            </w:r>
          </w:p>
        </w:tc>
      </w:tr>
      <w:tr>
        <w:trPr>
          <w:trHeight w:val="167"/>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720" w:type="dxa"/>
            <w:vAlign w:val="bottom"/>
          </w:tcPr>
          <w:p>
            <w:pPr>
              <w:ind w:left="280"/>
              <w:spacing w:after="0"/>
              <w:rPr>
                <w:sz w:val="20"/>
                <w:szCs w:val="20"/>
                <w:color w:val="auto"/>
              </w:rPr>
            </w:pPr>
            <w:r>
              <w:rPr>
                <w:rFonts w:ascii="Arial" w:cs="Arial" w:eastAsia="Arial" w:hAnsi="Arial"/>
                <w:sz w:val="14"/>
                <w:szCs w:val="14"/>
                <w:color w:val="auto"/>
              </w:rPr>
              <w:t>3.00% ETP, Due 4/1/21)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Kixeye, Inc. (2)</w:t>
            </w:r>
          </w:p>
        </w:tc>
        <w:tc>
          <w:tcPr>
            <w:tcW w:w="16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Internet and Media</w:t>
            </w:r>
          </w:p>
        </w:tc>
        <w:tc>
          <w:tcPr>
            <w:tcW w:w="372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Term Loan (10.83% cash (Libor + 9.60%;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2,896</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2,896</w:t>
            </w:r>
          </w:p>
        </w:tc>
      </w:tr>
      <w:tr>
        <w:trPr>
          <w:trHeight w:val="167"/>
        </w:trPr>
        <w:tc>
          <w:tcPr>
            <w:tcW w:w="23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10.75%), 2.00% ETP, Due 9/1/21)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2"/>
        </w:trPr>
        <w:tc>
          <w:tcPr>
            <w:tcW w:w="2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20" w:type="dxa"/>
            <w:vAlign w:val="bottom"/>
          </w:tcPr>
          <w:p>
            <w:pPr>
              <w:ind w:left="280"/>
              <w:spacing w:after="0" w:line="142" w:lineRule="exact"/>
              <w:rPr>
                <w:sz w:val="20"/>
                <w:szCs w:val="20"/>
                <w:color w:val="auto"/>
              </w:rPr>
            </w:pPr>
            <w:r>
              <w:rPr>
                <w:rFonts w:ascii="Arial" w:cs="Arial" w:eastAsia="Arial" w:hAnsi="Arial"/>
                <w:sz w:val="14"/>
                <w:szCs w:val="14"/>
                <w:color w:val="auto"/>
              </w:rPr>
              <w:t>Term Loan (10.83% cash (Libor + 9.60%; Floor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3,000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2,941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2,941</w:t>
            </w:r>
          </w:p>
        </w:tc>
      </w:tr>
    </w:tbl>
    <w:p>
      <w:pPr>
        <w:ind w:left="4260"/>
        <w:spacing w:after="0"/>
        <w:rPr>
          <w:sz w:val="20"/>
          <w:szCs w:val="20"/>
          <w:color w:val="auto"/>
        </w:rPr>
      </w:pPr>
      <w:r>
        <w:rPr>
          <w:rFonts w:ascii="Arial" w:cs="Arial" w:eastAsia="Arial" w:hAnsi="Arial"/>
          <w:sz w:val="14"/>
          <w:szCs w:val="14"/>
          <w:color w:val="auto"/>
        </w:rPr>
        <w:t>10.75%), 2.00% ETP, Due 9/1/21)</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Principal</w:t>
            </w: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Cost of</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r>
      <w:tr>
        <w:trPr>
          <w:trHeight w:val="171"/>
        </w:trPr>
        <w:tc>
          <w:tcPr>
            <w:tcW w:w="2300" w:type="dxa"/>
            <w:vAlign w:val="bottom"/>
          </w:tcPr>
          <w:p>
            <w:pPr>
              <w:spacing w:after="0"/>
              <w:rPr>
                <w:sz w:val="20"/>
                <w:szCs w:val="20"/>
                <w:color w:val="auto"/>
              </w:rPr>
            </w:pPr>
            <w:r>
              <w:rPr>
                <w:rFonts w:ascii="Arial" w:cs="Arial" w:eastAsia="Arial" w:hAnsi="Arial"/>
                <w:sz w:val="14"/>
                <w:szCs w:val="14"/>
                <w:b w:val="1"/>
                <w:bCs w:val="1"/>
                <w:color w:val="auto"/>
              </w:rPr>
              <w:t>Portfolio Company (1)</w:t>
            </w:r>
          </w:p>
        </w:tc>
        <w:tc>
          <w:tcPr>
            <w:tcW w:w="120" w:type="dxa"/>
            <w:vAlign w:val="bottom"/>
          </w:tcPr>
          <w:p>
            <w:pPr>
              <w:spacing w:after="0"/>
              <w:rPr>
                <w:sz w:val="14"/>
                <w:szCs w:val="14"/>
                <w:color w:val="auto"/>
              </w:rPr>
            </w:pPr>
          </w:p>
        </w:tc>
        <w:tc>
          <w:tcPr>
            <w:tcW w:w="1840" w:type="dxa"/>
            <w:vAlign w:val="bottom"/>
            <w:gridSpan w:val="2"/>
          </w:tcPr>
          <w:p>
            <w:pPr>
              <w:ind w:left="660"/>
              <w:spacing w:after="0"/>
              <w:rPr>
                <w:sz w:val="20"/>
                <w:szCs w:val="20"/>
                <w:color w:val="auto"/>
              </w:rPr>
            </w:pPr>
            <w:r>
              <w:rPr>
                <w:rFonts w:ascii="Arial" w:cs="Arial" w:eastAsia="Arial" w:hAnsi="Arial"/>
                <w:sz w:val="14"/>
                <w:szCs w:val="14"/>
                <w:b w:val="1"/>
                <w:bCs w:val="1"/>
                <w:color w:val="auto"/>
              </w:rPr>
              <w:t>Sector</w:t>
            </w:r>
          </w:p>
        </w:tc>
        <w:tc>
          <w:tcPr>
            <w:tcW w:w="3560" w:type="dxa"/>
            <w:vAlign w:val="bottom"/>
            <w:gridSpan w:val="2"/>
          </w:tcPr>
          <w:p>
            <w:pPr>
              <w:ind w:left="660"/>
              <w:spacing w:after="0"/>
              <w:rPr>
                <w:sz w:val="20"/>
                <w:szCs w:val="20"/>
                <w:color w:val="auto"/>
              </w:rPr>
            </w:pPr>
            <w:r>
              <w:rPr>
                <w:rFonts w:ascii="Arial" w:cs="Arial" w:eastAsia="Arial" w:hAnsi="Arial"/>
                <w:sz w:val="14"/>
                <w:szCs w:val="14"/>
                <w:b w:val="1"/>
                <w:bCs w:val="1"/>
                <w:color w:val="auto"/>
              </w:rPr>
              <w:t>Type of Investment (3)(4)(7)(9)(10)</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Investments (6)</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123"/>
        </w:trPr>
        <w:tc>
          <w:tcPr>
            <w:tcW w:w="23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MediaBrix, Inc. (2)</w:t>
            </w:r>
          </w:p>
        </w:tc>
        <w:tc>
          <w:tcPr>
            <w:tcW w:w="120" w:type="dxa"/>
            <w:vAlign w:val="bottom"/>
            <w:tcBorders>
              <w:top w:val="single" w:sz="8" w:color="CCEEFF"/>
            </w:tcBorders>
            <w:shd w:val="clear" w:color="auto" w:fill="CCEEFF"/>
          </w:tcPr>
          <w:p>
            <w:pPr>
              <w:spacing w:after="0"/>
              <w:rPr>
                <w:sz w:val="10"/>
                <w:szCs w:val="10"/>
                <w:color w:val="auto"/>
              </w:rPr>
            </w:pPr>
          </w:p>
        </w:tc>
        <w:tc>
          <w:tcPr>
            <w:tcW w:w="17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Internet and Media</w:t>
            </w:r>
          </w:p>
        </w:tc>
        <w:tc>
          <w:tcPr>
            <w:tcW w:w="120" w:type="dxa"/>
            <w:vAlign w:val="bottom"/>
            <w:tcBorders>
              <w:top w:val="single" w:sz="8" w:color="CCEEFF"/>
            </w:tcBorders>
            <w:shd w:val="clear" w:color="auto" w:fill="CCEEFF"/>
          </w:tcPr>
          <w:p>
            <w:pPr>
              <w:spacing w:after="0"/>
              <w:rPr>
                <w:sz w:val="10"/>
                <w:szCs w:val="10"/>
                <w:color w:val="auto"/>
              </w:rPr>
            </w:pPr>
          </w:p>
        </w:tc>
        <w:tc>
          <w:tcPr>
            <w:tcW w:w="34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Term Loan (12.23% cash (Libor + 11.00%; Floor</w:t>
            </w:r>
          </w:p>
        </w:tc>
        <w:tc>
          <w:tcPr>
            <w:tcW w:w="12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4,000</w:t>
            </w:r>
          </w:p>
        </w:tc>
        <w:tc>
          <w:tcPr>
            <w:tcW w:w="2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3,974</w:t>
            </w:r>
          </w:p>
        </w:tc>
        <w:tc>
          <w:tcPr>
            <w:tcW w:w="2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3,974</w:t>
            </w:r>
          </w:p>
        </w:tc>
        <w:tc>
          <w:tcPr>
            <w:tcW w:w="100" w:type="dxa"/>
            <w:vAlign w:val="bottom"/>
            <w:tcBorders>
              <w:top w:val="single" w:sz="8" w:color="CCEEFF"/>
            </w:tcBorders>
            <w:shd w:val="clear" w:color="auto" w:fill="CCEEFF"/>
          </w:tcPr>
          <w:p>
            <w:pPr>
              <w:spacing w:after="0"/>
              <w:rPr>
                <w:sz w:val="10"/>
                <w:szCs w:val="10"/>
                <w:color w:val="auto"/>
              </w:rPr>
            </w:pP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11.50%), 3.00% ETP, Due 1/1/20)</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Rocket Lawyer Incorporated (2)</w:t>
            </w:r>
          </w:p>
        </w:tc>
        <w:tc>
          <w:tcPr>
            <w:tcW w:w="19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Internet and Media</w:t>
            </w: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(10.63% cash (Libor + 9.40%;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4,000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3,899</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3,899</w:t>
            </w: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10.50%), 3.00% ETP, Due 7/1/21)</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(10.63% cash (Libor + 9.40%;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4,000</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3,928</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3,928</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10.50%), 3.00% ETP, Due 7/1/21)</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Zinio Holdings, LLC (2)</w:t>
            </w:r>
          </w:p>
        </w:tc>
        <w:tc>
          <w:tcPr>
            <w:tcW w:w="19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Internet and Media</w:t>
            </w: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(12.48% cash (Libor + 11.25%;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4,000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3,975</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3,975</w:t>
            </w: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11.75%), 5.00% ETP, Due 2/1/20)</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The NanoSteel Company, Inc. (2)</w:t>
            </w:r>
          </w:p>
        </w:tc>
        <w:tc>
          <w:tcPr>
            <w:tcW w:w="19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Materials</w:t>
            </w: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(10.73% cash (Libor + 9.50%;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4,792</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4,708</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4,708</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10.00%), 7.20% ETP, Due 1/1/20)</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(10.73% cash (Libor + 9.50%;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2,396</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2,354</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2,354</w:t>
            </w: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10.00%), 6.45% ETP, Due 1/1/20)</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(10.73% cash (Libor + 9.50%;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2,500</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2,452</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2,452</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10.00%), 5.85% ETP, Due 3/1/20)</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Powerhouse Dynamics, Inc. (2)</w:t>
            </w:r>
          </w:p>
        </w:tc>
        <w:tc>
          <w:tcPr>
            <w:tcW w:w="19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Power Management</w:t>
            </w: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(11.93% cash (Libor + 10.70%;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1,500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1,480</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1,480</w:t>
            </w: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11.20%), 3.00% ETP, Due 3/1/19)</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Luxtera, Inc.</w:t>
            </w:r>
          </w:p>
        </w:tc>
        <w:tc>
          <w:tcPr>
            <w:tcW w:w="19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Semiconductors</w:t>
            </w: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(11.00% cash (Prime + 6.75%),</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2,000</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1,891</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1,891</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3/28/20)</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(11.00% cash (Prime + 6.75%),</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1,500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1,437</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1,437</w:t>
            </w: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Due 3/28/20)</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Bridge2 Solutions, Inc. (2)</w:t>
            </w:r>
          </w:p>
        </w:tc>
        <w:tc>
          <w:tcPr>
            <w:tcW w:w="19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(12.23% cash (Libor + 11.00%;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2,933</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2,916</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2,916</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11.50%; Ceiling 14.50%), 2.00% ETP, Due 7/1/19)</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12.23% cash (Libor + 11.00%;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933</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931</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931</w:t>
            </w: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11.50%; Ceiling 14.50%), 2.00% ETP, Due 1/1/20)</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Digital Signal Corporation (11)(13)</w:t>
            </w:r>
          </w:p>
        </w:tc>
        <w:tc>
          <w:tcPr>
            <w:tcW w:w="19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(11.48% cash (Libor + 10.25%;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1,285</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1,252</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965</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10.43%), 5.00% ETP, Due 7/1/19)</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(11.48% cash (Libor + 10.25%;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1,285</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1,252</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965</w:t>
            </w: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10.43%), 5.00% ETP, Due 7/1/19)</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(10.00% cash, Due 12/31/17)</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350</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350</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270</w:t>
            </w: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Education Elements, Inc. (2)</w:t>
            </w:r>
          </w:p>
        </w:tc>
        <w:tc>
          <w:tcPr>
            <w:tcW w:w="19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(11.23% cash (Libor + 10.00%;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1,000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986</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986</w:t>
            </w: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10.50%), 4.00% ETP, Due 1/1/19)</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(11.23% cash (Libor + 10.00%;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1,100</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1,085</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1,085</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10.50%), 4.00% ETP, Due 8/1/19)</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Netuitive, Inc.</w:t>
            </w:r>
          </w:p>
        </w:tc>
        <w:tc>
          <w:tcPr>
            <w:tcW w:w="19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(13.48% cash (Libor + 12.25%;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214</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230</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230</w:t>
            </w: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12.50%), 3.33% ETP, Due 9/1/18)</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ScoreBig, Inc. (2)(11)(12)</w:t>
            </w:r>
          </w:p>
        </w:tc>
        <w:tc>
          <w:tcPr>
            <w:tcW w:w="19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(11.08% cash (Libor + 10.00%;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3,403</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3,332</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945</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10.50%), 4.00% ETP, Due 4/1/19)</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(11.23% cash (Libor + 10.00%;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3,403</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3,360</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953</w:t>
            </w: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10.50%), 4.00% ETP, Due 4/1/19)</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(11.23% cash (Libor + 10.00%;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2,000</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1,950</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553</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10.50%), 4.00% ETP, Due 3/1/20)</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(11.23% cash (Libor + 10.00%;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203</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203</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58</w:t>
            </w: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10.50%), 4.00% ETP, Due 10/31/16)</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(11.23% cash (Libor + 10.00%;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324</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324</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91</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10.50%), 4.00% ETP, Due 11/11/19)</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ShopKeep.com, Inc. (2)</w:t>
            </w:r>
          </w:p>
        </w:tc>
        <w:tc>
          <w:tcPr>
            <w:tcW w:w="19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(11.18% cash (Libor + 9.95%;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6,000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5,915</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5,915</w:t>
            </w: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10.45%), 3.00% ETP, Due 4/1/20)</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(11.18% cash (Libor + 9.95%;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4,000</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3,934</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3,934</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10.45%), 3.00% ETP, Due 9/1/20)</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SIGNiX, Inc.</w:t>
            </w:r>
          </w:p>
        </w:tc>
        <w:tc>
          <w:tcPr>
            <w:tcW w:w="19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(12.23% cash (Libor + 11.00%;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2,200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2,094</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1,899</w:t>
            </w: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11.50%), 3.5% ETP, Due 4/1/19)</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SilkRoad Technology, Inc. (2)</w:t>
            </w:r>
          </w:p>
        </w:tc>
        <w:tc>
          <w:tcPr>
            <w:tcW w:w="19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(11.58% cash (Libor + 10.35%;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7,000</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6,894</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6,894</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10.85%; Ceiling 12.85%), 5.00% ETP, Due 6/1/20)</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Weblinc Corporation (2)</w:t>
            </w:r>
          </w:p>
        </w:tc>
        <w:tc>
          <w:tcPr>
            <w:tcW w:w="19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(11.48% cash (Libor + 10.25%;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3,000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2,909</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2,909</w:t>
            </w: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11.25%), 3.00% ETP, Due 3/1/21)</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xTech Holdings, Inc. (2)</w:t>
            </w:r>
          </w:p>
        </w:tc>
        <w:tc>
          <w:tcPr>
            <w:tcW w:w="19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(11.73% cash (Libor + 10.50%;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1,056</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1,042</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1,042</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11.00%), 3.00% ETP, Due 4/1/19)</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(11.73% cash (Libor + 10.50%;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1,667</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1,644</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1,644</w:t>
            </w:r>
          </w:p>
        </w:tc>
      </w:tr>
      <w:tr>
        <w:trPr>
          <w:trHeight w:val="181"/>
        </w:trPr>
        <w:tc>
          <w:tcPr>
            <w:tcW w:w="23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11.00%), 3.00% ETP, Due 3/1/20)</w:t>
            </w:r>
          </w:p>
        </w:tc>
        <w:tc>
          <w:tcPr>
            <w:tcW w:w="10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42"/>
        </w:trPr>
        <w:tc>
          <w:tcPr>
            <w:tcW w:w="426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color w:val="auto"/>
              </w:rPr>
              <w:t>Total Non-Affiliate Debt Investments — Technology</w:t>
            </w:r>
          </w:p>
        </w:tc>
        <w:tc>
          <w:tcPr>
            <w:tcW w:w="3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118,903</w:t>
            </w:r>
          </w:p>
        </w:tc>
        <w:tc>
          <w:tcPr>
            <w:tcW w:w="220" w:type="dxa"/>
            <w:vAlign w:val="bottom"/>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111,485</w:t>
            </w:r>
          </w:p>
        </w:tc>
        <w:tc>
          <w:tcPr>
            <w:tcW w:w="100" w:type="dxa"/>
            <w:vAlign w:val="bottom"/>
            <w:shd w:val="clear" w:color="auto" w:fill="CCEEFF"/>
          </w:tcPr>
          <w:p>
            <w:pPr>
              <w:spacing w:after="0"/>
              <w:rPr>
                <w:sz w:val="12"/>
                <w:szCs w:val="1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Principal</w:t>
            </w: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Cost of</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(1)</w:t>
            </w:r>
          </w:p>
        </w:tc>
        <w:tc>
          <w:tcPr>
            <w:tcW w:w="1940" w:type="dxa"/>
            <w:vAlign w:val="bottom"/>
          </w:tcPr>
          <w:p>
            <w:pPr>
              <w:ind w:left="760"/>
              <w:spacing w:after="0"/>
              <w:rPr>
                <w:sz w:val="20"/>
                <w:szCs w:val="20"/>
                <w:color w:val="auto"/>
              </w:rPr>
            </w:pPr>
            <w:r>
              <w:rPr>
                <w:rFonts w:ascii="Arial" w:cs="Arial" w:eastAsia="Arial" w:hAnsi="Arial"/>
                <w:sz w:val="14"/>
                <w:szCs w:val="14"/>
                <w:b w:val="1"/>
                <w:bCs w:val="1"/>
                <w:color w:val="auto"/>
              </w:rPr>
              <w:t>Sector</w:t>
            </w:r>
          </w:p>
        </w:tc>
        <w:tc>
          <w:tcPr>
            <w:tcW w:w="3580" w:type="dxa"/>
            <w:vAlign w:val="bottom"/>
            <w:gridSpan w:val="2"/>
          </w:tcPr>
          <w:p>
            <w:pPr>
              <w:ind w:left="700"/>
              <w:spacing w:after="0"/>
              <w:rPr>
                <w:sz w:val="20"/>
                <w:szCs w:val="20"/>
                <w:color w:val="auto"/>
              </w:rPr>
            </w:pPr>
            <w:r>
              <w:rPr>
                <w:rFonts w:ascii="Arial" w:cs="Arial" w:eastAsia="Arial" w:hAnsi="Arial"/>
                <w:sz w:val="14"/>
                <w:szCs w:val="14"/>
                <w:b w:val="1"/>
                <w:bCs w:val="1"/>
                <w:color w:val="auto"/>
              </w:rPr>
              <w:t>Type of Investment (3)(4)(7)(9)(10)</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Investments (6)</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Non-Affiliate Debt Investments — Cleantech — 4.4% (8)</w:t>
            </w:r>
          </w:p>
        </w:tc>
        <w:tc>
          <w:tcPr>
            <w:tcW w:w="3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tcPr>
          <w:p>
            <w:pPr>
              <w:spacing w:after="0" w:line="130" w:lineRule="exact"/>
              <w:rPr>
                <w:sz w:val="20"/>
                <w:szCs w:val="20"/>
                <w:color w:val="auto"/>
              </w:rPr>
            </w:pPr>
            <w:r>
              <w:rPr>
                <w:rFonts w:ascii="Arial" w:cs="Arial" w:eastAsia="Arial" w:hAnsi="Arial"/>
                <w:sz w:val="14"/>
                <w:szCs w:val="14"/>
                <w:color w:val="auto"/>
              </w:rPr>
              <w:t>Lehigh Technologies, Inc. (2)</w:t>
            </w:r>
          </w:p>
        </w:tc>
        <w:tc>
          <w:tcPr>
            <w:tcW w:w="1940" w:type="dxa"/>
            <w:vAlign w:val="bottom"/>
          </w:tcPr>
          <w:p>
            <w:pPr>
              <w:ind w:left="40"/>
              <w:spacing w:after="0" w:line="130" w:lineRule="exact"/>
              <w:rPr>
                <w:sz w:val="20"/>
                <w:szCs w:val="20"/>
                <w:color w:val="auto"/>
              </w:rPr>
            </w:pPr>
            <w:r>
              <w:rPr>
                <w:rFonts w:ascii="Arial" w:cs="Arial" w:eastAsia="Arial" w:hAnsi="Arial"/>
                <w:sz w:val="14"/>
                <w:szCs w:val="14"/>
                <w:color w:val="auto"/>
              </w:rPr>
              <w:t>Waste Recycling</w:t>
            </w:r>
          </w:p>
        </w:tc>
        <w:tc>
          <w:tcPr>
            <w:tcW w:w="35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Term Loan (10.95% cash (Libor + 9.72%), 1.67% ETP,</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3,000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2,993</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2,993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580" w:type="dxa"/>
            <w:vAlign w:val="bottom"/>
            <w:gridSpan w:val="2"/>
          </w:tcPr>
          <w:p>
            <w:pPr>
              <w:ind w:left="40"/>
              <w:spacing w:after="0"/>
              <w:rPr>
                <w:sz w:val="20"/>
                <w:szCs w:val="20"/>
                <w:color w:val="auto"/>
              </w:rPr>
            </w:pPr>
            <w:r>
              <w:rPr>
                <w:rFonts w:ascii="Arial" w:cs="Arial" w:eastAsia="Arial" w:hAnsi="Arial"/>
                <w:sz w:val="14"/>
                <w:szCs w:val="14"/>
                <w:color w:val="auto"/>
              </w:rPr>
              <w:t>Due 8/1/19)</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35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(10.95% cash (Libor + 9.72%), 1.67% ETP,</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3,000</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2,993</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2,993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3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Due 8/1/19)</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Total Non-Affiliate Debt Investments — Cleantech</w:t>
            </w:r>
          </w:p>
        </w:tc>
        <w:tc>
          <w:tcPr>
            <w:tcW w:w="34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5,986</w:t>
            </w: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5,986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Non-Affiliate Debt Investments — Healthcare information and services — 6.3% (8)</w:t>
            </w: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tcPr>
          <w:p>
            <w:pPr>
              <w:spacing w:after="0" w:line="130" w:lineRule="exact"/>
              <w:rPr>
                <w:sz w:val="20"/>
                <w:szCs w:val="20"/>
                <w:color w:val="auto"/>
              </w:rPr>
            </w:pPr>
            <w:r>
              <w:rPr>
                <w:rFonts w:ascii="Arial" w:cs="Arial" w:eastAsia="Arial" w:hAnsi="Arial"/>
                <w:sz w:val="14"/>
                <w:szCs w:val="14"/>
                <w:color w:val="auto"/>
              </w:rPr>
              <w:t>Interleukin Genetics, Inc. (2)(5)(11)</w:t>
            </w:r>
          </w:p>
        </w:tc>
        <w:tc>
          <w:tcPr>
            <w:tcW w:w="1940" w:type="dxa"/>
            <w:vAlign w:val="bottom"/>
          </w:tcPr>
          <w:p>
            <w:pPr>
              <w:ind w:left="40"/>
              <w:spacing w:after="0" w:line="130" w:lineRule="exact"/>
              <w:rPr>
                <w:sz w:val="20"/>
                <w:szCs w:val="20"/>
                <w:color w:val="auto"/>
              </w:rPr>
            </w:pPr>
            <w:r>
              <w:rPr>
                <w:rFonts w:ascii="Arial" w:cs="Arial" w:eastAsia="Arial" w:hAnsi="Arial"/>
                <w:sz w:val="14"/>
                <w:szCs w:val="14"/>
                <w:color w:val="auto"/>
              </w:rPr>
              <w:t>Diagnostics</w:t>
            </w:r>
          </w:p>
        </w:tc>
        <w:tc>
          <w:tcPr>
            <w:tcW w:w="35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Term Loan (11.73% cash (Libor + 10.50%;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3,649</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3,539</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1,135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580" w:type="dxa"/>
            <w:vAlign w:val="bottom"/>
            <w:gridSpan w:val="2"/>
          </w:tcPr>
          <w:p>
            <w:pPr>
              <w:ind w:left="40"/>
              <w:spacing w:after="0"/>
              <w:rPr>
                <w:sz w:val="20"/>
                <w:szCs w:val="20"/>
                <w:color w:val="auto"/>
              </w:rPr>
            </w:pPr>
            <w:r>
              <w:rPr>
                <w:rFonts w:ascii="Arial" w:cs="Arial" w:eastAsia="Arial" w:hAnsi="Arial"/>
                <w:sz w:val="14"/>
                <w:szCs w:val="14"/>
                <w:color w:val="auto"/>
              </w:rPr>
              <w:t>Floor 11.00%), 6.50% ETP, Due 10/1/18)</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3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 (8.00% PIK , Due 1/1/22) (15)</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514</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514</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tcPr>
          <w:p>
            <w:pPr>
              <w:spacing w:after="0" w:line="130" w:lineRule="exact"/>
              <w:rPr>
                <w:sz w:val="20"/>
                <w:szCs w:val="20"/>
                <w:color w:val="auto"/>
              </w:rPr>
            </w:pPr>
            <w:r>
              <w:rPr>
                <w:rFonts w:ascii="Arial" w:cs="Arial" w:eastAsia="Arial" w:hAnsi="Arial"/>
                <w:sz w:val="14"/>
                <w:szCs w:val="14"/>
                <w:color w:val="auto"/>
              </w:rPr>
              <w:t>Watermark Medical, Inc. (2)</w:t>
            </w:r>
          </w:p>
        </w:tc>
        <w:tc>
          <w:tcPr>
            <w:tcW w:w="1940" w:type="dxa"/>
            <w:vAlign w:val="bottom"/>
          </w:tcPr>
          <w:p>
            <w:pPr>
              <w:ind w:left="40"/>
              <w:spacing w:after="0" w:line="130" w:lineRule="exact"/>
              <w:rPr>
                <w:sz w:val="20"/>
                <w:szCs w:val="20"/>
                <w:color w:val="auto"/>
              </w:rPr>
            </w:pPr>
            <w:r>
              <w:rPr>
                <w:rFonts w:ascii="Arial" w:cs="Arial" w:eastAsia="Arial" w:hAnsi="Arial"/>
                <w:sz w:val="14"/>
                <w:szCs w:val="14"/>
                <w:color w:val="auto"/>
              </w:rPr>
              <w:t>Other Healthcare</w:t>
            </w:r>
          </w:p>
        </w:tc>
        <w:tc>
          <w:tcPr>
            <w:tcW w:w="35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Term Loan (10.73% cash (Libor + 9.50%; Floor 10.00%;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1,021</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1,019</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580" w:type="dxa"/>
            <w:vAlign w:val="bottom"/>
            <w:gridSpan w:val="2"/>
          </w:tcPr>
          <w:p>
            <w:pPr>
              <w:ind w:left="40"/>
              <w:spacing w:after="0"/>
              <w:rPr>
                <w:sz w:val="20"/>
                <w:szCs w:val="20"/>
                <w:color w:val="auto"/>
              </w:rPr>
            </w:pPr>
            <w:r>
              <w:rPr>
                <w:rFonts w:ascii="Arial" w:cs="Arial" w:eastAsia="Arial" w:hAnsi="Arial"/>
                <w:sz w:val="14"/>
                <w:szCs w:val="14"/>
                <w:color w:val="auto"/>
              </w:rPr>
              <w:t>Ceiling 11.00%); 4.00% ETP, Due 4/1/18)</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35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(10.73% cash (Libor + 9.50%; Floor 10.00%;</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1,021</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1,019</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3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Ceiling 11.00%); 4.00% ETP, Due 4/1/18)</w:t>
            </w: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5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Term Loan (10.73% cash (Libor + 9.50%; Floor 10.00%;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486</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486</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580" w:type="dxa"/>
            <w:vAlign w:val="bottom"/>
            <w:gridSpan w:val="2"/>
          </w:tcPr>
          <w:p>
            <w:pPr>
              <w:ind w:left="40"/>
              <w:spacing w:after="0"/>
              <w:rPr>
                <w:sz w:val="20"/>
                <w:szCs w:val="20"/>
                <w:color w:val="auto"/>
              </w:rPr>
            </w:pPr>
            <w:r>
              <w:rPr>
                <w:rFonts w:ascii="Arial" w:cs="Arial" w:eastAsia="Arial" w:hAnsi="Arial"/>
                <w:sz w:val="14"/>
                <w:szCs w:val="14"/>
                <w:color w:val="auto"/>
              </w:rPr>
              <w:t>Ceiling 11.00%); 4.00% ETP, Due 4/1/18)</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HealthEdge Software, Inc. (2)</w:t>
            </w:r>
          </w:p>
        </w:tc>
        <w:tc>
          <w:tcPr>
            <w:tcW w:w="19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Software</w:t>
            </w:r>
          </w:p>
        </w:tc>
        <w:tc>
          <w:tcPr>
            <w:tcW w:w="35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(9.48% cash (Libor + 8.25%;</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5,000</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4,777</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4,777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3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Floor 9.25%), 3.00% ETP, Due 7/1/22)</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Borders>
              <w:bottom w:val="single" w:sz="8" w:color="CCEEFF"/>
            </w:tcBorders>
            <w:gridSpan w:val="4"/>
          </w:tcPr>
          <w:p>
            <w:pPr>
              <w:spacing w:after="0" w:line="142" w:lineRule="exact"/>
              <w:rPr>
                <w:sz w:val="20"/>
                <w:szCs w:val="20"/>
                <w:color w:val="auto"/>
              </w:rPr>
            </w:pPr>
            <w:r>
              <w:rPr>
                <w:rFonts w:ascii="Arial" w:cs="Arial" w:eastAsia="Arial" w:hAnsi="Arial"/>
                <w:sz w:val="14"/>
                <w:szCs w:val="14"/>
                <w:color w:val="auto"/>
              </w:rPr>
              <w:t>Total Non-Affiliate Debt Investments — Healthcare information and services</w:t>
            </w:r>
          </w:p>
        </w:tc>
        <w:tc>
          <w:tcPr>
            <w:tcW w:w="10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11,354</w:t>
            </w: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8,601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3"/>
              </w:rPr>
              <w:t>Total Non- Affiliate Debt Investments</w:t>
            </w:r>
          </w:p>
        </w:tc>
        <w:tc>
          <w:tcPr>
            <w:tcW w:w="194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168,377</w:t>
            </w:r>
          </w:p>
        </w:tc>
        <w:tc>
          <w:tcPr>
            <w:tcW w:w="220" w:type="dxa"/>
            <w:vAlign w:val="bottom"/>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157,624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Warrant Investments — 5.9% (8)</w:t>
            </w:r>
          </w:p>
        </w:tc>
        <w:tc>
          <w:tcPr>
            <w:tcW w:w="3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Non-Affiliate Warrants — Life Science — 1.2% (8)</w:t>
            </w:r>
          </w:p>
        </w:tc>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 Biotech Corporation</w:t>
            </w:r>
          </w:p>
        </w:tc>
        <w:tc>
          <w:tcPr>
            <w:tcW w:w="1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Biotechnology</w:t>
            </w:r>
          </w:p>
        </w:tc>
        <w:tc>
          <w:tcPr>
            <w:tcW w:w="3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1,521,820 Preferred Stock Warrants</w:t>
            </w: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83</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Alpine Immune Sciences, Inc. (5)</w:t>
            </w: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rPr>
              <w:t>Biotechnology</w:t>
            </w:r>
          </w:p>
        </w:tc>
        <w:tc>
          <w:tcPr>
            <w:tcW w:w="3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4,634 Common Stock Warrants</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122</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Argos Therapeutics, Inc. (2)(5)</w:t>
            </w:r>
          </w:p>
        </w:tc>
        <w:tc>
          <w:tcPr>
            <w:tcW w:w="1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Biotechnology</w:t>
            </w:r>
          </w:p>
        </w:tc>
        <w:tc>
          <w:tcPr>
            <w:tcW w:w="3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73,112 Common Stock Warrants</w:t>
            </w: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Celsion Corporation (5)</w:t>
            </w: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rPr>
              <w:t>Biotechnology</w:t>
            </w:r>
          </w:p>
        </w:tc>
        <w:tc>
          <w:tcPr>
            <w:tcW w:w="3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408 Common Stock Warrants</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Inotek Pharmaceuticals Corporation (5)</w:t>
            </w:r>
          </w:p>
        </w:tc>
        <w:tc>
          <w:tcPr>
            <w:tcW w:w="1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Biotechnology</w:t>
            </w:r>
          </w:p>
        </w:tc>
        <w:tc>
          <w:tcPr>
            <w:tcW w:w="3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28,204 Common Stock Warrants</w:t>
            </w: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Ocera Therapeutics, Inc. (2)(5)</w:t>
            </w: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rPr>
              <w:t>Biotechnology</w:t>
            </w:r>
          </w:p>
        </w:tc>
        <w:tc>
          <w:tcPr>
            <w:tcW w:w="3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6,491 Common Stock Warrants</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Palatin Technologies, Inc. (2)(5)</w:t>
            </w:r>
          </w:p>
        </w:tc>
        <w:tc>
          <w:tcPr>
            <w:tcW w:w="1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Biotechnology</w:t>
            </w:r>
          </w:p>
        </w:tc>
        <w:tc>
          <w:tcPr>
            <w:tcW w:w="3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608,058 Common Stock Warrants</w:t>
            </w: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Revance Therapeutics, Inc. (5)</w:t>
            </w: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rPr>
              <w:t>Biotechnology</w:t>
            </w:r>
          </w:p>
        </w:tc>
        <w:tc>
          <w:tcPr>
            <w:tcW w:w="3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34,113 Common Stock Warrants</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Sample6, Inc. (2)</w:t>
            </w:r>
          </w:p>
        </w:tc>
        <w:tc>
          <w:tcPr>
            <w:tcW w:w="1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Biotechnology</w:t>
            </w:r>
          </w:p>
        </w:tc>
        <w:tc>
          <w:tcPr>
            <w:tcW w:w="3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661,956 Preferred Stock Warrants</w:t>
            </w: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Strongbridge U.S. Inc. (5)</w:t>
            </w: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rPr>
              <w:t>Biotechnology</w:t>
            </w:r>
          </w:p>
        </w:tc>
        <w:tc>
          <w:tcPr>
            <w:tcW w:w="3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160,714 Common Stock Warrants</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Sunesis Pharmaceuticals, Inc. (5)</w:t>
            </w:r>
          </w:p>
        </w:tc>
        <w:tc>
          <w:tcPr>
            <w:tcW w:w="1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Biotechnology</w:t>
            </w:r>
          </w:p>
        </w:tc>
        <w:tc>
          <w:tcPr>
            <w:tcW w:w="3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2,050 Common Stock Warrants</w:t>
            </w: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vTv Therapeutics Inc. (2)(5)</w:t>
            </w: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rPr>
              <w:t>Biotechnology</w:t>
            </w:r>
          </w:p>
        </w:tc>
        <w:tc>
          <w:tcPr>
            <w:tcW w:w="3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93,896 Common Stock Warrants</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Titan Pharmaceuticals, Inc. (2)(5)</w:t>
            </w:r>
          </w:p>
        </w:tc>
        <w:tc>
          <w:tcPr>
            <w:tcW w:w="1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Drug Delivery</w:t>
            </w:r>
          </w:p>
        </w:tc>
        <w:tc>
          <w:tcPr>
            <w:tcW w:w="3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280,612 Common Stock Warrants</w:t>
            </w: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88</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AccuVein Inc. (2)</w:t>
            </w: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75,769 Preferred Stock Warrants</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EnteroMedics, Inc. (5)</w:t>
            </w:r>
          </w:p>
        </w:tc>
        <w:tc>
          <w:tcPr>
            <w:tcW w:w="1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134 Common Stock Warrants</w:t>
            </w: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347</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IntegenX, Inc. (2)</w:t>
            </w: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170,646 Preferred Stock Warrants</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Lantos Technologies, Inc. (2)</w:t>
            </w:r>
          </w:p>
        </w:tc>
        <w:tc>
          <w:tcPr>
            <w:tcW w:w="1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2,763,646 Preferred Stock Warrants</w:t>
            </w: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Mederi Therapeutics, Inc. (2)</w:t>
            </w: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248,736 Preferred Stock Warrants</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Mitralign, Inc. (2)</w:t>
            </w:r>
          </w:p>
        </w:tc>
        <w:tc>
          <w:tcPr>
            <w:tcW w:w="1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641,909 Preferred Stock Warrants</w:t>
            </w: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NinePoint Medical, Inc. (2)</w:t>
            </w: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566,037 Preferred Stock Warrants</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OraMetrix, Inc. (2)</w:t>
            </w:r>
          </w:p>
        </w:tc>
        <w:tc>
          <w:tcPr>
            <w:tcW w:w="1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812,348 Preferred Stock Warrants</w:t>
            </w: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Tryton Medical, Inc. (2)</w:t>
            </w: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122,362 Preferred Stock Warrants</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ViOptix, Inc.</w:t>
            </w:r>
          </w:p>
        </w:tc>
        <w:tc>
          <w:tcPr>
            <w:tcW w:w="1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Medical Device</w:t>
            </w:r>
          </w:p>
        </w:tc>
        <w:tc>
          <w:tcPr>
            <w:tcW w:w="3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375,763 Preferred Stock Warrants</w:t>
            </w: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Total Non-Affiliate Warrants — Life Science</w:t>
            </w:r>
          </w:p>
        </w:tc>
        <w:tc>
          <w:tcPr>
            <w:tcW w:w="34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1,317</w:t>
            </w:r>
          </w:p>
        </w:tc>
        <w:tc>
          <w:tcPr>
            <w:tcW w:w="2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Non-Affiliate Warrants — Technology — 4.2% (8)</w:t>
            </w:r>
          </w:p>
        </w:tc>
        <w:tc>
          <w:tcPr>
            <w:tcW w:w="3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Ekahau, Inc. (2)</w:t>
            </w: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rPr>
              <w:t>Communications</w:t>
            </w:r>
          </w:p>
        </w:tc>
        <w:tc>
          <w:tcPr>
            <w:tcW w:w="3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978,261 Preferred Stock Warrants</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PebblePost, Inc. (2)</w:t>
            </w:r>
          </w:p>
        </w:tc>
        <w:tc>
          <w:tcPr>
            <w:tcW w:w="1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Communications</w:t>
            </w:r>
          </w:p>
        </w:tc>
        <w:tc>
          <w:tcPr>
            <w:tcW w:w="3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598,580 Preferred Stock Warrants</w:t>
            </w: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Additech, Inc. (2)</w:t>
            </w: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w w:val="94"/>
              </w:rPr>
              <w:t>Consumer-related Technologies</w:t>
            </w:r>
          </w:p>
        </w:tc>
        <w:tc>
          <w:tcPr>
            <w:tcW w:w="3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150,000 Preferred Stock Warrants</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Gwynnie Bee, Inc. (2)</w:t>
            </w:r>
          </w:p>
        </w:tc>
        <w:tc>
          <w:tcPr>
            <w:tcW w:w="1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Consumer-related Technologies</w:t>
            </w:r>
          </w:p>
        </w:tc>
        <w:tc>
          <w:tcPr>
            <w:tcW w:w="3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268,591 Preferred Stock Warrants</w:t>
            </w: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Le Tote, Inc. (2)</w:t>
            </w: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w w:val="94"/>
              </w:rPr>
              <w:t>Consumer-related Technologies</w:t>
            </w:r>
          </w:p>
        </w:tc>
        <w:tc>
          <w:tcPr>
            <w:tcW w:w="3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202,974 Preferred Stock Warrants</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Rhapsody International Inc. (2)</w:t>
            </w:r>
          </w:p>
        </w:tc>
        <w:tc>
          <w:tcPr>
            <w:tcW w:w="1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Consumer-related Technologies</w:t>
            </w:r>
          </w:p>
        </w:tc>
        <w:tc>
          <w:tcPr>
            <w:tcW w:w="3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852,273 Common Stock Warrants</w:t>
            </w: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164</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SavingStar, Inc. (2)</w:t>
            </w: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w w:val="94"/>
              </w:rPr>
              <w:t>Consumer-related Technologies</w:t>
            </w:r>
          </w:p>
        </w:tc>
        <w:tc>
          <w:tcPr>
            <w:tcW w:w="3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850,439 Preferred Stock Warrants</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104</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XIOtech, Inc.</w:t>
            </w:r>
          </w:p>
        </w:tc>
        <w:tc>
          <w:tcPr>
            <w:tcW w:w="1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Data Storage</w:t>
            </w:r>
          </w:p>
        </w:tc>
        <w:tc>
          <w:tcPr>
            <w:tcW w:w="3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96 Preferred Stock Warrants</w:t>
            </w: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IgnitionOne, Inc. (2)</w:t>
            </w: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rPr>
              <w:t>Internet and Media</w:t>
            </w:r>
          </w:p>
        </w:tc>
        <w:tc>
          <w:tcPr>
            <w:tcW w:w="3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262,910 Preferred Stock Warrants</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672</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Jump Ramp Games, Inc. (2)</w:t>
            </w:r>
          </w:p>
        </w:tc>
        <w:tc>
          <w:tcPr>
            <w:tcW w:w="1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Internet and Media</w:t>
            </w:r>
          </w:p>
        </w:tc>
        <w:tc>
          <w:tcPr>
            <w:tcW w:w="3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159,766 Preferred Stock Warrants</w:t>
            </w: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Kixeye, Inc. (2)</w:t>
            </w: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rPr>
              <w:t>Internet and Media</w:t>
            </w:r>
          </w:p>
        </w:tc>
        <w:tc>
          <w:tcPr>
            <w:tcW w:w="3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530,751 Preferred Stock Warrants</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Rocket Lawyer Incorporated (2)</w:t>
            </w:r>
          </w:p>
        </w:tc>
        <w:tc>
          <w:tcPr>
            <w:tcW w:w="1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Internet and Media</w:t>
            </w:r>
          </w:p>
        </w:tc>
        <w:tc>
          <w:tcPr>
            <w:tcW w:w="3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235,549 Preferred Stock Warrants</w:t>
            </w: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83</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The NanoSteel Company, Inc. (2)</w:t>
            </w: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rPr>
              <w:t>Materials</w:t>
            </w:r>
          </w:p>
        </w:tc>
        <w:tc>
          <w:tcPr>
            <w:tcW w:w="3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379,360 Preferred Stock Warrants</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187</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IntelePeer, Inc.</w:t>
            </w:r>
          </w:p>
        </w:tc>
        <w:tc>
          <w:tcPr>
            <w:tcW w:w="1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Networking</w:t>
            </w:r>
          </w:p>
        </w:tc>
        <w:tc>
          <w:tcPr>
            <w:tcW w:w="3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141,549 Common Stock Warrants</w:t>
            </w: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Nanocomp Technologies, Inc. (2)</w:t>
            </w: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rPr>
              <w:t>Networking</w:t>
            </w:r>
          </w:p>
        </w:tc>
        <w:tc>
          <w:tcPr>
            <w:tcW w:w="3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1,414,921 Preferred Stock Warrants</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Powerhouse Dynamics, Inc. (2)</w:t>
            </w:r>
          </w:p>
        </w:tc>
        <w:tc>
          <w:tcPr>
            <w:tcW w:w="1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Power Management</w:t>
            </w:r>
          </w:p>
        </w:tc>
        <w:tc>
          <w:tcPr>
            <w:tcW w:w="3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290,698 Preferred Stock Warrants</w:t>
            </w: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Cost of</w:t>
            </w:r>
          </w:p>
        </w:tc>
        <w:tc>
          <w:tcPr>
            <w:tcW w:w="20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56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 (1)</w:t>
            </w:r>
          </w:p>
        </w:tc>
        <w:tc>
          <w:tcPr>
            <w:tcW w:w="1940" w:type="dxa"/>
            <w:vAlign w:val="bottom"/>
            <w:gridSpan w:val="2"/>
          </w:tcPr>
          <w:p>
            <w:pPr>
              <w:ind w:left="720"/>
              <w:spacing w:after="0"/>
              <w:rPr>
                <w:sz w:val="20"/>
                <w:szCs w:val="20"/>
                <w:color w:val="auto"/>
              </w:rPr>
            </w:pPr>
            <w:r>
              <w:rPr>
                <w:rFonts w:ascii="Arial" w:cs="Arial" w:eastAsia="Arial" w:hAnsi="Arial"/>
                <w:sz w:val="14"/>
                <w:szCs w:val="14"/>
                <w:b w:val="1"/>
                <w:bCs w:val="1"/>
                <w:color w:val="auto"/>
              </w:rPr>
              <w:t>Sector</w:t>
            </w:r>
          </w:p>
        </w:tc>
        <w:tc>
          <w:tcPr>
            <w:tcW w:w="3320" w:type="dxa"/>
            <w:vAlign w:val="bottom"/>
          </w:tcPr>
          <w:p>
            <w:pPr>
              <w:ind w:left="600"/>
              <w:spacing w:after="0"/>
              <w:rPr>
                <w:sz w:val="20"/>
                <w:szCs w:val="20"/>
                <w:color w:val="auto"/>
              </w:rPr>
            </w:pPr>
            <w:r>
              <w:rPr>
                <w:rFonts w:ascii="Arial" w:cs="Arial" w:eastAsia="Arial" w:hAnsi="Arial"/>
                <w:sz w:val="14"/>
                <w:szCs w:val="14"/>
                <w:b w:val="1"/>
                <w:bCs w:val="1"/>
                <w:color w:val="auto"/>
              </w:rPr>
              <w:t>Type of Investment (3)(4)(7)(9)(10)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2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Investments (6)</w:t>
            </w:r>
          </w:p>
        </w:tc>
        <w:tc>
          <w:tcPr>
            <w:tcW w:w="20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Avalanche Technology, Inc. (2)</w:t>
            </w:r>
          </w:p>
        </w:tc>
        <w:tc>
          <w:tcPr>
            <w:tcW w:w="10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Semiconductors</w:t>
            </w:r>
          </w:p>
        </w:tc>
        <w:tc>
          <w:tcPr>
            <w:tcW w:w="100" w:type="dxa"/>
            <w:vAlign w:val="bottom"/>
            <w:tcBorders>
              <w:top w:val="single" w:sz="8" w:color="CCEEFF"/>
            </w:tcBorders>
            <w:shd w:val="clear" w:color="auto" w:fill="CCEEFF"/>
          </w:tcPr>
          <w:p>
            <w:pPr>
              <w:spacing w:after="0"/>
              <w:rPr>
                <w:sz w:val="12"/>
                <w:szCs w:val="12"/>
                <w:color w:val="auto"/>
              </w:rPr>
            </w:pPr>
          </w:p>
        </w:tc>
        <w:tc>
          <w:tcPr>
            <w:tcW w:w="3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202,602 Preferred Stock Warrants</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eASIC Corporation (2)</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Semiconductors</w:t>
            </w: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40,445 Preferred Stock Warrants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Kaminario, Inc.</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Semiconductors</w:t>
            </w: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1,087,203 Preferred Stock Warrants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Luxtera, Inc.(2)</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Semiconductors</w:t>
            </w: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3,546,553 Preferred Stock Warrants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Soraa, Inc. (2)</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Semiconductors</w:t>
            </w: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203,616 Preferred Stock Warrants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Bolt Solutions Inc. (2)</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Software</w:t>
            </w: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202,892 Preferred Stock Warrants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w:t>
            </w:r>
          </w:p>
        </w:tc>
        <w:tc>
          <w:tcPr>
            <w:tcW w:w="2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Bridge2 Solutions, Inc. (2)</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75,458 Common Stock Warrants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Clarabridge, Inc.</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Software</w:t>
            </w: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53,486 Preferred Stock Warrants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Digital Signal Corporation</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125,116 Common Stock Warrants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Education Elements, Inc. (2)</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Software</w:t>
            </w: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238,121 Preferred Stock Warrants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Lotame Solutions, Inc. (2)</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288,115 Preferred Stock Warrants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Netuitive, Inc.</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Software</w:t>
            </w: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41,569 Common Stock Warrants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Riv Data Corp. (2)</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321,428 Preferred Stock Warrants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ShopKeep.com, Inc. (2)</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Software</w:t>
            </w: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165,779 Preferred Stock Warrants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SIGNiX, Inc.</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114,767 Preferred Stock Warrants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Skyword, Inc.</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Software</w:t>
            </w: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301,056 Preferred Stock Warrants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SpringCM, Inc. (2)</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2,385,686 Preferred Stock Warrants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Sys-Tech Solutions, Inc.</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Software</w:t>
            </w: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375,000 Preferred Stock Warrants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242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Visage Mobile, Inc.</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1,692,047 Preferred Stock Warrants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Weblinc Corporation (2)</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Software</w:t>
            </w: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195,122 Preferred Stock Warrants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xTech Holdings, Inc. (2)</w:t>
            </w: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Software</w:t>
            </w: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158,730 Preferred Stock Warrants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Borders>
              <w:bottom w:val="single" w:sz="8" w:color="CCEEFF"/>
            </w:tcBorders>
            <w:gridSpan w:val="4"/>
          </w:tcPr>
          <w:p>
            <w:pPr>
              <w:spacing w:after="0" w:line="142" w:lineRule="exact"/>
              <w:rPr>
                <w:sz w:val="20"/>
                <w:szCs w:val="20"/>
                <w:color w:val="auto"/>
              </w:rPr>
            </w:pPr>
            <w:r>
              <w:rPr>
                <w:rFonts w:ascii="Arial" w:cs="Arial" w:eastAsia="Arial" w:hAnsi="Arial"/>
                <w:sz w:val="14"/>
                <w:szCs w:val="14"/>
                <w:color w:val="auto"/>
              </w:rPr>
              <w:t>Total Non-Affiliate Warrants — Technology</w:t>
            </w:r>
          </w:p>
        </w:tc>
        <w:tc>
          <w:tcPr>
            <w:tcW w:w="3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3,283</w:t>
            </w:r>
          </w:p>
        </w:tc>
        <w:tc>
          <w:tcPr>
            <w:tcW w:w="2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5,731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Non-Affiliate Warrants — Cleantech — 0.1% (8)</w:t>
            </w:r>
          </w:p>
        </w:tc>
        <w:tc>
          <w:tcPr>
            <w:tcW w:w="3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Renmatix, Inc.</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Alternative Energy</w:t>
            </w: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53,022 Preferred Stock Warrants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Rypos, Inc. (2)</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Energy Efficiency</w:t>
            </w: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5,627 Preferred Stock Warrants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gridSpan w:val="2"/>
          </w:tcPr>
          <w:p>
            <w:pPr>
              <w:spacing w:after="0"/>
              <w:rPr>
                <w:sz w:val="20"/>
                <w:szCs w:val="20"/>
                <w:color w:val="auto"/>
              </w:rPr>
            </w:pPr>
            <w:r>
              <w:rPr>
                <w:rFonts w:ascii="Arial" w:cs="Arial" w:eastAsia="Arial" w:hAnsi="Arial"/>
                <w:sz w:val="14"/>
                <w:szCs w:val="14"/>
                <w:color w:val="auto"/>
              </w:rPr>
              <w:t>Tigo Energy, Inc. (2)</w:t>
            </w:r>
          </w:p>
        </w:tc>
        <w:tc>
          <w:tcPr>
            <w:tcW w:w="1940" w:type="dxa"/>
            <w:vAlign w:val="bottom"/>
            <w:gridSpan w:val="2"/>
          </w:tcPr>
          <w:p>
            <w:pPr>
              <w:spacing w:after="0"/>
              <w:rPr>
                <w:sz w:val="20"/>
                <w:szCs w:val="20"/>
                <w:color w:val="auto"/>
              </w:rPr>
            </w:pPr>
            <w:r>
              <w:rPr>
                <w:rFonts w:ascii="Arial" w:cs="Arial" w:eastAsia="Arial" w:hAnsi="Arial"/>
                <w:sz w:val="14"/>
                <w:szCs w:val="14"/>
                <w:color w:val="auto"/>
              </w:rPr>
              <w:t>Energy Efficiency</w:t>
            </w:r>
          </w:p>
        </w:tc>
        <w:tc>
          <w:tcPr>
            <w:tcW w:w="3320" w:type="dxa"/>
            <w:vAlign w:val="bottom"/>
          </w:tcPr>
          <w:p>
            <w:pPr>
              <w:spacing w:after="0"/>
              <w:rPr>
                <w:sz w:val="20"/>
                <w:szCs w:val="20"/>
                <w:color w:val="auto"/>
              </w:rPr>
            </w:pPr>
            <w:r>
              <w:rPr>
                <w:rFonts w:ascii="Arial" w:cs="Arial" w:eastAsia="Arial" w:hAnsi="Arial"/>
                <w:sz w:val="14"/>
                <w:szCs w:val="14"/>
                <w:color w:val="auto"/>
              </w:rPr>
              <w:t>804,604 Preferred Stock Warrants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w w:val="98"/>
              </w:rPr>
              <w:t>Total Non-Affiliate Warrants — Cleantech</w:t>
            </w:r>
          </w:p>
        </w:tc>
        <w:tc>
          <w:tcPr>
            <w:tcW w:w="18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3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212</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Non-Affiliate Warrants — Healthcare information and services — 0.4% (8)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Interleukin Genetics, Inc. (2)(5)</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Diagnostics</w:t>
            </w: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12,452,290 Common Stock Warrants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LifePrint Group, Inc. (2)</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Diagnostics</w:t>
            </w: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49,000 Preferred Stock Warrants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ProterixBio, Inc. (2)</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Diagnostics</w:t>
            </w: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3,156 Common Stock Warrants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Singulex, Inc.</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Other Healthcare</w:t>
            </w: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294,231 Preferred Stock Warrants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Verity Solutions Group, Inc.</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Healthcare</w:t>
            </w: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300,360 Preferred Stock Warrants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Watermark Medical, Inc. (2)</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Other Healthcare</w:t>
            </w: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27,373 Preferred Stock Warrants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HealthEdge Software, Inc. (2)</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63,291 Preferred Stock Warrants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Medsphere Systems Corporation (2)</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Software</w:t>
            </w: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7,097,792 Preferred Stock Warrants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Recondo Technology, Inc. (2)</w:t>
            </w: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Software</w:t>
            </w: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556,796 Preferred Stock Warrants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Borders>
              <w:bottom w:val="single" w:sz="8" w:color="CCEEFF"/>
            </w:tcBorders>
            <w:gridSpan w:val="4"/>
          </w:tcPr>
          <w:p>
            <w:pPr>
              <w:spacing w:after="0" w:line="142" w:lineRule="exact"/>
              <w:rPr>
                <w:sz w:val="20"/>
                <w:szCs w:val="20"/>
                <w:color w:val="auto"/>
              </w:rPr>
            </w:pPr>
            <w:r>
              <w:rPr>
                <w:rFonts w:ascii="Arial" w:cs="Arial" w:eastAsia="Arial" w:hAnsi="Arial"/>
                <w:sz w:val="14"/>
                <w:szCs w:val="14"/>
                <w:color w:val="auto"/>
              </w:rPr>
              <w:t>Total Non-Affiliate Warrants — Healthcare information and services</w:t>
            </w:r>
          </w:p>
        </w:tc>
        <w:tc>
          <w:tcPr>
            <w:tcW w:w="3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650</w:t>
            </w:r>
          </w:p>
        </w:tc>
        <w:tc>
          <w:tcPr>
            <w:tcW w:w="2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Non-Affiliate Warrants</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5,462</w:t>
            </w: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Other Investments — 4.3% (8)</w:t>
            </w:r>
          </w:p>
        </w:tc>
        <w:tc>
          <w:tcPr>
            <w:tcW w:w="3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Espero Pharmaceuticals, Inc. (14)</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Biotechnology</w:t>
            </w: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Royalty Agreement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5,300</w:t>
            </w:r>
          </w:p>
        </w:tc>
        <w:tc>
          <w:tcPr>
            <w:tcW w:w="2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ZetrOZ, Inc.</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Medical Device</w:t>
            </w: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Royalty Agreement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gridSpan w:val="2"/>
          </w:tcPr>
          <w:p>
            <w:pPr>
              <w:spacing w:after="0"/>
              <w:rPr>
                <w:sz w:val="20"/>
                <w:szCs w:val="20"/>
                <w:color w:val="auto"/>
              </w:rPr>
            </w:pPr>
            <w:r>
              <w:rPr>
                <w:rFonts w:ascii="Arial" w:cs="Arial" w:eastAsia="Arial" w:hAnsi="Arial"/>
                <w:sz w:val="14"/>
                <w:szCs w:val="14"/>
                <w:color w:val="auto"/>
              </w:rPr>
              <w:t>Vette Technology, LLC</w:t>
            </w:r>
          </w:p>
        </w:tc>
        <w:tc>
          <w:tcPr>
            <w:tcW w:w="1940" w:type="dxa"/>
            <w:vAlign w:val="bottom"/>
            <w:gridSpan w:val="2"/>
          </w:tcPr>
          <w:p>
            <w:pPr>
              <w:spacing w:after="0"/>
              <w:rPr>
                <w:sz w:val="20"/>
                <w:szCs w:val="20"/>
                <w:color w:val="auto"/>
              </w:rPr>
            </w:pPr>
            <w:r>
              <w:rPr>
                <w:rFonts w:ascii="Arial" w:cs="Arial" w:eastAsia="Arial" w:hAnsi="Arial"/>
                <w:sz w:val="14"/>
                <w:szCs w:val="14"/>
                <w:color w:val="auto"/>
              </w:rPr>
              <w:t>Data Storage</w:t>
            </w:r>
          </w:p>
        </w:tc>
        <w:tc>
          <w:tcPr>
            <w:tcW w:w="3320" w:type="dxa"/>
            <w:vAlign w:val="bottom"/>
          </w:tcPr>
          <w:p>
            <w:pPr>
              <w:spacing w:after="0"/>
              <w:rPr>
                <w:sz w:val="20"/>
                <w:szCs w:val="20"/>
                <w:color w:val="auto"/>
              </w:rPr>
            </w:pPr>
            <w:r>
              <w:rPr>
                <w:rFonts w:ascii="Arial" w:cs="Arial" w:eastAsia="Arial" w:hAnsi="Arial"/>
                <w:sz w:val="14"/>
                <w:szCs w:val="14"/>
                <w:color w:val="auto"/>
              </w:rPr>
              <w:t>Royalty Agreement Due 4/18/2019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4,254</w:t>
            </w:r>
          </w:p>
        </w:tc>
        <w:tc>
          <w:tcPr>
            <w:tcW w:w="2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Non-Affiliate Other Investments</w:t>
            </w:r>
          </w:p>
        </w:tc>
        <w:tc>
          <w:tcPr>
            <w:tcW w:w="18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3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9,882</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5,900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Equity — 1.0% (8)</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Insmed Incorporated (5)</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Biotechnology</w:t>
            </w: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33,208 Common Stock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238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Revance Therapeutics, Inc.(5)</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Biotechnology</w:t>
            </w: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5,125 Common Stock</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Sunesis Pharmaceuticals, Inc. (5)</w:t>
            </w: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Biotechnology</w:t>
            </w: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13,082 Common Stock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SnagAJob.com, Inc.</w:t>
            </w: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6"/>
              </w:rPr>
              <w:t>Consumer-related Technologies</w:t>
            </w: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82,974 Common Stock</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Total Non-Affiliate Equity</w:t>
            </w:r>
          </w:p>
        </w:tc>
        <w:tc>
          <w:tcPr>
            <w:tcW w:w="18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403</w:t>
            </w:r>
          </w:p>
        </w:tc>
        <w:tc>
          <w:tcPr>
            <w:tcW w:w="2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1,286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tcBorders>
              <w:bottom w:val="single" w:sz="8" w:color="CCEEFF"/>
            </w:tcBorders>
            <w:gridSpan w:val="4"/>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Non-Affiliate Portfolio Investment Assets</w:t>
            </w:r>
          </w:p>
        </w:tc>
        <w:tc>
          <w:tcPr>
            <w:tcW w:w="33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184,124</w:t>
            </w:r>
          </w:p>
        </w:tc>
        <w:tc>
          <w:tcPr>
            <w:tcW w:w="2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173,211</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2.6% (8)</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Affiliate Debt Investments — Technology — 2.5% (8)</w:t>
            </w: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Decisyon, Inc.</w:t>
            </w: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(13.538% cash (Libor + 12.308%; Floor</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1,523</w:t>
            </w:r>
          </w:p>
        </w:tc>
        <w:tc>
          <w:tcPr>
            <w:tcW w:w="180" w:type="dxa"/>
            <w:vAlign w:val="bottom"/>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1,522</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12.50%), 8.00% ETP, Due 12/1/19)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(13.538% cash (Libor + 12.308%; Floor</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833</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12.50%), 8.00% ETP, Due 12/1/19)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(12.02% PIK , Due 4/15/19) (15)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250</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Term Loan (12.03% PIK , Due 4/15/19) (15)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250</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left="168"/>
              <w:spacing w:after="0"/>
              <w:rPr>
                <w:sz w:val="20"/>
                <w:szCs w:val="20"/>
                <w:color w:val="auto"/>
              </w:rPr>
            </w:pPr>
            <w:r>
              <w:rPr>
                <w:rFonts w:ascii="Arial" w:cs="Arial" w:eastAsia="Arial" w:hAnsi="Arial"/>
                <w:sz w:val="14"/>
                <w:szCs w:val="14"/>
                <w:b w:val="1"/>
                <w:bCs w:val="1"/>
                <w:color w:val="auto"/>
                <w:w w:val="94"/>
              </w:rPr>
              <w:t>Principal</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(1)</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gridSpan w:val="2"/>
          </w:tcPr>
          <w:p>
            <w:pPr>
              <w:ind w:left="220"/>
              <w:spacing w:after="0"/>
              <w:rPr>
                <w:sz w:val="20"/>
                <w:szCs w:val="20"/>
                <w:color w:val="auto"/>
              </w:rPr>
            </w:pPr>
            <w:r>
              <w:rPr>
                <w:rFonts w:ascii="Arial" w:cs="Arial" w:eastAsia="Arial" w:hAnsi="Arial"/>
                <w:sz w:val="14"/>
                <w:szCs w:val="14"/>
                <w:b w:val="1"/>
                <w:bCs w:val="1"/>
                <w:color w:val="auto"/>
              </w:rPr>
              <w:t>Sector</w:t>
            </w:r>
          </w:p>
        </w:tc>
        <w:tc>
          <w:tcPr>
            <w:tcW w:w="3560" w:type="dxa"/>
            <w:vAlign w:val="bottom"/>
            <w:gridSpan w:val="2"/>
          </w:tcPr>
          <w:p>
            <w:pPr>
              <w:ind w:left="660"/>
              <w:spacing w:after="0"/>
              <w:rPr>
                <w:sz w:val="20"/>
                <w:szCs w:val="20"/>
                <w:color w:val="auto"/>
              </w:rPr>
            </w:pPr>
            <w:r>
              <w:rPr>
                <w:rFonts w:ascii="Arial" w:cs="Arial" w:eastAsia="Arial" w:hAnsi="Arial"/>
                <w:sz w:val="14"/>
                <w:szCs w:val="14"/>
                <w:b w:val="1"/>
                <w:bCs w:val="1"/>
                <w:color w:val="auto"/>
              </w:rPr>
              <w:t>Type of Investment (3)(4)(7)(9)(10)</w:t>
            </w:r>
          </w:p>
        </w:tc>
        <w:tc>
          <w:tcPr>
            <w:tcW w:w="800" w:type="dxa"/>
            <w:vAlign w:val="bottom"/>
          </w:tcPr>
          <w:p>
            <w:pPr>
              <w:jc w:val="center"/>
              <w:ind w:left="148"/>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Investments (6)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4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Term Loan (12.24% PIK , Due 4/15/19) (15)</w:t>
            </w: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750</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750</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714</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Borders>
              <w:bottom w:val="single" w:sz="8" w:color="CCEEFF"/>
            </w:tcBorders>
            <w:gridSpan w:val="5"/>
          </w:tcPr>
          <w:p>
            <w:pPr>
              <w:spacing w:after="0" w:line="142" w:lineRule="exact"/>
              <w:rPr>
                <w:sz w:val="20"/>
                <w:szCs w:val="20"/>
                <w:color w:val="auto"/>
              </w:rPr>
            </w:pPr>
            <w:r>
              <w:rPr>
                <w:rFonts w:ascii="Arial" w:cs="Arial" w:eastAsia="Arial" w:hAnsi="Arial"/>
                <w:sz w:val="14"/>
                <w:szCs w:val="14"/>
                <w:color w:val="auto"/>
              </w:rPr>
              <w:t>Total Affiliate Debt Investments — Technology</w:t>
            </w:r>
          </w:p>
        </w:tc>
        <w:tc>
          <w:tcPr>
            <w:tcW w:w="34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3,536</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3,368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Affiliate Warrants — Technology — 0.0% (8)</w:t>
            </w: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Decisyon, Inc.</w:t>
            </w:r>
          </w:p>
        </w:tc>
        <w:tc>
          <w:tcPr>
            <w:tcW w:w="196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Software</w:t>
            </w: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82,967 Common Stock Warrants</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w w:val="95"/>
              </w:rPr>
              <w:t>Total Affiliate Warrants — Technology</w:t>
            </w: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Affiliate Equity — Technology — 0.1% (8)</w:t>
            </w: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Decisyon, Inc.</w:t>
            </w:r>
          </w:p>
        </w:tc>
        <w:tc>
          <w:tcPr>
            <w:tcW w:w="196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Software</w:t>
            </w: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45,365,936 Common Stock</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Affiliate Equity</w:t>
            </w: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185</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Borders>
              <w:bottom w:val="single" w:sz="8" w:color="CCEEFF"/>
            </w:tcBorders>
            <w:gridSpan w:val="5"/>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Affiliate Portfolio Investment Assets</w:t>
            </w:r>
          </w:p>
        </w:tc>
        <w:tc>
          <w:tcPr>
            <w:tcW w:w="34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3,767</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3,493</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12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4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Borders>
              <w:bottom w:val="single" w:sz="8" w:color="CCEEFF"/>
            </w:tcBorders>
            <w:gridSpan w:val="5"/>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Portfolio Investment Assets — 129.9%(8)</w:t>
            </w:r>
          </w:p>
        </w:tc>
        <w:tc>
          <w:tcPr>
            <w:tcW w:w="34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187,891</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176,704</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60" w:right="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investments of the Company are in entities which are organized under the laws of the United States and have a principal place of business in the United States.</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Has been pledged as collateral under the Key Facility.</w:t>
      </w:r>
    </w:p>
    <w:p>
      <w:pPr>
        <w:spacing w:after="0" w:line="225"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All non-affiliate investments are investments in which the Company owns less than 5% ownership of the voting securities of the portfolio company. All affiliate investments are investments in which the Company owns 5% or more of the voting securities of the portfolio company.</w:t>
      </w:r>
    </w:p>
    <w:p>
      <w:pPr>
        <w:spacing w:after="0" w:line="146" w:lineRule="exact"/>
        <w:rPr>
          <w:rFonts w:ascii="Arial" w:cs="Arial" w:eastAsia="Arial" w:hAnsi="Arial"/>
          <w:sz w:val="17"/>
          <w:szCs w:val="17"/>
          <w:color w:val="auto"/>
        </w:rPr>
      </w:pPr>
    </w:p>
    <w:p>
      <w:pPr>
        <w:jc w:val="both"/>
        <w:ind w:left="460" w:hanging="452"/>
        <w:spacing w:after="0" w:line="25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the Company’s debt investments. Interest rate is the annual interest rate on the debt investment and does not include end-of-term payments (“ETPs”) and any additional fees related to the investments, such as deferred interest, commitment fees or prepayment fees. Debt investments are at fixed rates for the term of the debt investment, unless otherwise indicated. All debt investments based on LIBOR are based on one-month LIBOR. For each debt investment, the current interest rate in effect as of September 30, 2017 is provided.</w:t>
      </w:r>
    </w:p>
    <w:p>
      <w:pPr>
        <w:spacing w:after="0" w:line="188"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Portfolio company is a public company.</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Warrants, Equity and Other Investments are non-income producing.</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Value as a percent of net assets.</w:t>
      </w:r>
    </w:p>
    <w:p>
      <w:pPr>
        <w:spacing w:after="0" w:line="22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did not have any non-qualifying assets under Section 55(a) of the Investment Company Act of 1940, as amended (the “1940 Act”), as of September 30, 2017. Under the 1940 Act, the Company may not acquire any non-qualifying assets unless, at the time the acquisition is made, qualifying assets represent at least 70% of the Company’s total assets.</w:t>
      </w:r>
    </w:p>
    <w:p>
      <w:pPr>
        <w:spacing w:after="0" w:line="181"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spacing w:after="0" w:line="18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Debt investment is on non-accrual status at September 30, 2017.</w:t>
      </w:r>
    </w:p>
    <w:p>
      <w:pPr>
        <w:spacing w:after="0" w:line="225" w:lineRule="exact"/>
        <w:rPr>
          <w:rFonts w:ascii="Arial" w:cs="Arial" w:eastAsia="Arial" w:hAnsi="Arial"/>
          <w:sz w:val="18"/>
          <w:szCs w:val="18"/>
          <w:color w:val="auto"/>
        </w:rPr>
      </w:pPr>
    </w:p>
    <w:p>
      <w:pPr>
        <w:jc w:val="both"/>
        <w:ind w:left="460" w:hanging="452"/>
        <w:spacing w:after="0" w:line="293"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ScoreBig, Inc., a Delaware corporation (“ScoreBig”), made an assignment for the benefit of its creditors whereby ScoreBig assigned all of its assets to SB (assignment for the benefit of creditors), LLC, a California limited liability company (“SBABC”), established under California law to effectuate the Assignment for the Benefit of Creditors of ScoreBig. SBABC subsequently entered into a License Agreement with a third party (“Licensee”), whereby SBABC granted a license of certain of SBABC’s intellectual property and general intangibles to Licensee in exchange for certain royalty payments on the future net profits, if any, of Licensee. SBABC, in consideration for the Company’s consent to the License Agreement, agreed to pay all payments due under the License Agreement, if any, to the Company until the payment in full in cash of the Company’s debt investments in ScoreBig.</w:t>
      </w:r>
    </w:p>
    <w:p>
      <w:pPr>
        <w:spacing w:after="0" w:line="164" w:lineRule="exact"/>
        <w:rPr>
          <w:rFonts w:ascii="Arial" w:cs="Arial" w:eastAsia="Arial" w:hAnsi="Arial"/>
          <w:sz w:val="16"/>
          <w:szCs w:val="16"/>
          <w:color w:val="auto"/>
        </w:rPr>
      </w:pPr>
    </w:p>
    <w:p>
      <w:pPr>
        <w:jc w:val="both"/>
        <w:ind w:left="46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Digital Signal Corporation, a Delaware corporation (“DSC”), made an assignment for the benefit of its creditors whereby DSC assigned all of its assets to DSC (assignment for the benefit of creditors), LLC, a Delaware limited liability company, established under Delaware law to effectuate the Assignment for the Benefit of Creditors of DSC.</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Royalty Agreement received in partial satisfaction of obligations of New Haven Pharmaceuticals, Inc. (“NHP”) to the Company in connection with the sale of substantially all of the assets of NHP to Espero Pharmaceuticals, Inc.</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Debt investment has a payment-in-kind (“PIK”) feature.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r>
      <w:tr>
        <w:trPr>
          <w:trHeight w:val="171"/>
        </w:trPr>
        <w:tc>
          <w:tcPr>
            <w:tcW w:w="2300" w:type="dxa"/>
            <w:vAlign w:val="bottom"/>
          </w:tcPr>
          <w:p>
            <w:pPr>
              <w:spacing w:after="0"/>
              <w:rPr>
                <w:sz w:val="20"/>
                <w:szCs w:val="20"/>
                <w:color w:val="auto"/>
              </w:rPr>
            </w:pPr>
            <w:r>
              <w:rPr>
                <w:rFonts w:ascii="Arial" w:cs="Arial" w:eastAsia="Arial" w:hAnsi="Arial"/>
                <w:sz w:val="14"/>
                <w:szCs w:val="14"/>
                <w:b w:val="1"/>
                <w:bCs w:val="1"/>
                <w:color w:val="auto"/>
              </w:rPr>
              <w:t>Portfolio Company (1)</w:t>
            </w:r>
          </w:p>
        </w:tc>
        <w:tc>
          <w:tcPr>
            <w:tcW w:w="1580" w:type="dxa"/>
            <w:vAlign w:val="bottom"/>
          </w:tcPr>
          <w:p>
            <w:pPr>
              <w:ind w:left="780"/>
              <w:spacing w:after="0"/>
              <w:rPr>
                <w:sz w:val="20"/>
                <w:szCs w:val="20"/>
                <w:color w:val="auto"/>
              </w:rPr>
            </w:pPr>
            <w:r>
              <w:rPr>
                <w:rFonts w:ascii="Arial" w:cs="Arial" w:eastAsia="Arial" w:hAnsi="Arial"/>
                <w:sz w:val="14"/>
                <w:szCs w:val="14"/>
                <w:b w:val="1"/>
                <w:bCs w:val="1"/>
                <w:color w:val="auto"/>
              </w:rPr>
              <w:t>Sector</w:t>
            </w:r>
          </w:p>
        </w:tc>
        <w:tc>
          <w:tcPr>
            <w:tcW w:w="3820" w:type="dxa"/>
            <w:vAlign w:val="bottom"/>
          </w:tcPr>
          <w:p>
            <w:pPr>
              <w:ind w:left="1040"/>
              <w:spacing w:after="0"/>
              <w:rPr>
                <w:sz w:val="20"/>
                <w:szCs w:val="20"/>
                <w:color w:val="auto"/>
              </w:rPr>
            </w:pPr>
            <w:r>
              <w:rPr>
                <w:rFonts w:ascii="Arial" w:cs="Arial" w:eastAsia="Arial" w:hAnsi="Arial"/>
                <w:sz w:val="14"/>
                <w:szCs w:val="14"/>
                <w:b w:val="1"/>
                <w:bCs w:val="1"/>
                <w:color w:val="auto"/>
              </w:rPr>
              <w:t>Type of Investment (3)(4)(7)(9)(10)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Investments (6)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2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 — 133.8% (8)</w:t>
            </w:r>
          </w:p>
        </w:tc>
        <w:tc>
          <w:tcPr>
            <w:tcW w:w="1580" w:type="dxa"/>
            <w:vAlign w:val="bottom"/>
            <w:tcBorders>
              <w:top w:val="single" w:sz="8" w:color="auto"/>
            </w:tcBorders>
            <w:shd w:val="clear" w:color="auto" w:fill="CCEEFF"/>
          </w:tcPr>
          <w:p>
            <w:pPr>
              <w:spacing w:after="0"/>
              <w:rPr>
                <w:sz w:val="12"/>
                <w:szCs w:val="12"/>
                <w:color w:val="auto"/>
              </w:rPr>
            </w:pPr>
          </w:p>
        </w:tc>
        <w:tc>
          <w:tcPr>
            <w:tcW w:w="3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3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Debt Investments — Life Science — 38.5% (8)</w:t>
            </w:r>
          </w:p>
        </w:tc>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Argos Therapeutics, Inc. (2)(5)</w:t>
            </w:r>
          </w:p>
        </w:tc>
        <w:tc>
          <w:tcPr>
            <w:tcW w:w="15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Biotechnology</w:t>
            </w:r>
          </w:p>
        </w:tc>
        <w:tc>
          <w:tcPr>
            <w:tcW w:w="3820" w:type="dxa"/>
            <w:vAlign w:val="bottom"/>
            <w:shd w:val="clear" w:color="auto" w:fill="CCEEFF"/>
          </w:tcPr>
          <w:p>
            <w:pPr>
              <w:ind w:left="380"/>
              <w:spacing w:after="0" w:line="130" w:lineRule="exact"/>
              <w:rPr>
                <w:sz w:val="20"/>
                <w:szCs w:val="20"/>
                <w:color w:val="auto"/>
              </w:rPr>
            </w:pPr>
            <w:r>
              <w:rPr>
                <w:rFonts w:ascii="Arial" w:cs="Arial" w:eastAsia="Arial" w:hAnsi="Arial"/>
                <w:sz w:val="14"/>
                <w:szCs w:val="14"/>
                <w:color w:val="auto"/>
              </w:rPr>
              <w:t>Term Loan (9.38% cash (Libor + 8.75%; Floor 9.25%;</w:t>
            </w:r>
          </w:p>
        </w:tc>
        <w:tc>
          <w:tcPr>
            <w:tcW w:w="2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4,375</w:t>
            </w:r>
          </w:p>
        </w:tc>
        <w:tc>
          <w:tcPr>
            <w:tcW w:w="300" w:type="dxa"/>
            <w:vAlign w:val="bottom"/>
            <w:gridSpan w:val="2"/>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4,339</w:t>
            </w:r>
          </w:p>
        </w:tc>
        <w:tc>
          <w:tcPr>
            <w:tcW w:w="3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4,339</w:t>
            </w:r>
          </w:p>
        </w:tc>
      </w:tr>
      <w:tr>
        <w:trPr>
          <w:trHeight w:val="167"/>
        </w:trPr>
        <w:tc>
          <w:tcPr>
            <w:tcW w:w="23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3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Ceiling 10.75%), 5.00% ETP, Due 10/1/18)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820" w:type="dxa"/>
            <w:vAlign w:val="bottom"/>
          </w:tcPr>
          <w:p>
            <w:pPr>
              <w:ind w:left="380"/>
              <w:spacing w:after="0" w:line="130" w:lineRule="exact"/>
              <w:rPr>
                <w:sz w:val="20"/>
                <w:szCs w:val="20"/>
                <w:color w:val="auto"/>
              </w:rPr>
            </w:pPr>
            <w:r>
              <w:rPr>
                <w:rFonts w:ascii="Arial" w:cs="Arial" w:eastAsia="Arial" w:hAnsi="Arial"/>
                <w:sz w:val="14"/>
                <w:szCs w:val="14"/>
                <w:color w:val="auto"/>
              </w:rPr>
              <w:t>Term Loan (9.38% cash (Libor + 8.75%; Floor 9.25%;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5,000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4,969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4,969</w:t>
            </w:r>
          </w:p>
        </w:tc>
      </w:tr>
      <w:tr>
        <w:trPr>
          <w:trHeight w:val="167"/>
        </w:trPr>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20" w:type="dxa"/>
            <w:vAlign w:val="bottom"/>
          </w:tcPr>
          <w:p>
            <w:pPr>
              <w:ind w:left="380"/>
              <w:spacing w:after="0"/>
              <w:rPr>
                <w:sz w:val="20"/>
                <w:szCs w:val="20"/>
                <w:color w:val="auto"/>
              </w:rPr>
            </w:pPr>
            <w:r>
              <w:rPr>
                <w:rFonts w:ascii="Arial" w:cs="Arial" w:eastAsia="Arial" w:hAnsi="Arial"/>
                <w:sz w:val="14"/>
                <w:szCs w:val="14"/>
                <w:color w:val="auto"/>
              </w:rPr>
              <w:t>Ceiling 10.75%), 5.00% ETP, Due 3/1/19)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New Haven Pharmaceuticals, Inc. (11)</w:t>
            </w:r>
          </w:p>
        </w:tc>
        <w:tc>
          <w:tcPr>
            <w:tcW w:w="15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Biotechnology</w:t>
            </w:r>
          </w:p>
        </w:tc>
        <w:tc>
          <w:tcPr>
            <w:tcW w:w="3820" w:type="dxa"/>
            <w:vAlign w:val="bottom"/>
            <w:shd w:val="clear" w:color="auto" w:fill="CCEEFF"/>
          </w:tcPr>
          <w:p>
            <w:pPr>
              <w:ind w:left="380"/>
              <w:spacing w:after="0" w:line="130" w:lineRule="exact"/>
              <w:rPr>
                <w:sz w:val="20"/>
                <w:szCs w:val="20"/>
                <w:color w:val="auto"/>
              </w:rPr>
            </w:pPr>
            <w:r>
              <w:rPr>
                <w:rFonts w:ascii="Arial" w:cs="Arial" w:eastAsia="Arial" w:hAnsi="Arial"/>
                <w:sz w:val="14"/>
                <w:szCs w:val="14"/>
                <w:color w:val="auto"/>
              </w:rPr>
              <w:t>Term Loan (11.63% cash (Libor + 11.00%;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1,282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1,274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651</w:t>
            </w:r>
          </w:p>
        </w:tc>
      </w:tr>
      <w:tr>
        <w:trPr>
          <w:trHeight w:val="167"/>
        </w:trPr>
        <w:tc>
          <w:tcPr>
            <w:tcW w:w="23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3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11.50%), 11.42% ETP, Due 3/1/19)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820" w:type="dxa"/>
            <w:vAlign w:val="bottom"/>
          </w:tcPr>
          <w:p>
            <w:pPr>
              <w:ind w:left="380"/>
              <w:spacing w:after="0" w:line="130" w:lineRule="exact"/>
              <w:rPr>
                <w:sz w:val="20"/>
                <w:szCs w:val="20"/>
                <w:color w:val="auto"/>
              </w:rPr>
            </w:pPr>
            <w:r>
              <w:rPr>
                <w:rFonts w:ascii="Arial" w:cs="Arial" w:eastAsia="Arial" w:hAnsi="Arial"/>
                <w:sz w:val="14"/>
                <w:szCs w:val="14"/>
                <w:color w:val="auto"/>
              </w:rPr>
              <w:t>Term Loan (11.63% cash (Libor + 11.00%;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427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424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217</w:t>
            </w:r>
          </w:p>
        </w:tc>
      </w:tr>
      <w:tr>
        <w:trPr>
          <w:trHeight w:val="167"/>
        </w:trPr>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20" w:type="dxa"/>
            <w:vAlign w:val="bottom"/>
          </w:tcPr>
          <w:p>
            <w:pPr>
              <w:ind w:left="380"/>
              <w:spacing w:after="0"/>
              <w:rPr>
                <w:sz w:val="20"/>
                <w:szCs w:val="20"/>
                <w:color w:val="auto"/>
              </w:rPr>
            </w:pPr>
            <w:r>
              <w:rPr>
                <w:rFonts w:ascii="Arial" w:cs="Arial" w:eastAsia="Arial" w:hAnsi="Arial"/>
                <w:sz w:val="14"/>
                <w:szCs w:val="14"/>
                <w:color w:val="auto"/>
              </w:rPr>
              <w:t>11.50%), 11.42% ETP, Due 3/1/19)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3820" w:type="dxa"/>
            <w:vAlign w:val="bottom"/>
            <w:shd w:val="clear" w:color="auto" w:fill="CCEEFF"/>
          </w:tcPr>
          <w:p>
            <w:pPr>
              <w:ind w:left="380"/>
              <w:spacing w:after="0" w:line="130" w:lineRule="exact"/>
              <w:rPr>
                <w:sz w:val="20"/>
                <w:szCs w:val="20"/>
                <w:color w:val="auto"/>
              </w:rPr>
            </w:pPr>
            <w:r>
              <w:rPr>
                <w:rFonts w:ascii="Arial" w:cs="Arial" w:eastAsia="Arial" w:hAnsi="Arial"/>
                <w:sz w:val="14"/>
                <w:szCs w:val="14"/>
                <w:color w:val="auto"/>
              </w:rPr>
              <w:t>Term Loan (10.63% cash (Libor + 10.00%;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1,973</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1,960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1,002</w:t>
            </w:r>
          </w:p>
        </w:tc>
      </w:tr>
      <w:tr>
        <w:trPr>
          <w:trHeight w:val="167"/>
        </w:trPr>
        <w:tc>
          <w:tcPr>
            <w:tcW w:w="23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3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10.50%), 6.10% ETP, Due 3/1/19)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820" w:type="dxa"/>
            <w:vAlign w:val="bottom"/>
          </w:tcPr>
          <w:p>
            <w:pPr>
              <w:ind w:left="380"/>
              <w:spacing w:after="0" w:line="130" w:lineRule="exact"/>
              <w:rPr>
                <w:sz w:val="20"/>
                <w:szCs w:val="20"/>
                <w:color w:val="auto"/>
              </w:rPr>
            </w:pPr>
            <w:r>
              <w:rPr>
                <w:rFonts w:ascii="Arial" w:cs="Arial" w:eastAsia="Arial" w:hAnsi="Arial"/>
                <w:sz w:val="14"/>
                <w:szCs w:val="14"/>
                <w:color w:val="auto"/>
              </w:rPr>
              <w:t>Term Loan (10.13% cash (Libor + 9.50%;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6,185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6,118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3,127</w:t>
            </w:r>
          </w:p>
        </w:tc>
      </w:tr>
      <w:tr>
        <w:trPr>
          <w:trHeight w:val="167"/>
        </w:trPr>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20" w:type="dxa"/>
            <w:vAlign w:val="bottom"/>
          </w:tcPr>
          <w:p>
            <w:pPr>
              <w:ind w:left="380"/>
              <w:spacing w:after="0"/>
              <w:rPr>
                <w:sz w:val="20"/>
                <w:szCs w:val="20"/>
                <w:color w:val="auto"/>
              </w:rPr>
            </w:pPr>
            <w:r>
              <w:rPr>
                <w:rFonts w:ascii="Arial" w:cs="Arial" w:eastAsia="Arial" w:hAnsi="Arial"/>
                <w:sz w:val="14"/>
                <w:szCs w:val="14"/>
                <w:color w:val="auto"/>
              </w:rPr>
              <w:t>10.00%), 4.00% ETP, Due 4/1/19)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3820" w:type="dxa"/>
            <w:vAlign w:val="bottom"/>
            <w:shd w:val="clear" w:color="auto" w:fill="CCEEFF"/>
          </w:tcPr>
          <w:p>
            <w:pPr>
              <w:ind w:left="380"/>
              <w:spacing w:after="0" w:line="130" w:lineRule="exact"/>
              <w:rPr>
                <w:sz w:val="20"/>
                <w:szCs w:val="20"/>
                <w:color w:val="auto"/>
              </w:rPr>
            </w:pPr>
            <w:r>
              <w:rPr>
                <w:rFonts w:ascii="Arial" w:cs="Arial" w:eastAsia="Arial" w:hAnsi="Arial"/>
                <w:sz w:val="14"/>
                <w:szCs w:val="14"/>
                <w:color w:val="auto"/>
              </w:rPr>
              <w:t>Term Loan (10.13% cash (Libor + 9.50%;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593</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593</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303</w:t>
            </w:r>
          </w:p>
        </w:tc>
      </w:tr>
      <w:tr>
        <w:trPr>
          <w:trHeight w:val="167"/>
        </w:trPr>
        <w:tc>
          <w:tcPr>
            <w:tcW w:w="23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3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10.00%), Due 1/31/17)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Palatin Technologies, Inc. (2)(5)</w:t>
            </w:r>
          </w:p>
        </w:tc>
        <w:tc>
          <w:tcPr>
            <w:tcW w:w="1580" w:type="dxa"/>
            <w:vAlign w:val="bottom"/>
          </w:tcPr>
          <w:p>
            <w:pPr>
              <w:ind w:left="120"/>
              <w:spacing w:after="0" w:line="130" w:lineRule="exact"/>
              <w:rPr>
                <w:sz w:val="20"/>
                <w:szCs w:val="20"/>
                <w:color w:val="auto"/>
              </w:rPr>
            </w:pPr>
            <w:r>
              <w:rPr>
                <w:rFonts w:ascii="Arial" w:cs="Arial" w:eastAsia="Arial" w:hAnsi="Arial"/>
                <w:sz w:val="14"/>
                <w:szCs w:val="14"/>
                <w:color w:val="auto"/>
              </w:rPr>
              <w:t>Biotechnology</w:t>
            </w:r>
          </w:p>
        </w:tc>
        <w:tc>
          <w:tcPr>
            <w:tcW w:w="3820" w:type="dxa"/>
            <w:vAlign w:val="bottom"/>
          </w:tcPr>
          <w:p>
            <w:pPr>
              <w:ind w:left="380"/>
              <w:spacing w:after="0" w:line="130" w:lineRule="exact"/>
              <w:rPr>
                <w:sz w:val="20"/>
                <w:szCs w:val="20"/>
                <w:color w:val="auto"/>
              </w:rPr>
            </w:pPr>
            <w:r>
              <w:rPr>
                <w:rFonts w:ascii="Arial" w:cs="Arial" w:eastAsia="Arial" w:hAnsi="Arial"/>
                <w:sz w:val="14"/>
                <w:szCs w:val="14"/>
                <w:color w:val="auto"/>
              </w:rPr>
              <w:t>Term Loan (9.13% cash (Libor + 8.50%;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4,000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3,960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3,960</w:t>
            </w:r>
          </w:p>
        </w:tc>
      </w:tr>
      <w:tr>
        <w:trPr>
          <w:trHeight w:val="167"/>
        </w:trPr>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20" w:type="dxa"/>
            <w:vAlign w:val="bottom"/>
          </w:tcPr>
          <w:p>
            <w:pPr>
              <w:ind w:left="380"/>
              <w:spacing w:after="0"/>
              <w:rPr>
                <w:sz w:val="20"/>
                <w:szCs w:val="20"/>
                <w:color w:val="auto"/>
              </w:rPr>
            </w:pPr>
            <w:r>
              <w:rPr>
                <w:rFonts w:ascii="Arial" w:cs="Arial" w:eastAsia="Arial" w:hAnsi="Arial"/>
                <w:sz w:val="14"/>
                <w:szCs w:val="14"/>
                <w:color w:val="auto"/>
              </w:rPr>
              <w:t>9.00%), 5.00% ETP, Due 1/1/19)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3820" w:type="dxa"/>
            <w:vAlign w:val="bottom"/>
            <w:shd w:val="clear" w:color="auto" w:fill="CCEEFF"/>
          </w:tcPr>
          <w:p>
            <w:pPr>
              <w:ind w:left="380"/>
              <w:spacing w:after="0" w:line="130" w:lineRule="exact"/>
              <w:rPr>
                <w:sz w:val="20"/>
                <w:szCs w:val="20"/>
                <w:color w:val="auto"/>
              </w:rPr>
            </w:pPr>
            <w:r>
              <w:rPr>
                <w:rFonts w:ascii="Arial" w:cs="Arial" w:eastAsia="Arial" w:hAnsi="Arial"/>
                <w:sz w:val="14"/>
                <w:szCs w:val="14"/>
                <w:color w:val="auto"/>
              </w:rPr>
              <w:t>Term Loan (9.13% cash (Libor + 8.50%;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4,955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4,955</w:t>
            </w:r>
          </w:p>
        </w:tc>
      </w:tr>
      <w:tr>
        <w:trPr>
          <w:trHeight w:val="167"/>
        </w:trPr>
        <w:tc>
          <w:tcPr>
            <w:tcW w:w="23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3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9.00%), 5.00% ETP, Due 8/1/19)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Sample6, Inc. (2)</w:t>
            </w:r>
          </w:p>
        </w:tc>
        <w:tc>
          <w:tcPr>
            <w:tcW w:w="1580" w:type="dxa"/>
            <w:vAlign w:val="bottom"/>
          </w:tcPr>
          <w:p>
            <w:pPr>
              <w:ind w:left="120"/>
              <w:spacing w:after="0" w:line="130" w:lineRule="exact"/>
              <w:rPr>
                <w:sz w:val="20"/>
                <w:szCs w:val="20"/>
                <w:color w:val="auto"/>
              </w:rPr>
            </w:pPr>
            <w:r>
              <w:rPr>
                <w:rFonts w:ascii="Arial" w:cs="Arial" w:eastAsia="Arial" w:hAnsi="Arial"/>
                <w:sz w:val="14"/>
                <w:szCs w:val="14"/>
                <w:color w:val="auto"/>
              </w:rPr>
              <w:t>Biotechnology</w:t>
            </w:r>
          </w:p>
        </w:tc>
        <w:tc>
          <w:tcPr>
            <w:tcW w:w="3820" w:type="dxa"/>
            <w:vAlign w:val="bottom"/>
          </w:tcPr>
          <w:p>
            <w:pPr>
              <w:ind w:left="380"/>
              <w:spacing w:after="0" w:line="130" w:lineRule="exact"/>
              <w:rPr>
                <w:sz w:val="20"/>
                <w:szCs w:val="20"/>
                <w:color w:val="auto"/>
              </w:rPr>
            </w:pPr>
            <w:r>
              <w:rPr>
                <w:rFonts w:ascii="Arial" w:cs="Arial" w:eastAsia="Arial" w:hAnsi="Arial"/>
                <w:sz w:val="14"/>
                <w:szCs w:val="14"/>
                <w:color w:val="auto"/>
              </w:rPr>
              <w:t>Term Loan (9.63% cash (Libor + 9.00%;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972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969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969</w:t>
            </w:r>
          </w:p>
        </w:tc>
      </w:tr>
      <w:tr>
        <w:trPr>
          <w:trHeight w:val="167"/>
        </w:trPr>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20" w:type="dxa"/>
            <w:vAlign w:val="bottom"/>
          </w:tcPr>
          <w:p>
            <w:pPr>
              <w:ind w:left="380"/>
              <w:spacing w:after="0"/>
              <w:rPr>
                <w:sz w:val="20"/>
                <w:szCs w:val="20"/>
                <w:color w:val="auto"/>
              </w:rPr>
            </w:pPr>
            <w:r>
              <w:rPr>
                <w:rFonts w:ascii="Arial" w:cs="Arial" w:eastAsia="Arial" w:hAnsi="Arial"/>
                <w:sz w:val="14"/>
                <w:szCs w:val="14"/>
                <w:color w:val="auto"/>
              </w:rPr>
              <w:t>9.50%; Ceiling 11.00%), 4.00% ETP, Due 4/1/18)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3820" w:type="dxa"/>
            <w:vAlign w:val="bottom"/>
            <w:shd w:val="clear" w:color="auto" w:fill="CCEEFF"/>
          </w:tcPr>
          <w:p>
            <w:pPr>
              <w:ind w:left="380"/>
              <w:spacing w:after="0" w:line="130" w:lineRule="exact"/>
              <w:rPr>
                <w:sz w:val="20"/>
                <w:szCs w:val="20"/>
                <w:color w:val="auto"/>
              </w:rPr>
            </w:pPr>
            <w:r>
              <w:rPr>
                <w:rFonts w:ascii="Arial" w:cs="Arial" w:eastAsia="Arial" w:hAnsi="Arial"/>
                <w:sz w:val="14"/>
                <w:szCs w:val="14"/>
                <w:color w:val="auto"/>
              </w:rPr>
              <w:t>Term Loan (9.63% cash (Libor + 9.00%;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591</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588</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588</w:t>
            </w:r>
          </w:p>
        </w:tc>
      </w:tr>
      <w:tr>
        <w:trPr>
          <w:trHeight w:val="167"/>
        </w:trPr>
        <w:tc>
          <w:tcPr>
            <w:tcW w:w="23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3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9.50%; Ceiling 11.00%), 4.00% ETP, Due 4/1/18)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820" w:type="dxa"/>
            <w:vAlign w:val="bottom"/>
          </w:tcPr>
          <w:p>
            <w:pPr>
              <w:ind w:left="380"/>
              <w:spacing w:after="0" w:line="130" w:lineRule="exact"/>
              <w:rPr>
                <w:sz w:val="20"/>
                <w:szCs w:val="20"/>
                <w:color w:val="auto"/>
              </w:rPr>
            </w:pPr>
            <w:r>
              <w:rPr>
                <w:rFonts w:ascii="Arial" w:cs="Arial" w:eastAsia="Arial" w:hAnsi="Arial"/>
                <w:sz w:val="14"/>
                <w:szCs w:val="14"/>
                <w:color w:val="auto"/>
              </w:rPr>
              <w:t>Term Loan (9.63% cash (Libor + 9.00%;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2,083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2,073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2,073</w:t>
            </w:r>
          </w:p>
        </w:tc>
      </w:tr>
      <w:tr>
        <w:trPr>
          <w:trHeight w:val="167"/>
        </w:trPr>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20" w:type="dxa"/>
            <w:vAlign w:val="bottom"/>
          </w:tcPr>
          <w:p>
            <w:pPr>
              <w:ind w:left="380"/>
              <w:spacing w:after="0"/>
              <w:rPr>
                <w:sz w:val="20"/>
                <w:szCs w:val="20"/>
                <w:color w:val="auto"/>
              </w:rPr>
            </w:pPr>
            <w:r>
              <w:rPr>
                <w:rFonts w:ascii="Arial" w:cs="Arial" w:eastAsia="Arial" w:hAnsi="Arial"/>
                <w:sz w:val="14"/>
                <w:szCs w:val="14"/>
                <w:color w:val="auto"/>
              </w:rPr>
              <w:t>9.50%; Ceiling 11.00%), 4.00% ETP, Due 4/1/18)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Strongbridge U.S. Inc. (5)</w:t>
            </w:r>
          </w:p>
        </w:tc>
        <w:tc>
          <w:tcPr>
            <w:tcW w:w="15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Biotechnology</w:t>
            </w:r>
          </w:p>
        </w:tc>
        <w:tc>
          <w:tcPr>
            <w:tcW w:w="3820" w:type="dxa"/>
            <w:vAlign w:val="bottom"/>
            <w:shd w:val="clear" w:color="auto" w:fill="CCEEFF"/>
          </w:tcPr>
          <w:p>
            <w:pPr>
              <w:ind w:left="380"/>
              <w:spacing w:after="0" w:line="130" w:lineRule="exact"/>
              <w:rPr>
                <w:sz w:val="20"/>
                <w:szCs w:val="20"/>
                <w:color w:val="auto"/>
              </w:rPr>
            </w:pPr>
            <w:r>
              <w:rPr>
                <w:rFonts w:ascii="Arial" w:cs="Arial" w:eastAsia="Arial" w:hAnsi="Arial"/>
                <w:sz w:val="14"/>
                <w:szCs w:val="14"/>
                <w:color w:val="auto"/>
              </w:rPr>
              <w:t>Term Loan (8.84% cash (Libor + 8.22%;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7,500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7,353</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7,353</w:t>
            </w:r>
          </w:p>
        </w:tc>
      </w:tr>
      <w:tr>
        <w:trPr>
          <w:trHeight w:val="167"/>
        </w:trPr>
        <w:tc>
          <w:tcPr>
            <w:tcW w:w="23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3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8.75%), 8.00% ETP, Due 12/1/20)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vTv Therapeutics Inc. (2)(5)</w:t>
            </w:r>
          </w:p>
        </w:tc>
        <w:tc>
          <w:tcPr>
            <w:tcW w:w="1580" w:type="dxa"/>
            <w:vAlign w:val="bottom"/>
          </w:tcPr>
          <w:p>
            <w:pPr>
              <w:ind w:left="120"/>
              <w:spacing w:after="0" w:line="130" w:lineRule="exact"/>
              <w:rPr>
                <w:sz w:val="20"/>
                <w:szCs w:val="20"/>
                <w:color w:val="auto"/>
              </w:rPr>
            </w:pPr>
            <w:r>
              <w:rPr>
                <w:rFonts w:ascii="Arial" w:cs="Arial" w:eastAsia="Arial" w:hAnsi="Arial"/>
                <w:sz w:val="14"/>
                <w:szCs w:val="14"/>
                <w:color w:val="auto"/>
              </w:rPr>
              <w:t>Biotechnology</w:t>
            </w:r>
          </w:p>
        </w:tc>
        <w:tc>
          <w:tcPr>
            <w:tcW w:w="3820" w:type="dxa"/>
            <w:vAlign w:val="bottom"/>
          </w:tcPr>
          <w:p>
            <w:pPr>
              <w:ind w:left="380"/>
              <w:spacing w:after="0" w:line="130" w:lineRule="exact"/>
              <w:rPr>
                <w:sz w:val="20"/>
                <w:szCs w:val="20"/>
                <w:color w:val="auto"/>
              </w:rPr>
            </w:pPr>
            <w:r>
              <w:rPr>
                <w:rFonts w:ascii="Arial" w:cs="Arial" w:eastAsia="Arial" w:hAnsi="Arial"/>
                <w:sz w:val="14"/>
                <w:szCs w:val="14"/>
                <w:color w:val="auto"/>
              </w:rPr>
              <w:t>Term Loan (10.63% cash (Libor + 10.00%;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6,250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6,106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6,106</w:t>
            </w:r>
          </w:p>
        </w:tc>
      </w:tr>
      <w:tr>
        <w:trPr>
          <w:trHeight w:val="167"/>
        </w:trPr>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20" w:type="dxa"/>
            <w:vAlign w:val="bottom"/>
          </w:tcPr>
          <w:p>
            <w:pPr>
              <w:ind w:left="380"/>
              <w:spacing w:after="0"/>
              <w:rPr>
                <w:sz w:val="20"/>
                <w:szCs w:val="20"/>
                <w:color w:val="auto"/>
              </w:rPr>
            </w:pPr>
            <w:r>
              <w:rPr>
                <w:rFonts w:ascii="Arial" w:cs="Arial" w:eastAsia="Arial" w:hAnsi="Arial"/>
                <w:sz w:val="14"/>
                <w:szCs w:val="14"/>
                <w:color w:val="auto"/>
              </w:rPr>
              <w:t>10.50%), 6.00% ETP, Due 5/1/20)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Lantos Technologies, Inc. (2)</w:t>
            </w:r>
          </w:p>
        </w:tc>
        <w:tc>
          <w:tcPr>
            <w:tcW w:w="15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820" w:type="dxa"/>
            <w:vAlign w:val="bottom"/>
            <w:shd w:val="clear" w:color="auto" w:fill="CCEEFF"/>
          </w:tcPr>
          <w:p>
            <w:pPr>
              <w:ind w:left="380"/>
              <w:spacing w:after="0" w:line="130" w:lineRule="exact"/>
              <w:rPr>
                <w:sz w:val="20"/>
                <w:szCs w:val="20"/>
                <w:color w:val="auto"/>
              </w:rPr>
            </w:pPr>
            <w:r>
              <w:rPr>
                <w:rFonts w:ascii="Arial" w:cs="Arial" w:eastAsia="Arial" w:hAnsi="Arial"/>
                <w:sz w:val="14"/>
                <w:szCs w:val="14"/>
                <w:color w:val="auto"/>
              </w:rPr>
              <w:t>Term Loan (11.50% cash (Libor + 10.50%;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2,479</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2,455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2,320</w:t>
            </w:r>
          </w:p>
        </w:tc>
      </w:tr>
      <w:tr>
        <w:trPr>
          <w:trHeight w:val="167"/>
        </w:trPr>
        <w:tc>
          <w:tcPr>
            <w:tcW w:w="23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3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11.50%), 5.00% ETP, Due 2/1/18)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Mederi Therapeutics, Inc. (2)</w:t>
            </w:r>
          </w:p>
        </w:tc>
        <w:tc>
          <w:tcPr>
            <w:tcW w:w="1580" w:type="dxa"/>
            <w:vAlign w:val="bottom"/>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820" w:type="dxa"/>
            <w:vAlign w:val="bottom"/>
          </w:tcPr>
          <w:p>
            <w:pPr>
              <w:ind w:left="380"/>
              <w:spacing w:after="0" w:line="130" w:lineRule="exact"/>
              <w:rPr>
                <w:sz w:val="20"/>
                <w:szCs w:val="20"/>
                <w:color w:val="auto"/>
              </w:rPr>
            </w:pPr>
            <w:r>
              <w:rPr>
                <w:rFonts w:ascii="Arial" w:cs="Arial" w:eastAsia="Arial" w:hAnsi="Arial"/>
                <w:sz w:val="14"/>
                <w:szCs w:val="14"/>
                <w:color w:val="auto"/>
              </w:rPr>
              <w:t>Term Loan (12.27% cash (Libor + 11.82%;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1,352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1,344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1,344</w:t>
            </w:r>
          </w:p>
        </w:tc>
      </w:tr>
      <w:tr>
        <w:trPr>
          <w:trHeight w:val="167"/>
        </w:trPr>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20" w:type="dxa"/>
            <w:vAlign w:val="bottom"/>
          </w:tcPr>
          <w:p>
            <w:pPr>
              <w:ind w:left="380"/>
              <w:spacing w:after="0"/>
              <w:rPr>
                <w:sz w:val="20"/>
                <w:szCs w:val="20"/>
                <w:color w:val="auto"/>
              </w:rPr>
            </w:pPr>
            <w:r>
              <w:rPr>
                <w:rFonts w:ascii="Arial" w:cs="Arial" w:eastAsia="Arial" w:hAnsi="Arial"/>
                <w:sz w:val="14"/>
                <w:szCs w:val="14"/>
                <w:color w:val="auto"/>
              </w:rPr>
              <w:t>12.00%), 4.00% ETP, Due 7/1/17)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3820" w:type="dxa"/>
            <w:vAlign w:val="bottom"/>
            <w:shd w:val="clear" w:color="auto" w:fill="CCEEFF"/>
          </w:tcPr>
          <w:p>
            <w:pPr>
              <w:ind w:left="380"/>
              <w:spacing w:after="0" w:line="130" w:lineRule="exact"/>
              <w:rPr>
                <w:sz w:val="20"/>
                <w:szCs w:val="20"/>
                <w:color w:val="auto"/>
              </w:rPr>
            </w:pPr>
            <w:r>
              <w:rPr>
                <w:rFonts w:ascii="Arial" w:cs="Arial" w:eastAsia="Arial" w:hAnsi="Arial"/>
                <w:sz w:val="14"/>
                <w:szCs w:val="14"/>
                <w:color w:val="auto"/>
              </w:rPr>
              <w:t>Term Loan (12.27% cash (Libor + 11.82%;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1,352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1,344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1,344</w:t>
            </w:r>
          </w:p>
        </w:tc>
      </w:tr>
      <w:tr>
        <w:trPr>
          <w:trHeight w:val="167"/>
        </w:trPr>
        <w:tc>
          <w:tcPr>
            <w:tcW w:w="23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3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12.00%), 4.00% ETP, Due 7/1/17)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NinePoint Medical, Inc. (2)</w:t>
            </w:r>
          </w:p>
        </w:tc>
        <w:tc>
          <w:tcPr>
            <w:tcW w:w="1580" w:type="dxa"/>
            <w:vAlign w:val="bottom"/>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820" w:type="dxa"/>
            <w:vAlign w:val="bottom"/>
          </w:tcPr>
          <w:p>
            <w:pPr>
              <w:ind w:left="380"/>
              <w:spacing w:after="0" w:line="130" w:lineRule="exact"/>
              <w:rPr>
                <w:sz w:val="20"/>
                <w:szCs w:val="20"/>
                <w:color w:val="auto"/>
              </w:rPr>
            </w:pPr>
            <w:r>
              <w:rPr>
                <w:rFonts w:ascii="Arial" w:cs="Arial" w:eastAsia="Arial" w:hAnsi="Arial"/>
                <w:sz w:val="14"/>
                <w:szCs w:val="14"/>
                <w:color w:val="auto"/>
              </w:rPr>
              <w:t>Term Loan (9.38% cash (Libor + 8.75%;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4,500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4,461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4,461</w:t>
            </w:r>
          </w:p>
        </w:tc>
      </w:tr>
      <w:tr>
        <w:trPr>
          <w:trHeight w:val="167"/>
        </w:trPr>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20" w:type="dxa"/>
            <w:vAlign w:val="bottom"/>
          </w:tcPr>
          <w:p>
            <w:pPr>
              <w:ind w:left="380"/>
              <w:spacing w:after="0"/>
              <w:rPr>
                <w:sz w:val="20"/>
                <w:szCs w:val="20"/>
                <w:color w:val="auto"/>
              </w:rPr>
            </w:pPr>
            <w:r>
              <w:rPr>
                <w:rFonts w:ascii="Arial" w:cs="Arial" w:eastAsia="Arial" w:hAnsi="Arial"/>
                <w:sz w:val="14"/>
                <w:szCs w:val="14"/>
                <w:color w:val="auto"/>
              </w:rPr>
              <w:t>9.25%), 4.50% ETP, Due 3/1/19)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3820" w:type="dxa"/>
            <w:vAlign w:val="bottom"/>
            <w:shd w:val="clear" w:color="auto" w:fill="CCEEFF"/>
          </w:tcPr>
          <w:p>
            <w:pPr>
              <w:ind w:left="380"/>
              <w:spacing w:after="0" w:line="130" w:lineRule="exact"/>
              <w:rPr>
                <w:sz w:val="20"/>
                <w:szCs w:val="20"/>
                <w:color w:val="auto"/>
              </w:rPr>
            </w:pPr>
            <w:r>
              <w:rPr>
                <w:rFonts w:ascii="Arial" w:cs="Arial" w:eastAsia="Arial" w:hAnsi="Arial"/>
                <w:sz w:val="14"/>
                <w:szCs w:val="14"/>
                <w:color w:val="auto"/>
              </w:rPr>
              <w:t>Term Loan (9.38% cash (Libor + 8.75%;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2,250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2,225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2,225</w:t>
            </w:r>
          </w:p>
        </w:tc>
      </w:tr>
      <w:tr>
        <w:trPr>
          <w:trHeight w:val="167"/>
        </w:trPr>
        <w:tc>
          <w:tcPr>
            <w:tcW w:w="23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3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9.25%), 4.50% ETP, Due 3/1/19)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Tryton Medical, Inc. (2)</w:t>
            </w:r>
          </w:p>
        </w:tc>
        <w:tc>
          <w:tcPr>
            <w:tcW w:w="1580" w:type="dxa"/>
            <w:vAlign w:val="bottom"/>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820" w:type="dxa"/>
            <w:vAlign w:val="bottom"/>
          </w:tcPr>
          <w:p>
            <w:pPr>
              <w:ind w:left="380"/>
              <w:spacing w:after="0" w:line="130" w:lineRule="exact"/>
              <w:rPr>
                <w:sz w:val="20"/>
                <w:szCs w:val="20"/>
                <w:color w:val="auto"/>
              </w:rPr>
            </w:pPr>
            <w:r>
              <w:rPr>
                <w:rFonts w:ascii="Arial" w:cs="Arial" w:eastAsia="Arial" w:hAnsi="Arial"/>
                <w:sz w:val="14"/>
                <w:szCs w:val="14"/>
                <w:color w:val="auto"/>
                <w:w w:val="99"/>
              </w:rPr>
              <w:t>Term Loan (10.66% cash (Prime + 7.16%), 2.50% ETP,</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1,313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1,309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1,309</w:t>
            </w:r>
          </w:p>
        </w:tc>
      </w:tr>
      <w:tr>
        <w:trPr>
          <w:trHeight w:val="181"/>
        </w:trPr>
        <w:tc>
          <w:tcPr>
            <w:tcW w:w="2300" w:type="dxa"/>
            <w:vAlign w:val="bottom"/>
            <w:tcBorders>
              <w:bottom w:val="single" w:sz="8" w:color="CCEEFF"/>
            </w:tcBorders>
          </w:tcPr>
          <w:p>
            <w:pPr>
              <w:spacing w:after="0"/>
              <w:rPr>
                <w:sz w:val="15"/>
                <w:szCs w:val="15"/>
                <w:color w:val="auto"/>
              </w:rPr>
            </w:pPr>
          </w:p>
        </w:tc>
        <w:tc>
          <w:tcPr>
            <w:tcW w:w="1580" w:type="dxa"/>
            <w:vAlign w:val="bottom"/>
            <w:tcBorders>
              <w:bottom w:val="single" w:sz="8" w:color="CCEEFF"/>
            </w:tcBorders>
          </w:tcPr>
          <w:p>
            <w:pPr>
              <w:spacing w:after="0"/>
              <w:rPr>
                <w:sz w:val="15"/>
                <w:szCs w:val="15"/>
                <w:color w:val="auto"/>
              </w:rPr>
            </w:pPr>
          </w:p>
        </w:tc>
        <w:tc>
          <w:tcPr>
            <w:tcW w:w="38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Due 3/1/17)</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42"/>
        </w:trPr>
        <w:tc>
          <w:tcPr>
            <w:tcW w:w="2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4"/>
              </w:rPr>
              <w:t>Total Debt Investments — Life Science</w:t>
            </w:r>
          </w:p>
        </w:tc>
        <w:tc>
          <w:tcPr>
            <w:tcW w:w="1580" w:type="dxa"/>
            <w:vAlign w:val="bottom"/>
            <w:shd w:val="clear" w:color="auto" w:fill="CCEEFF"/>
          </w:tcPr>
          <w:p>
            <w:pPr>
              <w:spacing w:after="0"/>
              <w:rPr>
                <w:sz w:val="12"/>
                <w:szCs w:val="12"/>
                <w:color w:val="auto"/>
              </w:rPr>
            </w:pPr>
          </w:p>
        </w:tc>
        <w:tc>
          <w:tcPr>
            <w:tcW w:w="3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58,819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53,615</w:t>
            </w:r>
          </w:p>
        </w:tc>
        <w:tc>
          <w:tcPr>
            <w:tcW w:w="100" w:type="dxa"/>
            <w:vAlign w:val="bottom"/>
            <w:shd w:val="clear" w:color="auto" w:fill="CCEEFF"/>
          </w:tcPr>
          <w:p>
            <w:pPr>
              <w:spacing w:after="0"/>
              <w:rPr>
                <w:sz w:val="12"/>
                <w:szCs w:val="12"/>
                <w:color w:val="auto"/>
              </w:rPr>
            </w:pPr>
          </w:p>
        </w:tc>
      </w:tr>
      <w:tr>
        <w:trPr>
          <w:trHeight w:val="142"/>
        </w:trPr>
        <w:tc>
          <w:tcPr>
            <w:tcW w:w="3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Debt Investments — Technology — 75.4% (8)</w:t>
            </w:r>
          </w:p>
        </w:tc>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Ekahau, Inc. (2)</w:t>
            </w:r>
          </w:p>
        </w:tc>
        <w:tc>
          <w:tcPr>
            <w:tcW w:w="15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Communications</w:t>
            </w:r>
          </w:p>
        </w:tc>
        <w:tc>
          <w:tcPr>
            <w:tcW w:w="38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Term Loan (11.75% cash, 2.50% ETP, Due 2/1/17)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w:t>
            </w:r>
          </w:p>
        </w:tc>
      </w:tr>
      <w:tr>
        <w:trPr>
          <w:trHeight w:val="149"/>
        </w:trPr>
        <w:tc>
          <w:tcPr>
            <w:tcW w:w="2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20" w:type="dxa"/>
            <w:vAlign w:val="bottom"/>
          </w:tcPr>
          <w:p>
            <w:pPr>
              <w:ind w:left="380"/>
              <w:spacing w:after="0" w:line="149" w:lineRule="exact"/>
              <w:rPr>
                <w:sz w:val="20"/>
                <w:szCs w:val="20"/>
                <w:color w:val="auto"/>
              </w:rPr>
            </w:pPr>
            <w:r>
              <w:rPr>
                <w:rFonts w:ascii="Arial" w:cs="Arial" w:eastAsia="Arial" w:hAnsi="Arial"/>
                <w:sz w:val="14"/>
                <w:szCs w:val="14"/>
                <w:color w:val="auto"/>
              </w:rPr>
              <w:t>Term Loan (11.75% cash, 2.50% ETP, Due 2/1/17)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w:t>
            </w:r>
          </w:p>
        </w:tc>
      </w:tr>
      <w:tr>
        <w:trPr>
          <w:trHeight w:val="130"/>
        </w:trPr>
        <w:tc>
          <w:tcPr>
            <w:tcW w:w="2300" w:type="dxa"/>
            <w:vAlign w:val="bottom"/>
            <w:shd w:val="clear" w:color="auto" w:fill="CCEEFF"/>
          </w:tcPr>
          <w:p>
            <w:pPr>
              <w:spacing w:after="0"/>
              <w:rPr>
                <w:sz w:val="11"/>
                <w:szCs w:val="11"/>
                <w:color w:val="auto"/>
              </w:rPr>
            </w:pPr>
          </w:p>
        </w:tc>
        <w:tc>
          <w:tcPr>
            <w:tcW w:w="15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Consumer-related</w:t>
            </w:r>
          </w:p>
        </w:tc>
        <w:tc>
          <w:tcPr>
            <w:tcW w:w="3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Gwynnie Bee, Inc. (2)</w:t>
            </w:r>
          </w:p>
        </w:tc>
        <w:tc>
          <w:tcPr>
            <w:tcW w:w="15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Technologies</w:t>
            </w:r>
          </w:p>
        </w:tc>
        <w:tc>
          <w:tcPr>
            <w:tcW w:w="38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Term Loan (11.13% cash (Libor + 10.50%; Floor</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657</w:t>
            </w:r>
          </w:p>
        </w:tc>
      </w:tr>
      <w:tr>
        <w:trPr>
          <w:trHeight w:val="167"/>
        </w:trPr>
        <w:tc>
          <w:tcPr>
            <w:tcW w:w="23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3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11.00%; Ceiling 12.50%), 2.00% ETP, Due 11/1/17)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820" w:type="dxa"/>
            <w:vAlign w:val="bottom"/>
          </w:tcPr>
          <w:p>
            <w:pPr>
              <w:ind w:left="380"/>
              <w:spacing w:after="0" w:line="130" w:lineRule="exact"/>
              <w:rPr>
                <w:sz w:val="20"/>
                <w:szCs w:val="20"/>
                <w:color w:val="auto"/>
              </w:rPr>
            </w:pPr>
            <w:r>
              <w:rPr>
                <w:rFonts w:ascii="Arial" w:cs="Arial" w:eastAsia="Arial" w:hAnsi="Arial"/>
                <w:sz w:val="14"/>
                <w:szCs w:val="14"/>
                <w:color w:val="auto"/>
              </w:rPr>
              <w:t>Term Loan (11.13% cash (Libor + 10.50%;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433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424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424</w:t>
            </w:r>
          </w:p>
        </w:tc>
      </w:tr>
      <w:tr>
        <w:trPr>
          <w:trHeight w:val="167"/>
        </w:trPr>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20" w:type="dxa"/>
            <w:vAlign w:val="bottom"/>
          </w:tcPr>
          <w:p>
            <w:pPr>
              <w:ind w:left="380"/>
              <w:spacing w:after="0"/>
              <w:rPr>
                <w:sz w:val="20"/>
                <w:szCs w:val="20"/>
                <w:color w:val="auto"/>
              </w:rPr>
            </w:pPr>
            <w:r>
              <w:rPr>
                <w:rFonts w:ascii="Arial" w:cs="Arial" w:eastAsia="Arial" w:hAnsi="Arial"/>
                <w:sz w:val="14"/>
                <w:szCs w:val="14"/>
                <w:color w:val="auto"/>
              </w:rPr>
              <w:t>11.00%; Ceiling 12.50%), 2.00% ETP, Due 2/1/18)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3820" w:type="dxa"/>
            <w:vAlign w:val="bottom"/>
            <w:shd w:val="clear" w:color="auto" w:fill="CCEEFF"/>
          </w:tcPr>
          <w:p>
            <w:pPr>
              <w:ind w:left="380"/>
              <w:spacing w:after="0" w:line="130" w:lineRule="exact"/>
              <w:rPr>
                <w:sz w:val="20"/>
                <w:szCs w:val="20"/>
                <w:color w:val="auto"/>
              </w:rPr>
            </w:pPr>
            <w:r>
              <w:rPr>
                <w:rFonts w:ascii="Arial" w:cs="Arial" w:eastAsia="Arial" w:hAnsi="Arial"/>
                <w:sz w:val="14"/>
                <w:szCs w:val="14"/>
                <w:color w:val="auto"/>
              </w:rPr>
              <w:t>Term Loan (11.13% cash (Libor + 10.50%;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492</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492</w:t>
            </w:r>
          </w:p>
        </w:tc>
      </w:tr>
      <w:tr>
        <w:trPr>
          <w:trHeight w:val="167"/>
        </w:trPr>
        <w:tc>
          <w:tcPr>
            <w:tcW w:w="23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3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11.00%; Ceiling 12.50%), 2.00% ETP, Due 4/1/18)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580" w:type="dxa"/>
            <w:vAlign w:val="bottom"/>
          </w:tcPr>
          <w:p>
            <w:pPr>
              <w:ind w:left="120"/>
              <w:spacing w:after="0" w:line="130" w:lineRule="exact"/>
              <w:rPr>
                <w:sz w:val="20"/>
                <w:szCs w:val="20"/>
                <w:color w:val="auto"/>
              </w:rPr>
            </w:pPr>
            <w:r>
              <w:rPr>
                <w:rFonts w:ascii="Arial" w:cs="Arial" w:eastAsia="Arial" w:hAnsi="Arial"/>
                <w:sz w:val="14"/>
                <w:szCs w:val="14"/>
                <w:color w:val="auto"/>
              </w:rPr>
              <w:t>Consumer-related</w:t>
            </w:r>
          </w:p>
        </w:tc>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Le Tote, Inc. (2)</w:t>
            </w:r>
          </w:p>
        </w:tc>
        <w:tc>
          <w:tcPr>
            <w:tcW w:w="1580" w:type="dxa"/>
            <w:vAlign w:val="bottom"/>
          </w:tcPr>
          <w:p>
            <w:pPr>
              <w:ind w:left="120"/>
              <w:spacing w:after="0" w:line="149" w:lineRule="exact"/>
              <w:rPr>
                <w:sz w:val="20"/>
                <w:szCs w:val="20"/>
                <w:color w:val="auto"/>
              </w:rPr>
            </w:pPr>
            <w:r>
              <w:rPr>
                <w:rFonts w:ascii="Arial" w:cs="Arial" w:eastAsia="Arial" w:hAnsi="Arial"/>
                <w:sz w:val="14"/>
                <w:szCs w:val="14"/>
                <w:color w:val="auto"/>
              </w:rPr>
              <w:t>Technologies</w:t>
            </w:r>
          </w:p>
        </w:tc>
        <w:tc>
          <w:tcPr>
            <w:tcW w:w="3820" w:type="dxa"/>
            <w:vAlign w:val="bottom"/>
          </w:tcPr>
          <w:p>
            <w:pPr>
              <w:ind w:left="380"/>
              <w:spacing w:after="0" w:line="149" w:lineRule="exact"/>
              <w:rPr>
                <w:sz w:val="20"/>
                <w:szCs w:val="20"/>
                <w:color w:val="auto"/>
              </w:rPr>
            </w:pPr>
            <w:r>
              <w:rPr>
                <w:rFonts w:ascii="Arial" w:cs="Arial" w:eastAsia="Arial" w:hAnsi="Arial"/>
                <w:sz w:val="14"/>
                <w:szCs w:val="14"/>
                <w:color w:val="auto"/>
              </w:rPr>
              <w:t>Term Loan (10.28% cash (Libor + 9.65%; Floor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3,942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3,942</w:t>
            </w:r>
          </w:p>
        </w:tc>
      </w:tr>
      <w:tr>
        <w:trPr>
          <w:trHeight w:val="167"/>
        </w:trPr>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20" w:type="dxa"/>
            <w:vAlign w:val="bottom"/>
          </w:tcPr>
          <w:p>
            <w:pPr>
              <w:ind w:left="380"/>
              <w:spacing w:after="0"/>
              <w:rPr>
                <w:sz w:val="20"/>
                <w:szCs w:val="20"/>
                <w:color w:val="auto"/>
              </w:rPr>
            </w:pPr>
            <w:r>
              <w:rPr>
                <w:rFonts w:ascii="Arial" w:cs="Arial" w:eastAsia="Arial" w:hAnsi="Arial"/>
                <w:sz w:val="14"/>
                <w:szCs w:val="14"/>
                <w:color w:val="auto"/>
              </w:rPr>
              <w:t>10.15%), 5.00% ETP, Due 3/1/20)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3820" w:type="dxa"/>
            <w:vAlign w:val="bottom"/>
            <w:shd w:val="clear" w:color="auto" w:fill="CCEEFF"/>
          </w:tcPr>
          <w:p>
            <w:pPr>
              <w:ind w:left="380"/>
              <w:spacing w:after="0" w:line="130" w:lineRule="exact"/>
              <w:rPr>
                <w:sz w:val="20"/>
                <w:szCs w:val="20"/>
                <w:color w:val="auto"/>
              </w:rPr>
            </w:pPr>
            <w:r>
              <w:rPr>
                <w:rFonts w:ascii="Arial" w:cs="Arial" w:eastAsia="Arial" w:hAnsi="Arial"/>
                <w:sz w:val="14"/>
                <w:szCs w:val="14"/>
                <w:color w:val="auto"/>
              </w:rPr>
              <w:t>Term Loan (10.28% cash (Libor + 9.65%;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2,955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2,955</w:t>
            </w:r>
          </w:p>
        </w:tc>
      </w:tr>
      <w:tr>
        <w:trPr>
          <w:trHeight w:val="167"/>
        </w:trPr>
        <w:tc>
          <w:tcPr>
            <w:tcW w:w="23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3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10.15%), 5.00% ETP, Due 3/1/20)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580" w:type="dxa"/>
            <w:vAlign w:val="bottom"/>
          </w:tcPr>
          <w:p>
            <w:pPr>
              <w:ind w:left="120"/>
              <w:spacing w:after="0" w:line="130" w:lineRule="exact"/>
              <w:rPr>
                <w:sz w:val="20"/>
                <w:szCs w:val="20"/>
                <w:color w:val="auto"/>
              </w:rPr>
            </w:pPr>
            <w:r>
              <w:rPr>
                <w:rFonts w:ascii="Arial" w:cs="Arial" w:eastAsia="Arial" w:hAnsi="Arial"/>
                <w:sz w:val="14"/>
                <w:szCs w:val="14"/>
                <w:color w:val="auto"/>
              </w:rPr>
              <w:t>Consumer-related</w:t>
            </w:r>
          </w:p>
        </w:tc>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Rhapsody International, Inc. (2)</w:t>
            </w:r>
          </w:p>
        </w:tc>
        <w:tc>
          <w:tcPr>
            <w:tcW w:w="1580" w:type="dxa"/>
            <w:vAlign w:val="bottom"/>
          </w:tcPr>
          <w:p>
            <w:pPr>
              <w:ind w:left="120"/>
              <w:spacing w:after="0" w:line="149" w:lineRule="exact"/>
              <w:rPr>
                <w:sz w:val="20"/>
                <w:szCs w:val="20"/>
                <w:color w:val="auto"/>
              </w:rPr>
            </w:pPr>
            <w:r>
              <w:rPr>
                <w:rFonts w:ascii="Arial" w:cs="Arial" w:eastAsia="Arial" w:hAnsi="Arial"/>
                <w:sz w:val="14"/>
                <w:szCs w:val="14"/>
                <w:color w:val="auto"/>
              </w:rPr>
              <w:t>Technologies</w:t>
            </w:r>
          </w:p>
        </w:tc>
        <w:tc>
          <w:tcPr>
            <w:tcW w:w="3820" w:type="dxa"/>
            <w:vAlign w:val="bottom"/>
          </w:tcPr>
          <w:p>
            <w:pPr>
              <w:ind w:left="380"/>
              <w:spacing w:after="0" w:line="149" w:lineRule="exact"/>
              <w:rPr>
                <w:sz w:val="20"/>
                <w:szCs w:val="20"/>
                <w:color w:val="auto"/>
              </w:rPr>
            </w:pPr>
            <w:r>
              <w:rPr>
                <w:rFonts w:ascii="Arial" w:cs="Arial" w:eastAsia="Arial" w:hAnsi="Arial"/>
                <w:sz w:val="14"/>
                <w:szCs w:val="14"/>
                <w:color w:val="auto"/>
              </w:rPr>
              <w:t>Term Loan (11.13% cash (Libor + 10.50%; Floor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7,336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7,336</w:t>
            </w:r>
          </w:p>
        </w:tc>
      </w:tr>
      <w:tr>
        <w:trPr>
          <w:trHeight w:val="167"/>
        </w:trPr>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20" w:type="dxa"/>
            <w:vAlign w:val="bottom"/>
          </w:tcPr>
          <w:p>
            <w:pPr>
              <w:ind w:left="380"/>
              <w:spacing w:after="0"/>
              <w:rPr>
                <w:sz w:val="20"/>
                <w:szCs w:val="20"/>
                <w:color w:val="auto"/>
              </w:rPr>
            </w:pPr>
            <w:r>
              <w:rPr>
                <w:rFonts w:ascii="Arial" w:cs="Arial" w:eastAsia="Arial" w:hAnsi="Arial"/>
                <w:sz w:val="14"/>
                <w:szCs w:val="14"/>
                <w:color w:val="auto"/>
              </w:rPr>
              <w:t>11.00%), 3.00% ETP, Due 10/1/19)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5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Consumer-related</w:t>
            </w:r>
          </w:p>
        </w:tc>
        <w:tc>
          <w:tcPr>
            <w:tcW w:w="3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SavingStar, Inc. (2)</w:t>
            </w:r>
          </w:p>
        </w:tc>
        <w:tc>
          <w:tcPr>
            <w:tcW w:w="15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Technologies</w:t>
            </w:r>
          </w:p>
        </w:tc>
        <w:tc>
          <w:tcPr>
            <w:tcW w:w="38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Term Loan (11.03% cash (Libor + 10.40%; Floor</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2,860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2,860</w:t>
            </w:r>
          </w:p>
        </w:tc>
      </w:tr>
      <w:tr>
        <w:trPr>
          <w:trHeight w:val="167"/>
        </w:trPr>
        <w:tc>
          <w:tcPr>
            <w:tcW w:w="23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3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10.90%), 3.00% ETP, Due 6/1/19)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2"/>
        </w:trPr>
        <w:tc>
          <w:tcPr>
            <w:tcW w:w="2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20" w:type="dxa"/>
            <w:vAlign w:val="bottom"/>
          </w:tcPr>
          <w:p>
            <w:pPr>
              <w:ind w:left="380"/>
              <w:spacing w:after="0" w:line="142" w:lineRule="exact"/>
              <w:rPr>
                <w:sz w:val="20"/>
                <w:szCs w:val="20"/>
                <w:color w:val="auto"/>
              </w:rPr>
            </w:pPr>
            <w:r>
              <w:rPr>
                <w:rFonts w:ascii="Arial" w:cs="Arial" w:eastAsia="Arial" w:hAnsi="Arial"/>
                <w:sz w:val="14"/>
                <w:szCs w:val="14"/>
                <w:color w:val="auto"/>
              </w:rPr>
              <w:t>Term Loan (11.03% cash (Libor + 10.40%; Floor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2,000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1,965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1,965</w:t>
            </w:r>
          </w:p>
        </w:tc>
      </w:tr>
    </w:tbl>
    <w:p>
      <w:pPr>
        <w:ind w:left="4260"/>
        <w:spacing w:after="0"/>
        <w:rPr>
          <w:sz w:val="20"/>
          <w:szCs w:val="20"/>
          <w:color w:val="auto"/>
        </w:rPr>
      </w:pPr>
      <w:r>
        <w:rPr>
          <w:rFonts w:ascii="Arial" w:cs="Arial" w:eastAsia="Arial" w:hAnsi="Arial"/>
          <w:sz w:val="14"/>
          <w:szCs w:val="14"/>
          <w:color w:val="auto"/>
        </w:rPr>
        <w:t>10.90%), 3.00% ETP, Due 3/1/20)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Principal</w:t>
            </w: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Cost of</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r>
      <w:tr>
        <w:trPr>
          <w:trHeight w:val="171"/>
        </w:trPr>
        <w:tc>
          <w:tcPr>
            <w:tcW w:w="2300" w:type="dxa"/>
            <w:vAlign w:val="bottom"/>
          </w:tcPr>
          <w:p>
            <w:pPr>
              <w:spacing w:after="0"/>
              <w:rPr>
                <w:sz w:val="20"/>
                <w:szCs w:val="20"/>
                <w:color w:val="auto"/>
              </w:rPr>
            </w:pPr>
            <w:r>
              <w:rPr>
                <w:rFonts w:ascii="Arial" w:cs="Arial" w:eastAsia="Arial" w:hAnsi="Arial"/>
                <w:sz w:val="14"/>
                <w:szCs w:val="14"/>
                <w:b w:val="1"/>
                <w:bCs w:val="1"/>
                <w:color w:val="auto"/>
              </w:rPr>
              <w:t>Portfolio Company (1)</w:t>
            </w:r>
          </w:p>
        </w:tc>
        <w:tc>
          <w:tcPr>
            <w:tcW w:w="120" w:type="dxa"/>
            <w:vAlign w:val="bottom"/>
          </w:tcPr>
          <w:p>
            <w:pPr>
              <w:spacing w:after="0"/>
              <w:rPr>
                <w:sz w:val="14"/>
                <w:szCs w:val="14"/>
                <w:color w:val="auto"/>
              </w:rPr>
            </w:pPr>
          </w:p>
        </w:tc>
        <w:tc>
          <w:tcPr>
            <w:tcW w:w="1840" w:type="dxa"/>
            <w:vAlign w:val="bottom"/>
            <w:gridSpan w:val="2"/>
          </w:tcPr>
          <w:p>
            <w:pPr>
              <w:ind w:left="660"/>
              <w:spacing w:after="0"/>
              <w:rPr>
                <w:sz w:val="20"/>
                <w:szCs w:val="20"/>
                <w:color w:val="auto"/>
              </w:rPr>
            </w:pPr>
            <w:r>
              <w:rPr>
                <w:rFonts w:ascii="Arial" w:cs="Arial" w:eastAsia="Arial" w:hAnsi="Arial"/>
                <w:sz w:val="14"/>
                <w:szCs w:val="14"/>
                <w:b w:val="1"/>
                <w:bCs w:val="1"/>
                <w:color w:val="auto"/>
              </w:rPr>
              <w:t>Sector</w:t>
            </w:r>
          </w:p>
        </w:tc>
        <w:tc>
          <w:tcPr>
            <w:tcW w:w="3560" w:type="dxa"/>
            <w:vAlign w:val="bottom"/>
            <w:gridSpan w:val="2"/>
          </w:tcPr>
          <w:p>
            <w:pPr>
              <w:ind w:left="660"/>
              <w:spacing w:after="0"/>
              <w:rPr>
                <w:sz w:val="20"/>
                <w:szCs w:val="20"/>
                <w:color w:val="auto"/>
              </w:rPr>
            </w:pPr>
            <w:r>
              <w:rPr>
                <w:rFonts w:ascii="Arial" w:cs="Arial" w:eastAsia="Arial" w:hAnsi="Arial"/>
                <w:sz w:val="14"/>
                <w:szCs w:val="14"/>
                <w:b w:val="1"/>
                <w:bCs w:val="1"/>
                <w:color w:val="auto"/>
              </w:rPr>
              <w:t>Type of Investment (3)(4)(7)(9)(10)</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Investments (6)</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123"/>
        </w:trPr>
        <w:tc>
          <w:tcPr>
            <w:tcW w:w="23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MediaBrix, Inc. (2)</w:t>
            </w:r>
          </w:p>
        </w:tc>
        <w:tc>
          <w:tcPr>
            <w:tcW w:w="120" w:type="dxa"/>
            <w:vAlign w:val="bottom"/>
            <w:tcBorders>
              <w:top w:val="single" w:sz="8" w:color="CCEEFF"/>
            </w:tcBorders>
            <w:shd w:val="clear" w:color="auto" w:fill="CCEEFF"/>
          </w:tcPr>
          <w:p>
            <w:pPr>
              <w:spacing w:after="0"/>
              <w:rPr>
                <w:sz w:val="10"/>
                <w:szCs w:val="10"/>
                <w:color w:val="auto"/>
              </w:rPr>
            </w:pPr>
          </w:p>
        </w:tc>
        <w:tc>
          <w:tcPr>
            <w:tcW w:w="17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Internet and Media</w:t>
            </w:r>
          </w:p>
        </w:tc>
        <w:tc>
          <w:tcPr>
            <w:tcW w:w="120" w:type="dxa"/>
            <w:vAlign w:val="bottom"/>
            <w:tcBorders>
              <w:top w:val="single" w:sz="8" w:color="CCEEFF"/>
            </w:tcBorders>
            <w:shd w:val="clear" w:color="auto" w:fill="CCEEFF"/>
          </w:tcPr>
          <w:p>
            <w:pPr>
              <w:spacing w:after="0"/>
              <w:rPr>
                <w:sz w:val="10"/>
                <w:szCs w:val="10"/>
                <w:color w:val="auto"/>
              </w:rPr>
            </w:pPr>
          </w:p>
        </w:tc>
        <w:tc>
          <w:tcPr>
            <w:tcW w:w="34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Term Loan (11.63% cash (Libor + 11.00%; Floor</w:t>
            </w:r>
          </w:p>
        </w:tc>
        <w:tc>
          <w:tcPr>
            <w:tcW w:w="12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4,000</w:t>
            </w:r>
          </w:p>
        </w:tc>
        <w:tc>
          <w:tcPr>
            <w:tcW w:w="2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3,966</w:t>
            </w:r>
          </w:p>
        </w:tc>
        <w:tc>
          <w:tcPr>
            <w:tcW w:w="2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3,966</w:t>
            </w:r>
          </w:p>
        </w:tc>
        <w:tc>
          <w:tcPr>
            <w:tcW w:w="100" w:type="dxa"/>
            <w:vAlign w:val="bottom"/>
            <w:tcBorders>
              <w:top w:val="single" w:sz="8" w:color="CCEEFF"/>
            </w:tcBorders>
            <w:shd w:val="clear" w:color="auto" w:fill="CCEEFF"/>
          </w:tcPr>
          <w:p>
            <w:pPr>
              <w:spacing w:after="0"/>
              <w:rPr>
                <w:sz w:val="10"/>
                <w:szCs w:val="10"/>
                <w:color w:val="auto"/>
              </w:rPr>
            </w:pP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11.50%), 3.00% ETP, Due 1/1/20)</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Zinio Holdings, LLC (2)</w:t>
            </w:r>
          </w:p>
        </w:tc>
        <w:tc>
          <w:tcPr>
            <w:tcW w:w="19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Internet and Media</w:t>
            </w: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(11.88% cash (Libor + 11.25%;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4,000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3,967</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3,967</w:t>
            </w: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11.75%), 4.00% ETP, Due 2/1/20)</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The NanoSteel Company, Inc. (2)</w:t>
            </w:r>
          </w:p>
        </w:tc>
        <w:tc>
          <w:tcPr>
            <w:tcW w:w="19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Materials</w:t>
            </w: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(10.13% cash (Libor + 9.50%;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5,000</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4,940</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4,940</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10.00%), 5.00% ETP, Due 7/1/19)</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(10.13% cash (Libor + 9.50%;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2,500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2,470</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2,470</w:t>
            </w: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10.00%), 5.00% ETP, Due 7/1/19)</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(10.13% cash (Libor + 9.50%;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2,500</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2,464</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2,464</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10.00%), 5.00% ETP, Due 1/1/20)</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Nanocomp Technologies, Inc. (2)</w:t>
            </w:r>
          </w:p>
        </w:tc>
        <w:tc>
          <w:tcPr>
            <w:tcW w:w="19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Networking</w:t>
            </w: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Term Loan (11.50% cash, 3.00% ETP, Due 11/1/17)</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369</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367</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367</w:t>
            </w:r>
          </w:p>
        </w:tc>
      </w:tr>
      <w:tr>
        <w:trPr>
          <w:trHeight w:val="130"/>
        </w:trPr>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(11.63% cash (Libor + 11.00%;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3,000</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2,939</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2,939</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11.50%), 3.00% ETP, Due 4/1/20)</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Powerhouse Dynamics, Inc. (2)</w:t>
            </w:r>
          </w:p>
        </w:tc>
        <w:tc>
          <w:tcPr>
            <w:tcW w:w="19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Power Management</w:t>
            </w: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(11.33% cash (Libor + 10.70%;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2,250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2,220</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2,220</w:t>
            </w: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11.20%), 3.00% ETP, Due 3/1/19)</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Avalanche Technology, Inc. (2)</w:t>
            </w:r>
          </w:p>
        </w:tc>
        <w:tc>
          <w:tcPr>
            <w:tcW w:w="19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Semiconductors</w:t>
            </w: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(10.00% cash (Libor + 9.25%; Floor 10.00%;</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417</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416</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416</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Ceiling 11.75%), 2.40% ETP, Due 4/1/17)</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(10.00% cash (Libor + 9.25%; Floor 10.00%;</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1,335</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1,331</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1,331</w:t>
            </w: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Ceiling 11.75%), 2.40% ETP, Due 10/1/18)</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(10.00% cash (Libor + 9.25%; Floor 10.00%;</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1,548</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1,517</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1,517</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Ceiling 11.75%), 2.00% ETP, Due 2/1/19)</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Luxtera, Inc. (2)</w:t>
            </w:r>
          </w:p>
        </w:tc>
        <w:tc>
          <w:tcPr>
            <w:tcW w:w="19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Semiconductors</w:t>
            </w: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(10.38% cash (Libor + 9.75%; Floor 10.25%;</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614</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607</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607</w:t>
            </w: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Ceiling 12.25%), 13.00% ETP, Due 7/1/17)</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(10.38% cash (Libor + 9.75%; Floor 10.25%;</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343</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341</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341</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Ceiling 12.25%), 13.00% ETP, Due 7/1/17)</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(9.13% cash (Libor + 8.50%; Floor 9.00%),</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667</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663</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663</w:t>
            </w: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4.50% ETP, Due 12/1/18)</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(9.13% cash (Libor + 8.50%; Floor 9.00%),</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667</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663</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663</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4.50% ETP, Due 12/1/18)</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(9.63% cash (Libor + 9.00%; Floor 9.50%),</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2,000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1,990</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1,990</w:t>
            </w: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4.50% ETP, Due 11/1/19)</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Xtera Communications, Inc. (5)(11)</w:t>
            </w:r>
          </w:p>
        </w:tc>
        <w:tc>
          <w:tcPr>
            <w:tcW w:w="19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Semiconductors</w:t>
            </w: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(12.50% cash, 22.92% ETP, Due 11/1/16)</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3,056</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3,047</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Term Loan (12.50% cash, 22.92% ETP, Due 11/1/16)</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936</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933</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Bridge2 Solutions, Inc.</w:t>
            </w:r>
          </w:p>
        </w:tc>
        <w:tc>
          <w:tcPr>
            <w:tcW w:w="19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(11.63% cash (Libor + 11.00%;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4,000</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3,976</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3,976</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11.50%; Ceiling 14.50%), 2.00% ETP, Due 7/1/19)</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(11.63% cash (Libor + 11.00%;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1,000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996</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996</w:t>
            </w: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11.50%; Ceiling 14.50%), 2.00% ETP, Due 1/1/20)</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ControlScan, Inc. (2)</w:t>
            </w:r>
          </w:p>
        </w:tc>
        <w:tc>
          <w:tcPr>
            <w:tcW w:w="19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(10.88% cash (Libor + 10.25%),</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4,500</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4,413</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4,413</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3.00% ETP, Due 7/1/20)</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Decisyon, Inc.</w:t>
            </w:r>
          </w:p>
        </w:tc>
        <w:tc>
          <w:tcPr>
            <w:tcW w:w="19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(12.94% cash (Libor + 12.308%;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1,523</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1,521</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1,519</w:t>
            </w: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12.50%), 6.50% ETP, Due 6/1/18)</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(12.94% cash (Libor + 12.308%;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833</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715</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713</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12.50%), 6.50% ETP, Due 6/1/18)</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Digital Signal Corporation (11)(13)</w:t>
            </w:r>
          </w:p>
        </w:tc>
        <w:tc>
          <w:tcPr>
            <w:tcW w:w="19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(10.88% cash (Libor + 10.25%;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1,280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1,246</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928</w:t>
            </w: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10.43%), 5.00% ETP, Due 7/1/19)</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(10.88% cash (Libor + 10.25%;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1,280</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1,246</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928</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10.43%), 5.00% ETP, Due 7/1/19)</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Term Loan (10.00% cash, Due 6/30/17)</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194</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194</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144</w:t>
            </w: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Education Elements, Inc. (2)</w:t>
            </w:r>
          </w:p>
        </w:tc>
        <w:tc>
          <w:tcPr>
            <w:tcW w:w="19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(10.63% cash (Libor + 10.00%;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1,600</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1,578</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1,578</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10.50%), 4.00% ETP, Due 1/1/19)</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(10.63% cash (Libor + 10.00%;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1,500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1,479</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1,479</w:t>
            </w: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10.50%), 4.00% ETP, Due 8/1/19)</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Netuitive, Inc.</w:t>
            </w:r>
          </w:p>
        </w:tc>
        <w:tc>
          <w:tcPr>
            <w:tcW w:w="19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(12.88% cash (Libor + 12.25%;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461</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460</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460</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12.50%), 3.33% ETP, Due 9/1/17)</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ScoreBig, Inc. (2)(11)(12)</w:t>
            </w:r>
          </w:p>
        </w:tc>
        <w:tc>
          <w:tcPr>
            <w:tcW w:w="19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(10.63% cash (Libor + 10.00%;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3,403</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3,332</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1,526</w:t>
            </w: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10.50%), 4.00% ETP, Due 4/1/19)</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(10.63% cash (Libor + 10.00%;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3,403</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3,360</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1,539</w:t>
            </w: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10.50%), 4.00% ETP, Due 4/1/19)</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2"/>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60" w:type="dxa"/>
            <w:vAlign w:val="bottom"/>
            <w:gridSpan w:val="2"/>
          </w:tcPr>
          <w:p>
            <w:pPr>
              <w:spacing w:after="0" w:line="142" w:lineRule="exact"/>
              <w:rPr>
                <w:sz w:val="20"/>
                <w:szCs w:val="20"/>
                <w:color w:val="auto"/>
              </w:rPr>
            </w:pPr>
            <w:r>
              <w:rPr>
                <w:rFonts w:ascii="Arial" w:cs="Arial" w:eastAsia="Arial" w:hAnsi="Arial"/>
                <w:sz w:val="14"/>
                <w:szCs w:val="14"/>
                <w:color w:val="auto"/>
              </w:rPr>
              <w:t>Term Loan (10.63% cash (Libor + 10.00%; Floor</w:t>
            </w:r>
          </w:p>
        </w:tc>
        <w:tc>
          <w:tcPr>
            <w:tcW w:w="126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2,000</w:t>
            </w:r>
          </w:p>
        </w:tc>
        <w:tc>
          <w:tcPr>
            <w:tcW w:w="122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1,950</w:t>
            </w:r>
          </w:p>
        </w:tc>
        <w:tc>
          <w:tcPr>
            <w:tcW w:w="11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894</w:t>
            </w:r>
          </w:p>
        </w:tc>
      </w:tr>
    </w:tbl>
    <w:p>
      <w:pPr>
        <w:ind w:left="4260"/>
        <w:spacing w:after="0"/>
        <w:rPr>
          <w:sz w:val="20"/>
          <w:szCs w:val="20"/>
          <w:color w:val="auto"/>
        </w:rPr>
      </w:pPr>
      <w:r>
        <w:rPr>
          <w:rFonts w:ascii="Arial" w:cs="Arial" w:eastAsia="Arial" w:hAnsi="Arial"/>
          <w:sz w:val="14"/>
          <w:szCs w:val="14"/>
          <w:color w:val="auto"/>
        </w:rPr>
        <w:t>10.50%), 4.00% ETP, Due 3/1/20)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Principal</w:t>
            </w: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Cost of</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Fair</w:t>
            </w:r>
          </w:p>
        </w:tc>
      </w:tr>
      <w:tr>
        <w:trPr>
          <w:trHeight w:val="171"/>
        </w:trPr>
        <w:tc>
          <w:tcPr>
            <w:tcW w:w="2300" w:type="dxa"/>
            <w:vAlign w:val="bottom"/>
          </w:tcPr>
          <w:p>
            <w:pPr>
              <w:spacing w:after="0"/>
              <w:rPr>
                <w:sz w:val="20"/>
                <w:szCs w:val="20"/>
                <w:color w:val="auto"/>
              </w:rPr>
            </w:pPr>
            <w:r>
              <w:rPr>
                <w:rFonts w:ascii="Arial" w:cs="Arial" w:eastAsia="Arial" w:hAnsi="Arial"/>
                <w:sz w:val="14"/>
                <w:szCs w:val="14"/>
                <w:b w:val="1"/>
                <w:bCs w:val="1"/>
                <w:color w:val="auto"/>
              </w:rPr>
              <w:t>Portfolio Company (1)</w:t>
            </w:r>
          </w:p>
        </w:tc>
        <w:tc>
          <w:tcPr>
            <w:tcW w:w="120" w:type="dxa"/>
            <w:vAlign w:val="bottom"/>
          </w:tcPr>
          <w:p>
            <w:pPr>
              <w:spacing w:after="0"/>
              <w:rPr>
                <w:sz w:val="14"/>
                <w:szCs w:val="14"/>
                <w:color w:val="auto"/>
              </w:rPr>
            </w:pPr>
          </w:p>
        </w:tc>
        <w:tc>
          <w:tcPr>
            <w:tcW w:w="1840" w:type="dxa"/>
            <w:vAlign w:val="bottom"/>
            <w:gridSpan w:val="2"/>
          </w:tcPr>
          <w:p>
            <w:pPr>
              <w:ind w:left="660"/>
              <w:spacing w:after="0"/>
              <w:rPr>
                <w:sz w:val="20"/>
                <w:szCs w:val="20"/>
                <w:color w:val="auto"/>
              </w:rPr>
            </w:pPr>
            <w:r>
              <w:rPr>
                <w:rFonts w:ascii="Arial" w:cs="Arial" w:eastAsia="Arial" w:hAnsi="Arial"/>
                <w:sz w:val="14"/>
                <w:szCs w:val="14"/>
                <w:b w:val="1"/>
                <w:bCs w:val="1"/>
                <w:color w:val="auto"/>
              </w:rPr>
              <w:t>Sector</w:t>
            </w:r>
          </w:p>
        </w:tc>
        <w:tc>
          <w:tcPr>
            <w:tcW w:w="3560" w:type="dxa"/>
            <w:vAlign w:val="bottom"/>
            <w:gridSpan w:val="2"/>
          </w:tcPr>
          <w:p>
            <w:pPr>
              <w:ind w:left="660"/>
              <w:spacing w:after="0"/>
              <w:rPr>
                <w:sz w:val="20"/>
                <w:szCs w:val="20"/>
                <w:color w:val="auto"/>
              </w:rPr>
            </w:pPr>
            <w:r>
              <w:rPr>
                <w:rFonts w:ascii="Arial" w:cs="Arial" w:eastAsia="Arial" w:hAnsi="Arial"/>
                <w:sz w:val="14"/>
                <w:szCs w:val="14"/>
                <w:b w:val="1"/>
                <w:bCs w:val="1"/>
                <w:color w:val="auto"/>
              </w:rPr>
              <w:t>Type of Investment (3)(4)(7)(9)(10)</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Investments (6)</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123"/>
        </w:trPr>
        <w:tc>
          <w:tcPr>
            <w:tcW w:w="23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4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Term Loan (10.63% cash (Libor + 10.00%; Floor</w:t>
            </w:r>
          </w:p>
        </w:tc>
        <w:tc>
          <w:tcPr>
            <w:tcW w:w="12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203</w:t>
            </w:r>
          </w:p>
        </w:tc>
        <w:tc>
          <w:tcPr>
            <w:tcW w:w="2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203</w:t>
            </w:r>
          </w:p>
        </w:tc>
        <w:tc>
          <w:tcPr>
            <w:tcW w:w="2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93</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10.50%), 4.00% ETP, Due 10/31/16)</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(10.63% cash (Libor + 10.00%;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324</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324</w:t>
            </w:r>
          </w:p>
        </w:tc>
        <w:tc>
          <w:tcPr>
            <w:tcW w:w="104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148</w:t>
            </w:r>
          </w:p>
        </w:tc>
        <w:tc>
          <w:tcPr>
            <w:tcW w:w="80" w:type="dxa"/>
            <w:vAlign w:val="bottom"/>
          </w:tcPr>
          <w:p>
            <w:pPr>
              <w:spacing w:after="0"/>
              <w:rPr>
                <w:sz w:val="11"/>
                <w:szCs w:val="11"/>
                <w:color w:val="auto"/>
              </w:rPr>
            </w:pP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10.50%), 4.00% ETP, Due 11/11/19)</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ShopKeep.com, Inc. (2)</w:t>
            </w:r>
          </w:p>
        </w:tc>
        <w:tc>
          <w:tcPr>
            <w:tcW w:w="19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(10.47% cash (Libor + 9.95%;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6,000</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5,811</w:t>
            </w:r>
          </w:p>
        </w:tc>
        <w:tc>
          <w:tcPr>
            <w:tcW w:w="10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5,811</w:t>
            </w:r>
          </w:p>
        </w:tc>
        <w:tc>
          <w:tcPr>
            <w:tcW w:w="80" w:type="dxa"/>
            <w:vAlign w:val="bottom"/>
            <w:shd w:val="clear" w:color="auto" w:fill="CCEEFF"/>
          </w:tcPr>
          <w:p>
            <w:pPr>
              <w:spacing w:after="0"/>
              <w:rPr>
                <w:sz w:val="11"/>
                <w:szCs w:val="11"/>
                <w:color w:val="auto"/>
              </w:rPr>
            </w:pP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10.45%), 3.00% ETP, Due 4/1/20)</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SIGNiX, Inc.</w:t>
            </w:r>
          </w:p>
        </w:tc>
        <w:tc>
          <w:tcPr>
            <w:tcW w:w="19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(11.63% cash (Libor + 11.00%;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2,250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2,124</w:t>
            </w:r>
          </w:p>
        </w:tc>
        <w:tc>
          <w:tcPr>
            <w:tcW w:w="104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2,012</w:t>
            </w:r>
          </w:p>
        </w:tc>
        <w:tc>
          <w:tcPr>
            <w:tcW w:w="80" w:type="dxa"/>
            <w:vAlign w:val="bottom"/>
          </w:tcPr>
          <w:p>
            <w:pPr>
              <w:spacing w:after="0"/>
              <w:rPr>
                <w:sz w:val="11"/>
                <w:szCs w:val="11"/>
                <w:color w:val="auto"/>
              </w:rPr>
            </w:pP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11.50%), Due 10/1/18)</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SilkRoad Technology, Inc. (2)</w:t>
            </w:r>
          </w:p>
        </w:tc>
        <w:tc>
          <w:tcPr>
            <w:tcW w:w="19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(10.98% cash (Libor + 10.35%;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7,500</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7,455</w:t>
            </w:r>
          </w:p>
        </w:tc>
        <w:tc>
          <w:tcPr>
            <w:tcW w:w="10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7,455</w:t>
            </w:r>
          </w:p>
        </w:tc>
        <w:tc>
          <w:tcPr>
            <w:tcW w:w="80" w:type="dxa"/>
            <w:vAlign w:val="bottom"/>
            <w:shd w:val="clear" w:color="auto" w:fill="CCEEFF"/>
          </w:tcPr>
          <w:p>
            <w:pPr>
              <w:spacing w:after="0"/>
              <w:rPr>
                <w:sz w:val="11"/>
                <w:szCs w:val="11"/>
                <w:color w:val="auto"/>
              </w:rPr>
            </w:pP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10.85%; Ceiling 12.85%), 3.00% ETP, Due 6/1/19)</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Skyword, Inc.</w:t>
            </w:r>
          </w:p>
        </w:tc>
        <w:tc>
          <w:tcPr>
            <w:tcW w:w="19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(11.58% cash (Libor + 10.95%;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4,000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3,944</w:t>
            </w:r>
          </w:p>
        </w:tc>
        <w:tc>
          <w:tcPr>
            <w:tcW w:w="104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3,870</w:t>
            </w:r>
          </w:p>
        </w:tc>
        <w:tc>
          <w:tcPr>
            <w:tcW w:w="80" w:type="dxa"/>
            <w:vAlign w:val="bottom"/>
          </w:tcPr>
          <w:p>
            <w:pPr>
              <w:spacing w:after="0"/>
              <w:rPr>
                <w:sz w:val="11"/>
                <w:szCs w:val="11"/>
                <w:color w:val="auto"/>
              </w:rPr>
            </w:pP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11.45%), 3.00% ETP, Due 8/1/19)</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Social Intelligence Corp. (2)</w:t>
            </w:r>
          </w:p>
        </w:tc>
        <w:tc>
          <w:tcPr>
            <w:tcW w:w="19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(11.13% cash (Libor + 10.50%;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323</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316</w:t>
            </w:r>
          </w:p>
        </w:tc>
        <w:tc>
          <w:tcPr>
            <w:tcW w:w="10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315</w:t>
            </w:r>
          </w:p>
        </w:tc>
        <w:tc>
          <w:tcPr>
            <w:tcW w:w="80" w:type="dxa"/>
            <w:vAlign w:val="bottom"/>
            <w:shd w:val="clear" w:color="auto" w:fill="CCEEFF"/>
          </w:tcPr>
          <w:p>
            <w:pPr>
              <w:spacing w:after="0"/>
              <w:rPr>
                <w:sz w:val="11"/>
                <w:szCs w:val="11"/>
                <w:color w:val="auto"/>
              </w:rPr>
            </w:pP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11.00%; Ceiling 13.00%), 3.50% ETP, Due 12/1/17)</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Sys-Tech Solutions, Inc. (2)</w:t>
            </w:r>
          </w:p>
        </w:tc>
        <w:tc>
          <w:tcPr>
            <w:tcW w:w="19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(11.78% cash (Libor + 11.15%;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3,000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2,983</w:t>
            </w:r>
          </w:p>
        </w:tc>
        <w:tc>
          <w:tcPr>
            <w:tcW w:w="104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2,983</w:t>
            </w:r>
          </w:p>
        </w:tc>
        <w:tc>
          <w:tcPr>
            <w:tcW w:w="80" w:type="dxa"/>
            <w:vAlign w:val="bottom"/>
          </w:tcPr>
          <w:p>
            <w:pPr>
              <w:spacing w:after="0"/>
              <w:rPr>
                <w:sz w:val="11"/>
                <w:szCs w:val="11"/>
                <w:color w:val="auto"/>
              </w:rPr>
            </w:pP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11.65%; Ceiling 12.65%), 4.50% ETP, Due 3/1/18)</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(11.78% cash (Libor + 11.15%;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2,833</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2,814</w:t>
            </w:r>
          </w:p>
        </w:tc>
        <w:tc>
          <w:tcPr>
            <w:tcW w:w="10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2,814</w:t>
            </w:r>
          </w:p>
        </w:tc>
        <w:tc>
          <w:tcPr>
            <w:tcW w:w="80" w:type="dxa"/>
            <w:vAlign w:val="bottom"/>
            <w:shd w:val="clear" w:color="auto" w:fill="CCEEFF"/>
          </w:tcPr>
          <w:p>
            <w:pPr>
              <w:spacing w:after="0"/>
              <w:rPr>
                <w:sz w:val="11"/>
                <w:szCs w:val="11"/>
                <w:color w:val="auto"/>
              </w:rPr>
            </w:pP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11.65%; Ceiling 12.65%), 9.00% ETP, Due 5/1/18)</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VBrick Systems, Inc. (2)</w:t>
            </w:r>
          </w:p>
        </w:tc>
        <w:tc>
          <w:tcPr>
            <w:tcW w:w="19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(11.63% cash (Libor + 11.00%;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700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696</w:t>
            </w:r>
          </w:p>
        </w:tc>
        <w:tc>
          <w:tcPr>
            <w:tcW w:w="104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696</w:t>
            </w:r>
          </w:p>
        </w:tc>
        <w:tc>
          <w:tcPr>
            <w:tcW w:w="80" w:type="dxa"/>
            <w:vAlign w:val="bottom"/>
          </w:tcPr>
          <w:p>
            <w:pPr>
              <w:spacing w:after="0"/>
              <w:rPr>
                <w:sz w:val="11"/>
                <w:szCs w:val="11"/>
                <w:color w:val="auto"/>
              </w:rPr>
            </w:pP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11.50%; Ceiling 13.50%), 5.00% ETP, Due 7/1/17)</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Vidsys, Inc. (2)</w:t>
            </w:r>
          </w:p>
        </w:tc>
        <w:tc>
          <w:tcPr>
            <w:tcW w:w="19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Software</w:t>
            </w: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(13.00% cash, 12.58% ETP, Due 12/1/17)</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2,610</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2,610</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2,610</w:t>
            </w:r>
          </w:p>
        </w:tc>
        <w:tc>
          <w:tcPr>
            <w:tcW w:w="80" w:type="dxa"/>
            <w:vAlign w:val="bottom"/>
            <w:shd w:val="clear" w:color="auto" w:fill="CCEEFF"/>
          </w:tcPr>
          <w:p>
            <w:pPr>
              <w:spacing w:after="0"/>
              <w:rPr>
                <w:sz w:val="12"/>
                <w:szCs w:val="12"/>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xTech Holdings, Inc. (2)</w:t>
            </w:r>
          </w:p>
        </w:tc>
        <w:tc>
          <w:tcPr>
            <w:tcW w:w="19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(11.13% cash (Libor + 10.50%;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1,500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1,479</w:t>
            </w:r>
          </w:p>
        </w:tc>
        <w:tc>
          <w:tcPr>
            <w:tcW w:w="104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1,479</w:t>
            </w:r>
          </w:p>
        </w:tc>
        <w:tc>
          <w:tcPr>
            <w:tcW w:w="80" w:type="dxa"/>
            <w:vAlign w:val="bottom"/>
          </w:tcPr>
          <w:p>
            <w:pPr>
              <w:spacing w:after="0"/>
              <w:rPr>
                <w:sz w:val="11"/>
                <w:szCs w:val="11"/>
                <w:color w:val="auto"/>
              </w:rPr>
            </w:pP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11.00%), 3.00% ETP, Due 4/1/19)</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(11.13% cash (Libor + 10.50%;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2,000</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1,970</w:t>
            </w:r>
          </w:p>
        </w:tc>
        <w:tc>
          <w:tcPr>
            <w:tcW w:w="10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1,970</w:t>
            </w:r>
          </w:p>
        </w:tc>
        <w:tc>
          <w:tcPr>
            <w:tcW w:w="80" w:type="dxa"/>
            <w:vAlign w:val="bottom"/>
            <w:shd w:val="clear" w:color="auto" w:fill="CCEEFF"/>
          </w:tcPr>
          <w:p>
            <w:pPr>
              <w:spacing w:after="0"/>
              <w:rPr>
                <w:sz w:val="11"/>
                <w:szCs w:val="11"/>
                <w:color w:val="auto"/>
              </w:rPr>
            </w:pPr>
          </w:p>
        </w:tc>
      </w:tr>
      <w:tr>
        <w:trPr>
          <w:trHeight w:val="181"/>
        </w:trPr>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11.00%), 3.00% ETP, Due 3/1/20)</w:t>
            </w: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42"/>
        </w:trPr>
        <w:tc>
          <w:tcPr>
            <w:tcW w:w="23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w w:val="95"/>
              </w:rPr>
              <w:t>Total Debt Investments — Technology</w:t>
            </w:r>
          </w:p>
        </w:tc>
        <w:tc>
          <w:tcPr>
            <w:tcW w:w="12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114,743</w:t>
            </w: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104,917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42"/>
        </w:trPr>
        <w:tc>
          <w:tcPr>
            <w:tcW w:w="426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 — Cleantech — 5.7% (8)</w:t>
            </w:r>
          </w:p>
        </w:tc>
        <w:tc>
          <w:tcPr>
            <w:tcW w:w="3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Rypos, Inc. (2)</w:t>
            </w:r>
          </w:p>
        </w:tc>
        <w:tc>
          <w:tcPr>
            <w:tcW w:w="19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Energy Efficiency</w:t>
            </w: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(11.93% cash (Libor + 11.55%;</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1,260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1,252</w:t>
            </w:r>
          </w:p>
        </w:tc>
        <w:tc>
          <w:tcPr>
            <w:tcW w:w="104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1,252</w:t>
            </w:r>
          </w:p>
        </w:tc>
        <w:tc>
          <w:tcPr>
            <w:tcW w:w="80" w:type="dxa"/>
            <w:vAlign w:val="bottom"/>
          </w:tcPr>
          <w:p>
            <w:pPr>
              <w:spacing w:after="0"/>
              <w:rPr>
                <w:sz w:val="11"/>
                <w:szCs w:val="11"/>
                <w:color w:val="auto"/>
              </w:rPr>
            </w:pP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Floor 11.80%), 4.25% ETP, Due 6/1/17)</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(11.93% cash (Libor + 11.55%;</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697</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690</w:t>
            </w:r>
          </w:p>
        </w:tc>
        <w:tc>
          <w:tcPr>
            <w:tcW w:w="10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690</w:t>
            </w:r>
          </w:p>
        </w:tc>
        <w:tc>
          <w:tcPr>
            <w:tcW w:w="80" w:type="dxa"/>
            <w:vAlign w:val="bottom"/>
            <w:shd w:val="clear" w:color="auto" w:fill="CCEEFF"/>
          </w:tcPr>
          <w:p>
            <w:pPr>
              <w:spacing w:after="0"/>
              <w:rPr>
                <w:sz w:val="11"/>
                <w:szCs w:val="11"/>
                <w:color w:val="auto"/>
              </w:rPr>
            </w:pP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Floor 11.80%), 4.25% ETP, Due 1/1/18)</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Lehigh Technologies, Inc. (2)</w:t>
            </w:r>
          </w:p>
        </w:tc>
        <w:tc>
          <w:tcPr>
            <w:tcW w:w="19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Waste Recycling</w:t>
            </w: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(10.35% cash (Libor + 9.72%), 6.75% ETP,</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3,000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2,982</w:t>
            </w:r>
          </w:p>
        </w:tc>
        <w:tc>
          <w:tcPr>
            <w:tcW w:w="104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2,982</w:t>
            </w:r>
          </w:p>
        </w:tc>
        <w:tc>
          <w:tcPr>
            <w:tcW w:w="80" w:type="dxa"/>
            <w:vAlign w:val="bottom"/>
          </w:tcPr>
          <w:p>
            <w:pPr>
              <w:spacing w:after="0"/>
              <w:rPr>
                <w:sz w:val="11"/>
                <w:szCs w:val="11"/>
                <w:color w:val="auto"/>
              </w:rPr>
            </w:pP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Due 8/1/19)</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(10.35% cash (Libor + 9.72%), 6.75% ETP,</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3,000</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2,982</w:t>
            </w:r>
          </w:p>
        </w:tc>
        <w:tc>
          <w:tcPr>
            <w:tcW w:w="10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2,982</w:t>
            </w:r>
          </w:p>
        </w:tc>
        <w:tc>
          <w:tcPr>
            <w:tcW w:w="80" w:type="dxa"/>
            <w:vAlign w:val="bottom"/>
            <w:shd w:val="clear" w:color="auto" w:fill="CCEEFF"/>
          </w:tcPr>
          <w:p>
            <w:pPr>
              <w:spacing w:after="0"/>
              <w:rPr>
                <w:sz w:val="11"/>
                <w:szCs w:val="11"/>
                <w:color w:val="auto"/>
              </w:rPr>
            </w:pPr>
          </w:p>
        </w:tc>
      </w:tr>
      <w:tr>
        <w:trPr>
          <w:trHeight w:val="181"/>
        </w:trPr>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8/1/19)</w:t>
            </w: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42"/>
        </w:trPr>
        <w:tc>
          <w:tcPr>
            <w:tcW w:w="23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w w:val="99"/>
              </w:rPr>
              <w:t>Total Debt Investments — Cleantech</w:t>
            </w:r>
          </w:p>
        </w:tc>
        <w:tc>
          <w:tcPr>
            <w:tcW w:w="12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7,906</w:t>
            </w: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7,906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42"/>
        </w:trPr>
        <w:tc>
          <w:tcPr>
            <w:tcW w:w="7820" w:type="dxa"/>
            <w:vAlign w:val="bottom"/>
            <w:gridSpan w:val="6"/>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 — Healthcare information and services — 14.2% (8)</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Interleukin Genetics, Inc. (2)(5)</w:t>
            </w:r>
          </w:p>
        </w:tc>
        <w:tc>
          <w:tcPr>
            <w:tcW w:w="19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Diagnostics</w:t>
            </w: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(11.13% cash (Libor + 10.50%;</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4,225</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4,081</w:t>
            </w:r>
          </w:p>
        </w:tc>
        <w:tc>
          <w:tcPr>
            <w:tcW w:w="104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4,081</w:t>
            </w:r>
          </w:p>
        </w:tc>
        <w:tc>
          <w:tcPr>
            <w:tcW w:w="80" w:type="dxa"/>
            <w:vAlign w:val="bottom"/>
          </w:tcPr>
          <w:p>
            <w:pPr>
              <w:spacing w:after="0"/>
              <w:rPr>
                <w:sz w:val="11"/>
                <w:szCs w:val="11"/>
                <w:color w:val="auto"/>
              </w:rPr>
            </w:pP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Floor 11.00%), 6.50% ETP, Due 10/1/18)</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Watermark Medical, Inc. (2)</w:t>
            </w:r>
          </w:p>
        </w:tc>
        <w:tc>
          <w:tcPr>
            <w:tcW w:w="19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Other Healthcare</w:t>
            </w: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(10.13% cash (Libor + 9.50%; Floor 10.00%;</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2,333</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2,330</w:t>
            </w:r>
          </w:p>
        </w:tc>
        <w:tc>
          <w:tcPr>
            <w:tcW w:w="10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2,330</w:t>
            </w:r>
          </w:p>
        </w:tc>
        <w:tc>
          <w:tcPr>
            <w:tcW w:w="80" w:type="dxa"/>
            <w:vAlign w:val="bottom"/>
            <w:shd w:val="clear" w:color="auto" w:fill="CCEEFF"/>
          </w:tcPr>
          <w:p>
            <w:pPr>
              <w:spacing w:after="0"/>
              <w:rPr>
                <w:sz w:val="11"/>
                <w:szCs w:val="11"/>
                <w:color w:val="auto"/>
              </w:rPr>
            </w:pP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Ceiling 11.00%); 4.00% ETP, Due 4/1/18)</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(10.13% cash (Libor + 9.50%; Floor 10.00%;</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2,333</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2,330</w:t>
            </w:r>
          </w:p>
        </w:tc>
        <w:tc>
          <w:tcPr>
            <w:tcW w:w="104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2,330</w:t>
            </w:r>
          </w:p>
        </w:tc>
        <w:tc>
          <w:tcPr>
            <w:tcW w:w="80" w:type="dxa"/>
            <w:vAlign w:val="bottom"/>
          </w:tcPr>
          <w:p>
            <w:pPr>
              <w:spacing w:after="0"/>
              <w:rPr>
                <w:sz w:val="11"/>
                <w:szCs w:val="11"/>
                <w:color w:val="auto"/>
              </w:rPr>
            </w:pP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Ceiling 11.00%); 4.00% ETP, Due 4/1/18)</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(10.13% cash (Libor + 9.50%; Floor 10.00%;</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1,111</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1,110</w:t>
            </w:r>
          </w:p>
        </w:tc>
        <w:tc>
          <w:tcPr>
            <w:tcW w:w="10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1,110</w:t>
            </w:r>
          </w:p>
        </w:tc>
        <w:tc>
          <w:tcPr>
            <w:tcW w:w="80" w:type="dxa"/>
            <w:vAlign w:val="bottom"/>
            <w:shd w:val="clear" w:color="auto" w:fill="CCEEFF"/>
          </w:tcPr>
          <w:p>
            <w:pPr>
              <w:spacing w:after="0"/>
              <w:rPr>
                <w:sz w:val="11"/>
                <w:szCs w:val="11"/>
                <w:color w:val="auto"/>
              </w:rPr>
            </w:pP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Ceiling 11.00%); 4.00% ETP, Due 4/1/18)</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MedAvante, Inc. (2)</w:t>
            </w:r>
          </w:p>
        </w:tc>
        <w:tc>
          <w:tcPr>
            <w:tcW w:w="19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Software</w:t>
            </w: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(9.88% cash (Libor + 9.25%;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3,000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2,972</w:t>
            </w:r>
          </w:p>
        </w:tc>
        <w:tc>
          <w:tcPr>
            <w:tcW w:w="104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2,972</w:t>
            </w:r>
          </w:p>
        </w:tc>
        <w:tc>
          <w:tcPr>
            <w:tcW w:w="80" w:type="dxa"/>
            <w:vAlign w:val="bottom"/>
          </w:tcPr>
          <w:p>
            <w:pPr>
              <w:spacing w:after="0"/>
              <w:rPr>
                <w:sz w:val="11"/>
                <w:szCs w:val="11"/>
                <w:color w:val="auto"/>
              </w:rPr>
            </w:pP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9.75%), 4.00% ETP, Due 1/1/19)</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(9.88% cash (Libor + 9.25%; Floor</w:t>
            </w:r>
          </w:p>
        </w:tc>
        <w:tc>
          <w:tcPr>
            <w:tcW w:w="12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3,000</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2,972</w:t>
            </w:r>
          </w:p>
        </w:tc>
        <w:tc>
          <w:tcPr>
            <w:tcW w:w="10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2,972</w:t>
            </w:r>
          </w:p>
        </w:tc>
        <w:tc>
          <w:tcPr>
            <w:tcW w:w="80" w:type="dxa"/>
            <w:vAlign w:val="bottom"/>
            <w:shd w:val="clear" w:color="auto" w:fill="CCEEFF"/>
          </w:tcPr>
          <w:p>
            <w:pPr>
              <w:spacing w:after="0"/>
              <w:rPr>
                <w:sz w:val="11"/>
                <w:szCs w:val="11"/>
                <w:color w:val="auto"/>
              </w:rPr>
            </w:pPr>
          </w:p>
        </w:tc>
      </w:tr>
      <w:tr>
        <w:trPr>
          <w:trHeight w:val="167"/>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9.75%), 4.00% ETP, Due 1/1/19)</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Term Loan (9.88% cash (Libor + 9.25%; Floor</w:t>
            </w:r>
          </w:p>
        </w:tc>
        <w:tc>
          <w:tcPr>
            <w:tcW w:w="12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4,000</w:t>
            </w:r>
          </w:p>
        </w:tc>
        <w:tc>
          <w:tcPr>
            <w:tcW w:w="12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3,953</w:t>
            </w:r>
          </w:p>
        </w:tc>
        <w:tc>
          <w:tcPr>
            <w:tcW w:w="104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3,953</w:t>
            </w:r>
          </w:p>
        </w:tc>
        <w:tc>
          <w:tcPr>
            <w:tcW w:w="80" w:type="dxa"/>
            <w:vAlign w:val="bottom"/>
          </w:tcPr>
          <w:p>
            <w:pPr>
              <w:spacing w:after="0"/>
              <w:rPr>
                <w:sz w:val="11"/>
                <w:szCs w:val="11"/>
                <w:color w:val="auto"/>
              </w:rPr>
            </w:pPr>
          </w:p>
        </w:tc>
      </w:tr>
      <w:tr>
        <w:trPr>
          <w:trHeight w:val="181"/>
        </w:trPr>
        <w:tc>
          <w:tcPr>
            <w:tcW w:w="23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9.75%), 4.00% ETP, Due 7/1/19)</w:t>
            </w:r>
          </w:p>
        </w:tc>
        <w:tc>
          <w:tcPr>
            <w:tcW w:w="10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42"/>
        </w:trPr>
        <w:tc>
          <w:tcPr>
            <w:tcW w:w="426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color w:val="auto"/>
              </w:rPr>
              <w:t>Total Debt Investments — Healthcare information and services</w:t>
            </w:r>
          </w:p>
        </w:tc>
        <w:tc>
          <w:tcPr>
            <w:tcW w:w="3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19,748</w:t>
            </w:r>
          </w:p>
        </w:tc>
        <w:tc>
          <w:tcPr>
            <w:tcW w:w="220" w:type="dxa"/>
            <w:vAlign w:val="bottom"/>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19,748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2"/>
        </w:trPr>
        <w:tc>
          <w:tcPr>
            <w:tcW w:w="2300" w:type="dxa"/>
            <w:vAlign w:val="bottom"/>
          </w:tcPr>
          <w:p>
            <w:pPr>
              <w:spacing w:after="0" w:line="142" w:lineRule="exact"/>
              <w:rPr>
                <w:sz w:val="20"/>
                <w:szCs w:val="20"/>
                <w:color w:val="auto"/>
              </w:rPr>
            </w:pPr>
            <w:r>
              <w:rPr>
                <w:rFonts w:ascii="Arial" w:cs="Arial" w:eastAsia="Arial" w:hAnsi="Arial"/>
                <w:sz w:val="14"/>
                <w:szCs w:val="14"/>
                <w:b w:val="1"/>
                <w:bCs w:val="1"/>
                <w:color w:val="auto"/>
              </w:rPr>
              <w:t>Total Debt Investments</w:t>
            </w: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201,216</w:t>
            </w: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186,186</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Cost of</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r>
      <w:tr>
        <w:trPr>
          <w:trHeight w:val="171"/>
        </w:trPr>
        <w:tc>
          <w:tcPr>
            <w:tcW w:w="2620" w:type="dxa"/>
            <w:vAlign w:val="bottom"/>
          </w:tcPr>
          <w:p>
            <w:pPr>
              <w:spacing w:after="0"/>
              <w:rPr>
                <w:sz w:val="20"/>
                <w:szCs w:val="20"/>
                <w:color w:val="auto"/>
              </w:rPr>
            </w:pPr>
            <w:r>
              <w:rPr>
                <w:rFonts w:ascii="Arial" w:cs="Arial" w:eastAsia="Arial" w:hAnsi="Arial"/>
                <w:sz w:val="14"/>
                <w:szCs w:val="14"/>
                <w:b w:val="1"/>
                <w:bCs w:val="1"/>
                <w:color w:val="auto"/>
              </w:rPr>
              <w:t>Portfolio Company (1)</w:t>
            </w:r>
          </w:p>
        </w:tc>
        <w:tc>
          <w:tcPr>
            <w:tcW w:w="2200" w:type="dxa"/>
            <w:vAlign w:val="bottom"/>
          </w:tcPr>
          <w:p>
            <w:pPr>
              <w:ind w:left="1040"/>
              <w:spacing w:after="0"/>
              <w:rPr>
                <w:sz w:val="20"/>
                <w:szCs w:val="20"/>
                <w:color w:val="auto"/>
              </w:rPr>
            </w:pPr>
            <w:r>
              <w:rPr>
                <w:rFonts w:ascii="Arial" w:cs="Arial" w:eastAsia="Arial" w:hAnsi="Arial"/>
                <w:sz w:val="14"/>
                <w:szCs w:val="14"/>
                <w:b w:val="1"/>
                <w:bCs w:val="1"/>
                <w:color w:val="auto"/>
              </w:rPr>
              <w:t>Sector</w:t>
            </w:r>
          </w:p>
        </w:tc>
        <w:tc>
          <w:tcPr>
            <w:tcW w:w="3800" w:type="dxa"/>
            <w:vAlign w:val="bottom"/>
            <w:gridSpan w:val="2"/>
          </w:tcPr>
          <w:p>
            <w:pPr>
              <w:ind w:left="800"/>
              <w:spacing w:after="0"/>
              <w:rPr>
                <w:sz w:val="20"/>
                <w:szCs w:val="20"/>
                <w:color w:val="auto"/>
              </w:rPr>
            </w:pPr>
            <w:r>
              <w:rPr>
                <w:rFonts w:ascii="Arial" w:cs="Arial" w:eastAsia="Arial" w:hAnsi="Arial"/>
                <w:sz w:val="14"/>
                <w:szCs w:val="14"/>
                <w:b w:val="1"/>
                <w:bCs w:val="1"/>
                <w:color w:val="auto"/>
              </w:rPr>
              <w:t>Type of Investment (3)(4)(7)(9)(10)</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Investments (6)</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26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Warrant Investments — 4.6% (8)</w:t>
            </w:r>
          </w:p>
        </w:tc>
        <w:tc>
          <w:tcPr>
            <w:tcW w:w="2200" w:type="dxa"/>
            <w:vAlign w:val="bottom"/>
            <w:tcBorders>
              <w:top w:val="single" w:sz="8" w:color="auto"/>
            </w:tcBorders>
            <w:shd w:val="clear" w:color="auto" w:fill="CCEEFF"/>
          </w:tcPr>
          <w:p>
            <w:pPr>
              <w:spacing w:after="0"/>
              <w:rPr>
                <w:sz w:val="12"/>
                <w:szCs w:val="12"/>
                <w:color w:val="auto"/>
              </w:rPr>
            </w:pPr>
          </w:p>
        </w:tc>
        <w:tc>
          <w:tcPr>
            <w:tcW w:w="3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b w:val="1"/>
                <w:bCs w:val="1"/>
                <w:color w:val="auto"/>
              </w:rPr>
              <w:t>Warrants — Life Science — 0.5% (8)</w:t>
            </w:r>
          </w:p>
        </w:tc>
        <w:tc>
          <w:tcPr>
            <w:tcW w:w="22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 Biotech Corporation</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Biotechnology</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1,521,820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Argos Therapeutics, Inc. (2)(5)</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rPr>
              <w:t>Biotechnology</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33,112 Common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Celsion Corporation (5)</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Biotechnology</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5,708 Common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Inotek Pharmaceuticals Corporation (5)</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rPr>
              <w:t>Biotechnology</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28,204 Common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Haven Pharmaceuticals, Inc.</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Biotechnology</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103,982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88</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Nivalis Therapeutics, Inc. (5)</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rPr>
              <w:t>Biotechnology</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18,534 Common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122</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Ocera Therapeutics, Inc. (2)(5)</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Biotechnology</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6,491 Common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Palatin Technologies, Inc. (2)(5)</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rPr>
              <w:t>Biotechnology</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608,058 Common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Revance Therapeutics, Inc. (5)</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Biotechnology</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34,377 Common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68</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241</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Sample6, Inc. (2)</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rPr>
              <w:t>Biotechnology</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494,988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Strongbridge U.S. Inc. (5)</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Biotechnology</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160,714 Common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72</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vTv Therapeutics Inc. (2)(5)</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rPr>
              <w:t>Biotechnology</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76,290 Common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Sunesis Pharmaceuticals, Inc. (5)</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Biotechnology</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2,050 Common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AccuVein Inc. (2)</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rPr>
              <w:t>Medical Device</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75,769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EnteroMedics, Inc. (5)</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Medical Device</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134 Common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347</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IntegenX, Inc. (2)</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rPr>
              <w:t>Medical Device</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170,646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Lantos Technologies, Inc. (2)</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Medical Device</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66,665,256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Mederi Therapeutics, Inc. (2)</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rPr>
              <w:t>Medical Device</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248,736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Mitralign, Inc. (2)</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Medical Device</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641,909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NinePoint Medical, Inc. (2)</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rPr>
              <w:t>Medical Device</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566,038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OraMetrix, Inc. (2)</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Medical Device</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812,348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78</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Tryton Medical, Inc. (2)</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rPr>
              <w:t>Medical Device</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122,362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w:t>
            </w: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ViOptix, Inc.</w:t>
            </w:r>
          </w:p>
        </w:tc>
        <w:tc>
          <w:tcPr>
            <w:tcW w:w="22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Medical Device</w:t>
            </w:r>
          </w:p>
        </w:tc>
        <w:tc>
          <w:tcPr>
            <w:tcW w:w="38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375,763 Preferred Stock Warrants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42"/>
        </w:trPr>
        <w:tc>
          <w:tcPr>
            <w:tcW w:w="26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Warrants — Life Science</w:t>
            </w:r>
          </w:p>
        </w:tc>
        <w:tc>
          <w:tcPr>
            <w:tcW w:w="2200" w:type="dxa"/>
            <w:vAlign w:val="bottom"/>
            <w:tcBorders>
              <w:bottom w:val="single" w:sz="8" w:color="CCEEFF"/>
            </w:tcBorders>
          </w:tcPr>
          <w:p>
            <w:pPr>
              <w:spacing w:after="0"/>
              <w:rPr>
                <w:sz w:val="12"/>
                <w:szCs w:val="12"/>
                <w:color w:val="auto"/>
              </w:rPr>
            </w:pPr>
          </w:p>
        </w:tc>
        <w:tc>
          <w:tcPr>
            <w:tcW w:w="36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1,289</w:t>
            </w:r>
          </w:p>
        </w:tc>
        <w:tc>
          <w:tcPr>
            <w:tcW w:w="20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612</w:t>
            </w:r>
          </w:p>
        </w:tc>
        <w:tc>
          <w:tcPr>
            <w:tcW w:w="100" w:type="dxa"/>
            <w:vAlign w:val="bottom"/>
            <w:tcBorders>
              <w:bottom w:val="single" w:sz="8" w:color="CCEEFF"/>
            </w:tcBorders>
          </w:tcPr>
          <w:p>
            <w:pPr>
              <w:spacing w:after="0"/>
              <w:rPr>
                <w:sz w:val="12"/>
                <w:szCs w:val="12"/>
                <w:color w:val="auto"/>
              </w:rPr>
            </w:pPr>
          </w:p>
        </w:tc>
      </w:tr>
      <w:tr>
        <w:trPr>
          <w:trHeight w:val="142"/>
        </w:trPr>
        <w:tc>
          <w:tcPr>
            <w:tcW w:w="26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Warrants — Technology — 3.3% (8)</w:t>
            </w:r>
          </w:p>
        </w:tc>
        <w:tc>
          <w:tcPr>
            <w:tcW w:w="220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Ekahau, Inc. (2)</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rPr>
              <w:t>Communications</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978,261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Additech, Inc. (2)</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93"/>
              </w:rPr>
              <w:t>Consumer-related Technologies</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150,000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Gwynnie Bee, Inc. (2)</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w w:val="93"/>
              </w:rPr>
              <w:t>Consumer-related Technologies</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268,591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698</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If(we), Inc.</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93"/>
              </w:rPr>
              <w:t>Consumer-related Technologies</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190,868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Le Tote, Inc. (2)</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w w:val="93"/>
              </w:rPr>
              <w:t>Consumer-related Technologies</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202,974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411</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Rhapsody International Inc. (2)</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93"/>
              </w:rPr>
              <w:t>Consumer-related Technologies</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852,273 Common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164</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150</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SavingStar, Inc. (2)</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w w:val="93"/>
              </w:rPr>
              <w:t>Consumer-related Technologies</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98,860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XIOtech, Inc.</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Data Storage</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2,217,979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The NanoSteel Company, Inc. (2)</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rPr>
              <w:t>Materials</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299,211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92</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348</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IntelePeer, Inc.</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Networking</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141,549 Common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Nanocomp Technologies, Inc. (2)</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rPr>
              <w:t>Networking</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707,387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Aquion Energy, Inc.</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Power Management</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115,051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Powerhouse Dynamics, Inc. (2)</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rPr>
              <w:t>Power Management</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290,698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Avalanche Technology, Inc. (2)</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Semiconductors</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202,602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101</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eASIC Corporation (2)</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rPr>
              <w:t>Semiconductors</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40,445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InVisage Technologies, Inc. (2)</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Semiconductors</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395,009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Kaminario, Inc.</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rPr>
              <w:t>Semiconductors</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1,087,203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59</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Luxtera, Inc.(2)</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Semiconductors</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2,508,671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193</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Soraa, Inc. (2)</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rPr>
              <w:t>Semiconductors</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203,616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80</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432</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Xtera Communications, Inc. (5)</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Semiconductors</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37,831 Common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206</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Bolt Solutions Inc. (2)</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rPr>
              <w:t>Software</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202,892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113</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135</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Bridge2 Solutions, Inc.</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Software</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75,458 Common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341</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Clarabridge, Inc.</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rPr>
              <w:t>Software</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53,486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ControlScan, Inc. (2)</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Software</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2,295,918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Decisyon, Inc.</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rPr>
              <w:t>Software</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82,967 Common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Digital Signal Corporation</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Software</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125,116 Common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Education Elements, Inc. (2)</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rPr>
              <w:t>Software</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238,122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Lotame Solutions, Inc. (2)</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Software</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288,115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276</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Netuitive, Inc.</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rPr>
              <w:t>Software</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41,569 Common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Riv Data Corp. (2)</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Software</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237,361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ScoreBig, Inc. (2)</w:t>
            </w:r>
          </w:p>
        </w:tc>
        <w:tc>
          <w:tcPr>
            <w:tcW w:w="2200" w:type="dxa"/>
            <w:vAlign w:val="bottom"/>
          </w:tcPr>
          <w:p>
            <w:pPr>
              <w:ind w:left="320"/>
              <w:spacing w:after="0" w:line="149" w:lineRule="exact"/>
              <w:rPr>
                <w:sz w:val="20"/>
                <w:szCs w:val="20"/>
                <w:color w:val="auto"/>
              </w:rPr>
            </w:pPr>
            <w:r>
              <w:rPr>
                <w:rFonts w:ascii="Arial" w:cs="Arial" w:eastAsia="Arial" w:hAnsi="Arial"/>
                <w:sz w:val="14"/>
                <w:szCs w:val="14"/>
                <w:color w:val="auto"/>
              </w:rPr>
              <w:t>Software</w:t>
            </w:r>
          </w:p>
        </w:tc>
        <w:tc>
          <w:tcPr>
            <w:tcW w:w="3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879,014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88</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ShopKeep.com, Inc. (2)</w:t>
            </w:r>
          </w:p>
        </w:tc>
        <w:tc>
          <w:tcPr>
            <w:tcW w:w="2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Software</w:t>
            </w:r>
          </w:p>
        </w:tc>
        <w:tc>
          <w:tcPr>
            <w:tcW w:w="3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165,779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98</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118</w:t>
            </w:r>
          </w:p>
        </w:tc>
      </w:tr>
      <w:tr>
        <w:trPr>
          <w:trHeight w:val="182"/>
        </w:trPr>
        <w:tc>
          <w:tcPr>
            <w:tcW w:w="2620" w:type="dxa"/>
            <w:vAlign w:val="bottom"/>
          </w:tcPr>
          <w:p>
            <w:pPr>
              <w:spacing w:after="0"/>
              <w:rPr>
                <w:sz w:val="20"/>
                <w:szCs w:val="20"/>
                <w:color w:val="auto"/>
              </w:rPr>
            </w:pPr>
            <w:r>
              <w:rPr>
                <w:rFonts w:ascii="Arial" w:cs="Arial" w:eastAsia="Arial" w:hAnsi="Arial"/>
                <w:sz w:val="14"/>
                <w:szCs w:val="14"/>
                <w:color w:val="auto"/>
              </w:rPr>
              <w:t>SIGNiX, Inc.</w:t>
            </w:r>
          </w:p>
        </w:tc>
        <w:tc>
          <w:tcPr>
            <w:tcW w:w="2200" w:type="dxa"/>
            <w:vAlign w:val="bottom"/>
          </w:tcPr>
          <w:p>
            <w:pPr>
              <w:ind w:left="320"/>
              <w:spacing w:after="0"/>
              <w:rPr>
                <w:sz w:val="20"/>
                <w:szCs w:val="20"/>
                <w:color w:val="auto"/>
              </w:rPr>
            </w:pPr>
            <w:r>
              <w:rPr>
                <w:rFonts w:ascii="Arial" w:cs="Arial" w:eastAsia="Arial" w:hAnsi="Arial"/>
                <w:sz w:val="14"/>
                <w:szCs w:val="14"/>
                <w:color w:val="auto"/>
              </w:rPr>
              <w:t>Software</w:t>
            </w:r>
          </w:p>
        </w:tc>
        <w:tc>
          <w:tcPr>
            <w:tcW w:w="3800" w:type="dxa"/>
            <w:vAlign w:val="bottom"/>
            <w:gridSpan w:val="2"/>
          </w:tcPr>
          <w:p>
            <w:pPr>
              <w:ind w:left="60"/>
              <w:spacing w:after="0"/>
              <w:rPr>
                <w:sz w:val="20"/>
                <w:szCs w:val="20"/>
                <w:color w:val="auto"/>
              </w:rPr>
            </w:pPr>
            <w:r>
              <w:rPr>
                <w:rFonts w:ascii="Arial" w:cs="Arial" w:eastAsia="Arial" w:hAnsi="Arial"/>
                <w:sz w:val="14"/>
                <w:szCs w:val="14"/>
                <w:color w:val="auto"/>
              </w:rPr>
              <w:t>89,767 Preferred Stock Warrants</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168</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167</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Cost of</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940" w:type="dxa"/>
            <w:vAlign w:val="bottom"/>
            <w:gridSpan w:val="4"/>
          </w:tcPr>
          <w:p>
            <w:pPr>
              <w:spacing w:after="0"/>
              <w:rPr>
                <w:sz w:val="20"/>
                <w:szCs w:val="20"/>
                <w:color w:val="auto"/>
              </w:rPr>
            </w:pPr>
            <w:r>
              <w:rPr>
                <w:rFonts w:ascii="Arial" w:cs="Arial" w:eastAsia="Arial" w:hAnsi="Arial"/>
                <w:sz w:val="14"/>
                <w:szCs w:val="14"/>
                <w:b w:val="1"/>
                <w:bCs w:val="1"/>
                <w:color w:val="auto"/>
              </w:rPr>
              <w:t>Portfolio Company (1)</w:t>
            </w:r>
          </w:p>
        </w:tc>
        <w:tc>
          <w:tcPr>
            <w:tcW w:w="1840" w:type="dxa"/>
            <w:vAlign w:val="bottom"/>
          </w:tcPr>
          <w:p>
            <w:pPr>
              <w:ind w:left="720"/>
              <w:spacing w:after="0"/>
              <w:rPr>
                <w:sz w:val="20"/>
                <w:szCs w:val="20"/>
                <w:color w:val="auto"/>
              </w:rPr>
            </w:pPr>
            <w:r>
              <w:rPr>
                <w:rFonts w:ascii="Arial" w:cs="Arial" w:eastAsia="Arial" w:hAnsi="Arial"/>
                <w:sz w:val="14"/>
                <w:szCs w:val="14"/>
                <w:b w:val="1"/>
                <w:bCs w:val="1"/>
                <w:color w:val="auto"/>
              </w:rPr>
              <w:t>Sector</w:t>
            </w:r>
          </w:p>
        </w:tc>
        <w:tc>
          <w:tcPr>
            <w:tcW w:w="100" w:type="dxa"/>
            <w:vAlign w:val="bottom"/>
          </w:tcPr>
          <w:p>
            <w:pPr>
              <w:spacing w:after="0"/>
              <w:rPr>
                <w:sz w:val="14"/>
                <w:szCs w:val="14"/>
                <w:color w:val="auto"/>
              </w:rPr>
            </w:pPr>
          </w:p>
        </w:tc>
        <w:tc>
          <w:tcPr>
            <w:tcW w:w="3620" w:type="dxa"/>
            <w:vAlign w:val="bottom"/>
          </w:tcPr>
          <w:p>
            <w:pPr>
              <w:ind w:left="740"/>
              <w:spacing w:after="0"/>
              <w:rPr>
                <w:sz w:val="20"/>
                <w:szCs w:val="20"/>
                <w:color w:val="auto"/>
              </w:rPr>
            </w:pPr>
            <w:r>
              <w:rPr>
                <w:rFonts w:ascii="Arial" w:cs="Arial" w:eastAsia="Arial" w:hAnsi="Arial"/>
                <w:sz w:val="14"/>
                <w:szCs w:val="14"/>
                <w:b w:val="1"/>
                <w:bCs w:val="1"/>
                <w:color w:val="auto"/>
              </w:rPr>
              <w:t>Type of Investment (3)(4)(7)(9)(10)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Investments (6)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Skyword, Inc.</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Software</w:t>
            </w:r>
          </w:p>
        </w:tc>
        <w:tc>
          <w:tcPr>
            <w:tcW w:w="100" w:type="dxa"/>
            <w:vAlign w:val="bottom"/>
            <w:tcBorders>
              <w:top w:val="single" w:sz="8" w:color="CCEEFF"/>
            </w:tcBorders>
            <w:shd w:val="clear" w:color="auto" w:fill="CCEEFF"/>
          </w:tcPr>
          <w:p>
            <w:pPr>
              <w:spacing w:after="0"/>
              <w:rPr>
                <w:sz w:val="12"/>
                <w:szCs w:val="12"/>
                <w:color w:val="auto"/>
              </w:rPr>
            </w:pPr>
          </w:p>
        </w:tc>
        <w:tc>
          <w:tcPr>
            <w:tcW w:w="36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301,056 Preferred Stock Warrants</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tcPr>
          <w:p>
            <w:pPr>
              <w:spacing w:after="0" w:line="149" w:lineRule="exact"/>
              <w:rPr>
                <w:sz w:val="20"/>
                <w:szCs w:val="20"/>
                <w:color w:val="auto"/>
              </w:rPr>
            </w:pPr>
            <w:r>
              <w:rPr>
                <w:rFonts w:ascii="Arial" w:cs="Arial" w:eastAsia="Arial" w:hAnsi="Arial"/>
                <w:sz w:val="14"/>
                <w:szCs w:val="14"/>
                <w:color w:val="auto"/>
              </w:rPr>
              <w:t>SpringCM, Inc. (2)</w:t>
            </w: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3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2,385,686 Preferred Stock Warrants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Sys-Tech Solutions, Inc.</w:t>
            </w: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7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375,000 Preferred Stock Warrants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tcPr>
          <w:p>
            <w:pPr>
              <w:spacing w:after="0" w:line="149" w:lineRule="exact"/>
              <w:rPr>
                <w:sz w:val="20"/>
                <w:szCs w:val="20"/>
                <w:color w:val="auto"/>
              </w:rPr>
            </w:pPr>
            <w:r>
              <w:rPr>
                <w:rFonts w:ascii="Arial" w:cs="Arial" w:eastAsia="Arial" w:hAnsi="Arial"/>
                <w:sz w:val="14"/>
                <w:szCs w:val="14"/>
                <w:color w:val="auto"/>
              </w:rPr>
              <w:t>Vidsys, Inc.</w:t>
            </w: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3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85,399 Preferred Stock Warrants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Visage Mobile, Inc.</w:t>
            </w: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7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1,692,047 Preferred Stock Warrants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gridSpan w:val="3"/>
          </w:tcPr>
          <w:p>
            <w:pPr>
              <w:spacing w:after="0"/>
              <w:rPr>
                <w:sz w:val="20"/>
                <w:szCs w:val="20"/>
                <w:color w:val="auto"/>
              </w:rPr>
            </w:pPr>
            <w:r>
              <w:rPr>
                <w:rFonts w:ascii="Arial" w:cs="Arial" w:eastAsia="Arial" w:hAnsi="Arial"/>
                <w:sz w:val="14"/>
                <w:szCs w:val="14"/>
                <w:color w:val="auto"/>
              </w:rPr>
              <w:t>xTech Holdings, Inc. (2)</w:t>
            </w:r>
          </w:p>
        </w:tc>
        <w:tc>
          <w:tcPr>
            <w:tcW w:w="1840" w:type="dxa"/>
            <w:vAlign w:val="bottom"/>
          </w:tcPr>
          <w:p>
            <w:pPr>
              <w:spacing w:after="0"/>
              <w:rPr>
                <w:sz w:val="20"/>
                <w:szCs w:val="20"/>
                <w:color w:val="auto"/>
              </w:rPr>
            </w:pPr>
            <w:r>
              <w:rPr>
                <w:rFonts w:ascii="Arial" w:cs="Arial" w:eastAsia="Arial" w:hAnsi="Arial"/>
                <w:sz w:val="14"/>
                <w:szCs w:val="14"/>
                <w:color w:val="auto"/>
              </w:rPr>
              <w:t>Software</w:t>
            </w:r>
          </w:p>
        </w:tc>
        <w:tc>
          <w:tcPr>
            <w:tcW w:w="3720" w:type="dxa"/>
            <w:vAlign w:val="bottom"/>
            <w:gridSpan w:val="2"/>
          </w:tcPr>
          <w:p>
            <w:pPr>
              <w:ind w:left="100"/>
              <w:spacing w:after="0"/>
              <w:rPr>
                <w:sz w:val="20"/>
                <w:szCs w:val="20"/>
                <w:color w:val="auto"/>
              </w:rPr>
            </w:pPr>
            <w:r>
              <w:rPr>
                <w:rFonts w:ascii="Arial" w:cs="Arial" w:eastAsia="Arial" w:hAnsi="Arial"/>
                <w:sz w:val="14"/>
                <w:szCs w:val="14"/>
                <w:color w:val="auto"/>
              </w:rPr>
              <w:t>158,730 Preferred Stock Warrants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Total Warrants — Technology</w:t>
            </w:r>
          </w:p>
        </w:tc>
        <w:tc>
          <w:tcPr>
            <w:tcW w:w="18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2,406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4,590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Warrants — Cleantech — 0.1% (8)</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Renmatix, Inc.</w:t>
            </w: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Alternative Energy</w:t>
            </w:r>
          </w:p>
        </w:tc>
        <w:tc>
          <w:tcPr>
            <w:tcW w:w="37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53,022 Preferred Stock Warrants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tcPr>
          <w:p>
            <w:pPr>
              <w:spacing w:after="0" w:line="149" w:lineRule="exact"/>
              <w:rPr>
                <w:sz w:val="20"/>
                <w:szCs w:val="20"/>
                <w:color w:val="auto"/>
              </w:rPr>
            </w:pPr>
            <w:r>
              <w:rPr>
                <w:rFonts w:ascii="Arial" w:cs="Arial" w:eastAsia="Arial" w:hAnsi="Arial"/>
                <w:sz w:val="14"/>
                <w:szCs w:val="14"/>
                <w:color w:val="auto"/>
              </w:rPr>
              <w:t>Semprius, Inc.</w:t>
            </w: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Alternative Energy</w:t>
            </w:r>
          </w:p>
        </w:tc>
        <w:tc>
          <w:tcPr>
            <w:tcW w:w="3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519,981 Preferred Stock Warrants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Rypos, Inc. (2)</w:t>
            </w: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Energy Efficiency</w:t>
            </w:r>
          </w:p>
        </w:tc>
        <w:tc>
          <w:tcPr>
            <w:tcW w:w="37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5,627 Preferred Stock Warrants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tcPr>
          <w:p>
            <w:pPr>
              <w:spacing w:after="0" w:line="149" w:lineRule="exact"/>
              <w:rPr>
                <w:sz w:val="20"/>
                <w:szCs w:val="20"/>
                <w:color w:val="auto"/>
              </w:rPr>
            </w:pPr>
            <w:r>
              <w:rPr>
                <w:rFonts w:ascii="Arial" w:cs="Arial" w:eastAsia="Arial" w:hAnsi="Arial"/>
                <w:sz w:val="14"/>
                <w:szCs w:val="14"/>
                <w:color w:val="auto"/>
              </w:rPr>
              <w:t>Tigo Energy, Inc. (2)</w:t>
            </w: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Energy Efficiency</w:t>
            </w:r>
          </w:p>
        </w:tc>
        <w:tc>
          <w:tcPr>
            <w:tcW w:w="3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804,604 Preferred Stock Warrants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Lehigh Technologies, Inc. (2)</w:t>
            </w:r>
          </w:p>
        </w:tc>
        <w:tc>
          <w:tcPr>
            <w:tcW w:w="1840" w:type="dxa"/>
            <w:vAlign w:val="bottom"/>
            <w:shd w:val="clear" w:color="auto" w:fill="CCEEFF"/>
          </w:tcPr>
          <w:p>
            <w:pPr>
              <w:spacing w:after="0"/>
              <w:rPr>
                <w:sz w:val="20"/>
                <w:szCs w:val="20"/>
                <w:color w:val="auto"/>
              </w:rPr>
            </w:pPr>
            <w:r>
              <w:rPr>
                <w:rFonts w:ascii="Arial" w:cs="Arial" w:eastAsia="Arial" w:hAnsi="Arial"/>
                <w:sz w:val="14"/>
                <w:szCs w:val="14"/>
                <w:color w:val="auto"/>
              </w:rPr>
              <w:t>Waste Recycling</w:t>
            </w:r>
          </w:p>
        </w:tc>
        <w:tc>
          <w:tcPr>
            <w:tcW w:w="3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272,727 Preferred Stock Warrants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color w:val="auto"/>
              </w:rPr>
              <w:t>Total Warrants — Cleantech</w:t>
            </w:r>
          </w:p>
        </w:tc>
        <w:tc>
          <w:tcPr>
            <w:tcW w:w="18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270</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Warrants — Healthcare information and services — 0.7% (8)</w:t>
            </w:r>
          </w:p>
        </w:tc>
        <w:tc>
          <w:tcPr>
            <w:tcW w:w="10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tcPr>
          <w:p>
            <w:pPr>
              <w:spacing w:after="0" w:line="149" w:lineRule="exact"/>
              <w:rPr>
                <w:sz w:val="20"/>
                <w:szCs w:val="20"/>
                <w:color w:val="auto"/>
              </w:rPr>
            </w:pPr>
            <w:r>
              <w:rPr>
                <w:rFonts w:ascii="Arial" w:cs="Arial" w:eastAsia="Arial" w:hAnsi="Arial"/>
                <w:sz w:val="14"/>
                <w:szCs w:val="14"/>
                <w:color w:val="auto"/>
              </w:rPr>
              <w:t>Accumetrics, Inc.</w:t>
            </w: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Diagnostics</w:t>
            </w:r>
          </w:p>
        </w:tc>
        <w:tc>
          <w:tcPr>
            <w:tcW w:w="3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100,928 Preferred Stock Warrants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Candescent Health, Inc. (2)</w:t>
            </w: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Diagnostics</w:t>
            </w:r>
          </w:p>
        </w:tc>
        <w:tc>
          <w:tcPr>
            <w:tcW w:w="37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519,991 Preferred Stock Warrants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tcPr>
          <w:p>
            <w:pPr>
              <w:spacing w:after="0" w:line="149" w:lineRule="exact"/>
              <w:rPr>
                <w:sz w:val="20"/>
                <w:szCs w:val="20"/>
                <w:color w:val="auto"/>
              </w:rPr>
            </w:pPr>
            <w:r>
              <w:rPr>
                <w:rFonts w:ascii="Arial" w:cs="Arial" w:eastAsia="Arial" w:hAnsi="Arial"/>
                <w:sz w:val="14"/>
                <w:szCs w:val="14"/>
                <w:color w:val="auto"/>
              </w:rPr>
              <w:t>Interleukin Genetics, Inc. (2)(5)</w:t>
            </w: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Diagnostics</w:t>
            </w:r>
          </w:p>
        </w:tc>
        <w:tc>
          <w:tcPr>
            <w:tcW w:w="3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7,662,100 Common Stock Warrants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LifePrint Group, Inc. (2)</w:t>
            </w: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Diagnostics</w:t>
            </w:r>
          </w:p>
        </w:tc>
        <w:tc>
          <w:tcPr>
            <w:tcW w:w="37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49,000 Preferred Stock Warrants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tcPr>
          <w:p>
            <w:pPr>
              <w:spacing w:after="0" w:line="149" w:lineRule="exact"/>
              <w:rPr>
                <w:sz w:val="20"/>
                <w:szCs w:val="20"/>
                <w:color w:val="auto"/>
              </w:rPr>
            </w:pPr>
            <w:r>
              <w:rPr>
                <w:rFonts w:ascii="Arial" w:cs="Arial" w:eastAsia="Arial" w:hAnsi="Arial"/>
                <w:sz w:val="14"/>
                <w:szCs w:val="14"/>
                <w:color w:val="auto"/>
              </w:rPr>
              <w:t>ProterixBio, Inc. (2)</w:t>
            </w: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Diagnostics</w:t>
            </w:r>
          </w:p>
        </w:tc>
        <w:tc>
          <w:tcPr>
            <w:tcW w:w="3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3,156 Common Stock Warrants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Singulex, Inc.</w:t>
            </w: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Healthcare</w:t>
            </w:r>
          </w:p>
        </w:tc>
        <w:tc>
          <w:tcPr>
            <w:tcW w:w="37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294,231 Preferred Stock Warrants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tcPr>
          <w:p>
            <w:pPr>
              <w:spacing w:after="0" w:line="149" w:lineRule="exact"/>
              <w:rPr>
                <w:sz w:val="20"/>
                <w:szCs w:val="20"/>
                <w:color w:val="auto"/>
              </w:rPr>
            </w:pPr>
            <w:r>
              <w:rPr>
                <w:rFonts w:ascii="Arial" w:cs="Arial" w:eastAsia="Arial" w:hAnsi="Arial"/>
                <w:sz w:val="14"/>
                <w:szCs w:val="14"/>
                <w:color w:val="auto"/>
              </w:rPr>
              <w:t>Verity Solutions Group, Inc.</w:t>
            </w: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Other Healthcare</w:t>
            </w:r>
          </w:p>
        </w:tc>
        <w:tc>
          <w:tcPr>
            <w:tcW w:w="3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300,360 Preferred Stock Warrants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Watermark Medical, Inc. (2)</w:t>
            </w: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Healthcare</w:t>
            </w:r>
          </w:p>
        </w:tc>
        <w:tc>
          <w:tcPr>
            <w:tcW w:w="37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27,373 Preferred Stock Warrants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tcPr>
          <w:p>
            <w:pPr>
              <w:spacing w:after="0" w:line="149" w:lineRule="exact"/>
              <w:rPr>
                <w:sz w:val="20"/>
                <w:szCs w:val="20"/>
                <w:color w:val="auto"/>
              </w:rPr>
            </w:pPr>
            <w:r>
              <w:rPr>
                <w:rFonts w:ascii="Arial" w:cs="Arial" w:eastAsia="Arial" w:hAnsi="Arial"/>
                <w:sz w:val="14"/>
                <w:szCs w:val="14"/>
                <w:color w:val="auto"/>
              </w:rPr>
              <w:t>MedAvante, Inc. (2)</w:t>
            </w: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3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114,285 Preferred Stock Warrants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Medsphere Systems Corporation (2)</w:t>
            </w: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7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7,097,791 Preferred Stock Warrants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gridSpan w:val="3"/>
          </w:tcPr>
          <w:p>
            <w:pPr>
              <w:spacing w:after="0"/>
              <w:rPr>
                <w:sz w:val="20"/>
                <w:szCs w:val="20"/>
                <w:color w:val="auto"/>
              </w:rPr>
            </w:pPr>
            <w:r>
              <w:rPr>
                <w:rFonts w:ascii="Arial" w:cs="Arial" w:eastAsia="Arial" w:hAnsi="Arial"/>
                <w:sz w:val="14"/>
                <w:szCs w:val="14"/>
                <w:color w:val="auto"/>
              </w:rPr>
              <w:t>Recondo Technology, Inc. (2)</w:t>
            </w:r>
          </w:p>
        </w:tc>
        <w:tc>
          <w:tcPr>
            <w:tcW w:w="1840" w:type="dxa"/>
            <w:vAlign w:val="bottom"/>
          </w:tcPr>
          <w:p>
            <w:pPr>
              <w:spacing w:after="0"/>
              <w:rPr>
                <w:sz w:val="20"/>
                <w:szCs w:val="20"/>
                <w:color w:val="auto"/>
              </w:rPr>
            </w:pPr>
            <w:r>
              <w:rPr>
                <w:rFonts w:ascii="Arial" w:cs="Arial" w:eastAsia="Arial" w:hAnsi="Arial"/>
                <w:sz w:val="14"/>
                <w:szCs w:val="14"/>
                <w:color w:val="auto"/>
              </w:rPr>
              <w:t>Software</w:t>
            </w:r>
          </w:p>
        </w:tc>
        <w:tc>
          <w:tcPr>
            <w:tcW w:w="3720" w:type="dxa"/>
            <w:vAlign w:val="bottom"/>
            <w:gridSpan w:val="2"/>
          </w:tcPr>
          <w:p>
            <w:pPr>
              <w:ind w:left="100"/>
              <w:spacing w:after="0"/>
              <w:rPr>
                <w:sz w:val="20"/>
                <w:szCs w:val="20"/>
                <w:color w:val="auto"/>
              </w:rPr>
            </w:pPr>
            <w:r>
              <w:rPr>
                <w:rFonts w:ascii="Arial" w:cs="Arial" w:eastAsia="Arial" w:hAnsi="Arial"/>
                <w:sz w:val="14"/>
                <w:szCs w:val="14"/>
                <w:color w:val="auto"/>
              </w:rPr>
              <w:t>556,796 Preferred Stock Warrants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Borders>
              <w:top w:val="single" w:sz="8" w:color="CCEEFF"/>
            </w:tcBorders>
            <w:gridSpan w:val="4"/>
            <w:shd w:val="clear" w:color="auto" w:fill="CCEEFF"/>
          </w:tcPr>
          <w:p>
            <w:pPr>
              <w:spacing w:after="0" w:line="142" w:lineRule="exact"/>
              <w:rPr>
                <w:sz w:val="20"/>
                <w:szCs w:val="20"/>
                <w:color w:val="auto"/>
              </w:rPr>
            </w:pPr>
            <w:r>
              <w:rPr>
                <w:rFonts w:ascii="Arial" w:cs="Arial" w:eastAsia="Arial" w:hAnsi="Arial"/>
                <w:sz w:val="14"/>
                <w:szCs w:val="14"/>
                <w:color w:val="auto"/>
              </w:rPr>
              <w:t>Total Warrants — Healthcare information and services</w:t>
            </w:r>
          </w:p>
        </w:tc>
        <w:tc>
          <w:tcPr>
            <w:tcW w:w="100" w:type="dxa"/>
            <w:vAlign w:val="bottom"/>
            <w:tcBorders>
              <w:top w:val="single" w:sz="8" w:color="CCEEFF"/>
            </w:tcBorders>
            <w:shd w:val="clear" w:color="auto" w:fill="CCEEFF"/>
          </w:tcPr>
          <w:p>
            <w:pPr>
              <w:spacing w:after="0"/>
              <w:rPr>
                <w:sz w:val="12"/>
                <w:szCs w:val="12"/>
                <w:color w:val="auto"/>
              </w:rPr>
            </w:pPr>
          </w:p>
        </w:tc>
        <w:tc>
          <w:tcPr>
            <w:tcW w:w="36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1,175</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18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5,140</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6,362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Other Investments — 0.4% (8)</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ZetrOZ, Inc.</w:t>
            </w: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Medical Device</w:t>
            </w:r>
          </w:p>
        </w:tc>
        <w:tc>
          <w:tcPr>
            <w:tcW w:w="37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Royalty Agreement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gridSpan w:val="3"/>
          </w:tcPr>
          <w:p>
            <w:pPr>
              <w:spacing w:after="0"/>
              <w:rPr>
                <w:sz w:val="20"/>
                <w:szCs w:val="20"/>
                <w:color w:val="auto"/>
              </w:rPr>
            </w:pPr>
            <w:r>
              <w:rPr>
                <w:rFonts w:ascii="Arial" w:cs="Arial" w:eastAsia="Arial" w:hAnsi="Arial"/>
                <w:sz w:val="14"/>
                <w:szCs w:val="14"/>
                <w:color w:val="auto"/>
              </w:rPr>
              <w:t>Vette Technology, LLC</w:t>
            </w:r>
          </w:p>
        </w:tc>
        <w:tc>
          <w:tcPr>
            <w:tcW w:w="1840" w:type="dxa"/>
            <w:vAlign w:val="bottom"/>
          </w:tcPr>
          <w:p>
            <w:pPr>
              <w:spacing w:after="0"/>
              <w:rPr>
                <w:sz w:val="20"/>
                <w:szCs w:val="20"/>
                <w:color w:val="auto"/>
              </w:rPr>
            </w:pPr>
            <w:r>
              <w:rPr>
                <w:rFonts w:ascii="Arial" w:cs="Arial" w:eastAsia="Arial" w:hAnsi="Arial"/>
                <w:sz w:val="14"/>
                <w:szCs w:val="14"/>
                <w:color w:val="auto"/>
              </w:rPr>
              <w:t>Data Storage</w:t>
            </w:r>
          </w:p>
        </w:tc>
        <w:tc>
          <w:tcPr>
            <w:tcW w:w="3720" w:type="dxa"/>
            <w:vAlign w:val="bottom"/>
            <w:gridSpan w:val="2"/>
          </w:tcPr>
          <w:p>
            <w:pPr>
              <w:ind w:left="100"/>
              <w:spacing w:after="0"/>
              <w:rPr>
                <w:sz w:val="20"/>
                <w:szCs w:val="20"/>
                <w:color w:val="auto"/>
              </w:rPr>
            </w:pPr>
            <w:r>
              <w:rPr>
                <w:rFonts w:ascii="Arial" w:cs="Arial" w:eastAsia="Arial" w:hAnsi="Arial"/>
                <w:sz w:val="14"/>
                <w:szCs w:val="14"/>
                <w:color w:val="auto"/>
              </w:rPr>
              <w:t>Royalty Agreement Due 4/18/2019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4,318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Other Investments</w:t>
            </w:r>
          </w:p>
        </w:tc>
        <w:tc>
          <w:tcPr>
            <w:tcW w:w="18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4,683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Equity — 0.6% (8)</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Insmed Incorporated (5)</w:t>
            </w: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Biotechnology</w:t>
            </w:r>
          </w:p>
        </w:tc>
        <w:tc>
          <w:tcPr>
            <w:tcW w:w="37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33,208 Common Stock</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tcPr>
          <w:p>
            <w:pPr>
              <w:spacing w:after="0" w:line="149" w:lineRule="exact"/>
              <w:rPr>
                <w:sz w:val="20"/>
                <w:szCs w:val="20"/>
                <w:color w:val="auto"/>
              </w:rPr>
            </w:pPr>
            <w:r>
              <w:rPr>
                <w:rFonts w:ascii="Arial" w:cs="Arial" w:eastAsia="Arial" w:hAnsi="Arial"/>
                <w:sz w:val="14"/>
                <w:szCs w:val="14"/>
                <w:color w:val="auto"/>
              </w:rPr>
              <w:t>Revance Therapeutics, Inc.(5)</w:t>
            </w: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Biotechnology</w:t>
            </w:r>
          </w:p>
        </w:tc>
        <w:tc>
          <w:tcPr>
            <w:tcW w:w="3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4,861 Common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Sunesis Pharmaceuticals, Inc. (5)</w:t>
            </w: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Biotechnology</w:t>
            </w:r>
          </w:p>
        </w:tc>
        <w:tc>
          <w:tcPr>
            <w:tcW w:w="37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13,082 Common Stock</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tcPr>
          <w:p>
            <w:pPr>
              <w:spacing w:after="0" w:line="149" w:lineRule="exact"/>
              <w:rPr>
                <w:sz w:val="20"/>
                <w:szCs w:val="20"/>
                <w:color w:val="auto"/>
              </w:rPr>
            </w:pPr>
            <w:r>
              <w:rPr>
                <w:rFonts w:ascii="Arial" w:cs="Arial" w:eastAsia="Arial" w:hAnsi="Arial"/>
                <w:sz w:val="14"/>
                <w:szCs w:val="14"/>
                <w:color w:val="auto"/>
              </w:rPr>
              <w:t>SnagAJob.com, Inc.</w:t>
            </w:r>
          </w:p>
        </w:tc>
        <w:tc>
          <w:tcPr>
            <w:tcW w:w="1840" w:type="dxa"/>
            <w:vAlign w:val="bottom"/>
          </w:tcPr>
          <w:p>
            <w:pPr>
              <w:spacing w:after="0" w:line="149" w:lineRule="exact"/>
              <w:rPr>
                <w:sz w:val="20"/>
                <w:szCs w:val="20"/>
                <w:color w:val="auto"/>
              </w:rPr>
            </w:pPr>
            <w:r>
              <w:rPr>
                <w:rFonts w:ascii="Arial" w:cs="Arial" w:eastAsia="Arial" w:hAnsi="Arial"/>
                <w:sz w:val="14"/>
                <w:szCs w:val="14"/>
                <w:color w:val="auto"/>
                <w:w w:val="91"/>
              </w:rPr>
              <w:t>Consumer-related Technologies</w:t>
            </w:r>
          </w:p>
        </w:tc>
        <w:tc>
          <w:tcPr>
            <w:tcW w:w="3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82,974 Common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Decisyon, Inc.</w:t>
            </w:r>
          </w:p>
        </w:tc>
        <w:tc>
          <w:tcPr>
            <w:tcW w:w="1840" w:type="dxa"/>
            <w:vAlign w:val="bottom"/>
            <w:shd w:val="clear" w:color="auto" w:fill="CCEEFF"/>
          </w:tcPr>
          <w:p>
            <w:pPr>
              <w:spacing w:after="0"/>
              <w:rPr>
                <w:sz w:val="20"/>
                <w:szCs w:val="20"/>
                <w:color w:val="auto"/>
              </w:rPr>
            </w:pPr>
            <w:r>
              <w:rPr>
                <w:rFonts w:ascii="Arial" w:cs="Arial" w:eastAsia="Arial" w:hAnsi="Arial"/>
                <w:sz w:val="14"/>
                <w:szCs w:val="14"/>
                <w:color w:val="auto"/>
              </w:rPr>
              <w:t>Software</w:t>
            </w:r>
          </w:p>
        </w:tc>
        <w:tc>
          <w:tcPr>
            <w:tcW w:w="3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4,200,934 Common Stock</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rPr>
              <w:t>Total Equity</w:t>
            </w:r>
          </w:p>
        </w:tc>
        <w:tc>
          <w:tcPr>
            <w:tcW w:w="18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588</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tcBorders>
              <w:bottom w:val="single" w:sz="8" w:color="CCEEFF"/>
            </w:tcBorders>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w w:val="92"/>
              </w:rPr>
              <w:t>Total Portfolio Investment Assets — 139.4% (8)</w:t>
            </w:r>
          </w:p>
        </w:tc>
        <w:tc>
          <w:tcPr>
            <w:tcW w:w="18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6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211,627</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194,003</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60" w:right="2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investments of the Company are in entities which are organized under the laws of the United States and have a principal place of business in the United States.</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Has been pledged as collateral under the Key Facility.</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investments are investments in which the Company owns less than 5% of the voting securities of the portfolio company.</w:t>
      </w:r>
    </w:p>
    <w:p>
      <w:pPr>
        <w:spacing w:after="0" w:line="225" w:lineRule="exact"/>
        <w:rPr>
          <w:rFonts w:ascii="Arial" w:cs="Arial" w:eastAsia="Arial" w:hAnsi="Arial"/>
          <w:sz w:val="18"/>
          <w:szCs w:val="18"/>
          <w:color w:val="auto"/>
        </w:rPr>
      </w:pPr>
    </w:p>
    <w:p>
      <w:pPr>
        <w:jc w:val="both"/>
        <w:ind w:left="460" w:hanging="452"/>
        <w:spacing w:after="0" w:line="25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the Company’s debt investments. Interest rate is the annual interest rate on the debt investment and does not include ETPs and any additional fees related to the investments, such as deferred interest, commitment fees or prepayment fees. Debt investments are at fixed rates for the term of the debt investment, unless otherwise indicated. All debt investments based on LIBOR are based on one-month LIBOR. For each debt investment, the current interest rate in effect as of December 31, 2016 is provided.</w:t>
      </w:r>
    </w:p>
    <w:p>
      <w:pPr>
        <w:spacing w:after="0" w:line="188"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Portfolio company is a public company.</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Warrants, Equity and Other Investments are non-income producing.</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Value as a percent of net assets.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1" w:lineRule="exact"/>
        <w:rPr>
          <w:sz w:val="20"/>
          <w:szCs w:val="20"/>
          <w:color w:val="auto"/>
        </w:rPr>
      </w:pPr>
    </w:p>
    <w:p>
      <w:pPr>
        <w:jc w:val="both"/>
        <w:ind w:left="46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did not have any non-qualifying assets under Section 55(a) of the 1940 Act as of December 31, 2016. Under the 1940 Act, the Company may not acquire any non-qualifying assets unless, at the time the acquisition is made, qualifying assets represent at least 70% of the Company’s total assets.</w:t>
      </w:r>
    </w:p>
    <w:p>
      <w:pPr>
        <w:spacing w:after="0" w:line="181"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spacing w:after="0" w:line="18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Debt investment is on non-accrual status at December 31, 2016.</w:t>
      </w:r>
    </w:p>
    <w:p>
      <w:pPr>
        <w:spacing w:after="0" w:line="225" w:lineRule="exact"/>
        <w:rPr>
          <w:rFonts w:ascii="Arial" w:cs="Arial" w:eastAsia="Arial" w:hAnsi="Arial"/>
          <w:sz w:val="18"/>
          <w:szCs w:val="18"/>
          <w:color w:val="auto"/>
        </w:rPr>
      </w:pPr>
    </w:p>
    <w:p>
      <w:pPr>
        <w:jc w:val="both"/>
        <w:ind w:left="460" w:hanging="452"/>
        <w:spacing w:after="0" w:line="297"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ScoreBig made an assignment for the benefit of its creditors whereby ScoreBig assigned all of its assets to SBABC, established under California law to effectuate the Assignment for the Benefit of Creditors of ScoreBig. SBABC subsequently entered into a License Agreement with a Licensee, whereby SBABC granted a license of certain of SBABC’s intellectual property and general intangibles to Licensee in exchange for certain royalty payments on the future net profits, if any, of Licensee. SBABC, in consideration for the Company’s consent to the License Agreement, agreed to pay all payments due under the License Agreement, if any, to the Company until the payment in full in cash of the Company’s debt investments in ScoreBig.</w:t>
      </w:r>
    </w:p>
    <w:p>
      <w:pPr>
        <w:spacing w:after="0" w:line="158" w:lineRule="exact"/>
        <w:rPr>
          <w:rFonts w:ascii="Arial" w:cs="Arial" w:eastAsia="Arial" w:hAnsi="Arial"/>
          <w:sz w:val="16"/>
          <w:szCs w:val="16"/>
          <w:color w:val="auto"/>
        </w:rPr>
      </w:pPr>
    </w:p>
    <w:p>
      <w:pPr>
        <w:ind w:left="46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DSC made an assignment for the benefit of its creditors whereby DSC assigned all of its assets to DSC (assignment for the benefit of creditors), LLC, a Delaware limited liability company, established under Delaware law to effectuate the Assignment for the Benefit of Creditors of DSC.</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Horizon Technology Finance Corporation (the “Company”) was organized as a Delaware corporation on March 16, 2010 and is an externally managed, non-diversified, closed-end investment company. The Company has elected to be regulated as a business development company (“BDC”) under the 1940 Act. In addition, for tax purposes, the Company has elected to be treated as a regulated investment company (“RIC”) as defined under Subchapter M of the Internal Revenue Code of 1986, as amended (the “Code”). As a RIC, the Company generally is not subject to corporate-level federal income tax on the portion of its taxable income (including net capital gains) the Company distributes to its stockholders. The Company primarily makes secured debt investments to development-stage companies in the technology, life science, healthcare information and services and cleantech industries. All of the Company’s debt investments consist of loans secured by all of, or a portion of, the applicable debtor company’s tangible and intangible assets.</w:t>
      </w:r>
    </w:p>
    <w:p>
      <w:pPr>
        <w:spacing w:after="0" w:line="16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October 28, 2010, the Company completed an initial public offering (“IPO”), and its common stock trades on the NASDAQ Global Select Market under the symbol “HRZN”. The Company was formed to continue and expand the business of Compass Horizon Funding Company LLC, a Delaware limited liability company, which commenced operations in March 2008 and became the Company’s wholly owned subsidiary upon the completion of the Company’s IPO.</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Horizon Credit II LLC (“Credit II”) was formed as a Delaware limited liability company on June 28, 2011, with the Company as its sole equity member. Credit II is a special purpose bankruptcy-remote entity and is a separate legal entity from the Company. Any assets conveyed to Credit II are not available to creditors of the Company or any other entity other than Credit II’s lenders.</w:t>
      </w:r>
    </w:p>
    <w:p>
      <w:pPr>
        <w:spacing w:after="0" w:line="18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 formed Horizon Funding 2013-1 LLC (“2013-1 LLC”) as a Delaware limited liability company on June 7, 2013 and Horizon Funding Trust 2013-1 (“2013-1 Trust” and, together with the 2013-1 LLC, the “2013-1 Entities”) as a Delaware trust on June 18, 2013. The 2013-1 Entities were special purpose bankruptcy remote entities and were separate legal entities from the Company. The Company formed the 2013-1 Entities for purposes of securitizing $189.3 million of secured loans (the “2013-1 Securitization”) and issuing fixed-rate asset-backed notes in an aggregate principal amount of $90 million (the “Asset-Backed Notes”). The 2013-1 Entities were dissolved as of September 30, 2016.</w:t>
      </w:r>
    </w:p>
    <w:p>
      <w:pPr>
        <w:spacing w:after="0" w:line="17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 has also established an additional wholly owned subsidiary, which is structured as a Delaware limited liability company, to hold the assets of a portfolio company acquired in connection with foreclosure or bankruptcy, which is a separate legal entity from the Company.</w:t>
      </w:r>
    </w:p>
    <w:p>
      <w:pPr>
        <w:spacing w:after="0" w:line="14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Company’s investment strategy is to maximize the investment portfolio’s return by generating current income from the debt investments the Company makes and capital appreciation from the warrants the Company receives when making such debt investments. The Company has entered into an investment management agreement, (the “Investment Management Agreement”) with Horizon Technology Finance Management LLC (the “Advisor”) under which the Advisor manages the day-to-day operations of, and provides investment advisory services to,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2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consolidated financial statements of the Company have been prepared in accordance with U.S. generally accepted accounting principles (“GAAP”) and pursuant to the requirements for reporting on Form 10-Q and Articles 6 and 10 of Regulation S-X (“Regulation S-X”) under the Securities Act of 1933, as amended (the “Securities Act”). In the opinion of management, the consolidated financial statements reflect all adjustments and reclassifications that are necessary for the fair presentation of financial results as of and for the periods presented. All intercompany balances and transactions have been eliminated. The current period’s results of operations are not necessarily indicative of results that ultimately may be achieved for the year. Therefore, the unaudited financial statements and notes should be read in conjunction with the audited financial statements and notes thereto for the year ended December 31, 2016.</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required under GAAP and Regulation S-X, the Company will generally consolidate its investment in a company that is an investment company subsidiary or a controlled operating company whose business consists of providing services to the Company. Accordingly, the Company consolidated the results of the Company’s wholly-owned subsidiaries in its consolidated financial statements.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preparing the consolidated financial statements in accordance with GAAP, management is required to make estimates and assumptions that affect the reported amounts of assets and liabilities, and disclosures of contingent assets and liabilities, as of the date of the balance sheet and income and expenses for the period. Actual results could differ from those estimates. Material estimates that are particularly susceptible to significant change in the near term relate to the valuation of investments.</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records all of its investments at fair value in accordance with relevant GAAP, which establishes a framework used to measure fair value and requires disclosures for fair value measurements. The Company has categorized its investments carried at fair value, based on the priority of the valuation technique, into a three-level fair value hierarchy as more fully described in Note 6. Fair value is a market-based measure considered from the perspective of the market participant who holds the financial instrument rather than an entity specific measure. Therefore, when market assumptions are not readily available, the Company’s own assumptions are set to reflect those that management believes market participants would use in pricing the financial instrument at the measurement date.</w:t>
      </w:r>
    </w:p>
    <w:p>
      <w:pPr>
        <w:spacing w:after="0" w:line="19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Accordingly, the degree of judgment exercised by the Company in determining fair value is greatest for financial instruments classified as Level 3.</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6 for additional information regarding fair value.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has determined that it has a single reporting segment and operating unit structure. The Company lends to and invests in portfolio companies in various technology, life science, healthcare information and services and cleantech industries. The Company separately evaluates the performance of each of its lending and investment relationships. However, because each of these debt investments and investment relationships has similar business and economic characteristics, they have been aggregated into a single lending and investment segment.</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Investments are recorded at fair value. The Company’s board of directors (the “Board”) determines the fair value of the Company’s portfolio investments. The Company has the intent to hold its debt investments for the foreseeable future or until maturity or payoff.</w:t>
      </w:r>
    </w:p>
    <w:p>
      <w:pPr>
        <w:spacing w:after="0" w:line="170"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the Company otherwise does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As of September 30, 2017, there were three debt investments on non-accrual status with a cost of $16.1 million and a fair value of $6.1 million. As of December 31, 2016, there were four investments on non-accrual status with a cost of $26.2 million and a fair value of $11.5 million. For the three and nine months ended September 30, 2017, the Company recognized $0.1 million in interest income from debt investments on non-accrual status. For the three and nine months ended September 30, 2016, the Company did not recognize any interest income from debt investments on non-accrual status.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receives a variety of fees from borrowers in the ordinary course of conducting its business, including advisory fees, commitment fees, amendment fees, non-utilization fees, success fees and prepayment fees. In a limited number of cases, the Company may also receive a non-refundable deposit earned upon the termination of a transaction. Debt investment origination fees, net of certain direct origination costs, are deferred and, along with unearned income, are amortized as a level-yield adjustment over the respective term of the debt investment. All other income is recognized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18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Certain debt investment agreements also require the borrower to make an ETP, that is accrued into interest receivable and taken into income over the life of the debt investment to the extent such amounts are expected to be collected. The Company will generally cease accruing the income if there is insufficient value to support the accrual or the Company does not expect the borrower to be able to pay the ETP when due. The percentage of the Company’s total investment income that resulted from the portion of ETPs not received in cash for the three months ended September 30, 2017 and 2016 was 4.8% and 7.1%, respectively. The percentage of the Company’s total investment income that resulted from the portion of ETPs not received in cash for the nine months ended September 30, 2017 and 2016 was 6.6% and 12.1%, respectively.</w:t>
      </w:r>
    </w:p>
    <w:p>
      <w:pPr>
        <w:spacing w:after="0" w:line="1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connection with substantially all lending arrangements, the Company receives warrants to purchase shares of stock from the borrower. The warrants are recorded as assets at estimated fair value on the grant date using the Black-Scholes valuation model. The warrants are considered loan fees and are recorded as unearned income on the grant date. The unearned income is recognized as interest income over the contractual life of the related debt investment in accordance with the Company’s income recognition policy. Subsequent to debt investment origination, the fair value of the warrants is determined using the Black-Scholes valuation model. Any adjustment to fair value is recorded through earnings as net unrealized appreciation or depreciation on investments. Gains and losses from the disposition of the warrants or stock acquired from the exercise of warrants are recognized as realized gains and losses on investments.</w:t>
      </w:r>
    </w:p>
    <w:p>
      <w:pPr>
        <w:spacing w:after="0" w:line="1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Realized gains or losses on the sale of investments, or upon the determination that an investment balance, or portion thereof, is not recoverable, are calculated using the specific identification method. The Company measures realized gains or losses by calculating the difference between the net proceeds from the repayment or sale and the amortized cost basis of the investment. Net change in unrealized appreciation or depreciation reflects the change in the fair values of the Company’s portfolio investments during the reporting period, including any reversal of previously recorded unrealized appreciation or depreciation when gains or losses are realized.</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Debt issuance costs are fees and other direct incremental costs incurred by the Company in obtaining debt financing from its lenders and issuing debt securities. The unamortized balance of debt issuance costs as of September 30, 2017 and December 31, 2016 was $2.3 million and $1.6 million, respectively. These amounts are amortized and included in interest expense in the consolidated statements of operations over the life of the borrowings. The accumulated amortization balances as of September 30, 2017 and December 31, 2016 were $4.8 million and $4.4 million, respectively. The amortization expense for the three months ended September 30, 2017 and 2016 was and $0.1 million. The amortization expense for the nine months ended September 30, 2017 and 2016 was $0.4 million.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 xml:space="preserve">As a BDC, the Company has elected to be treated as a RIC under Subchapter M of the Code and operates in a manner so as to qualify for the tax treatment applicable to RICs. In order to qualify as a RIC and to avoid the imposition of corporate-level income tax on the portion of its taxable income distributed to stockholders, among other things, the Company is required to meet certain source of income and asset diversification requirements and to timely distribute dividends out of assets legally available for distribution to its stockholders of an amount generally at least equal to 90% of its investment company taxable income, as defined by the Code and determined without regard to any deduction for dividends paid, for each tax year. The Company, among other things, has made and intends to continue to make the requisite distributions to its stockholders, which generally relieves the Company from corporate-level U.S. federal income taxes. Accordingly, no provision for federal income tax has been recorded in the financial statements. Differences between taxable income and net increase in net assets resulting from operations either can be temporary, meaning they will reverse in the future, or permanent. In accordance with Topic 946, </w:t>
      </w:r>
      <w:r>
        <w:rPr>
          <w:rFonts w:ascii="Arial" w:cs="Arial" w:eastAsia="Arial" w:hAnsi="Arial"/>
          <w:sz w:val="16"/>
          <w:szCs w:val="16"/>
          <w:i w:val="1"/>
          <w:iCs w:val="1"/>
          <w:color w:val="auto"/>
        </w:rPr>
        <w:t>Financial Services</w:t>
      </w:r>
      <w:r>
        <w:rPr>
          <w:rFonts w:ascii="Arial" w:cs="Arial" w:eastAsia="Arial" w:hAnsi="Arial"/>
          <w:sz w:val="16"/>
          <w:szCs w:val="16"/>
          <w:color w:val="auto"/>
        </w:rPr>
        <w:t>—</w:t>
      </w:r>
      <w:r>
        <w:rPr>
          <w:rFonts w:ascii="Arial" w:cs="Arial" w:eastAsia="Arial" w:hAnsi="Arial"/>
          <w:sz w:val="16"/>
          <w:szCs w:val="16"/>
          <w:i w:val="1"/>
          <w:iCs w:val="1"/>
          <w:color w:val="auto"/>
        </w:rPr>
        <w:t>Investment Companies</w:t>
      </w:r>
      <w:r>
        <w:rPr>
          <w:rFonts w:ascii="Arial" w:cs="Arial" w:eastAsia="Arial" w:hAnsi="Arial"/>
          <w:sz w:val="16"/>
          <w:szCs w:val="16"/>
          <w:color w:val="auto"/>
        </w:rPr>
        <w:t>, of the Financial Accounting Standards Board’s, Accounting Standards Codification, as amended (“ASC”), permanent tax differences, such as non-deductible excise taxes paid, are reclassified from distributions in excess of net investment income and net realized loss on investments to paid-in-capital at the end of each fiscal year. These permanent book-to-tax differences are reclassified on the consolidated statements of changes in net assets to reflect their tax character but have no impact on total net assets. For the year ended December 31, 2016, the Company reclassified $0.1 million to paid-in capital from distributions in excess of net investment income, which related to excise taxes refunded in 2016.</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Depending on the level of taxable income earned in a tax year, the Company may choose to carry forward taxable income in excess of current year distributions into the next tax year and incur a 4% U.S. federal excise tax on such income, as required. To the extent that the Company determines that its estimated current year annual taxable income will be in excess of estimated current year distributions, the Company accrues excise tax, if any, on estimated excess taxable income as taxable income is earned. For the nine months ended September 30, 2017 and 2016, there was no U.S. federal excise tax accrual recorded.</w:t>
      </w:r>
    </w:p>
    <w:p>
      <w:pPr>
        <w:spacing w:after="0" w:line="1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 Company evaluates tax positions taken in the course of preparing the Company’s tax returns to determine whether the tax positions are “more-likely-than-not” to be sustained by the applicable tax authority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as modified by ASC Topic 946. Tax benefits of positions not deemed to meet the more-likely-than-not threshold, or uncertain tax positions, would be recorded as a tax expense in the current year. It is the Company’s policy to recognize accrued interest and penalties related to uncertain tax benefits in income tax expense. The Company had no material uncertain tax positions at September 30, 2017 and December 31, 2016. The Company’s income tax returns for the 2016, 2015 and 2014 tax years remain subject to examination by U.S. federal and state tax authorities.</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Distributions to common stockholders are recorded on the declaration date. The amount to be paid out as distributions is determined by the Board. Net realized capital gains, if any, are distributed at least annually, although the Company may decide to retain such net realized gains for investment.</w:t>
      </w:r>
    </w:p>
    <w:p>
      <w:pPr>
        <w:spacing w:after="0" w:line="14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has adopted a dividend reinvestment plan that provides for reinvestment of cash distributions on behalf of its stockholders, unless a stockholder elects to receive cash. As a result, if the Board declares a cash distribution, then stockholders who have not “opted out” of the dividend reinvestment plan will have their cash distributions automatically reinvested in additional shares of the Company’s common stock, rather than receiving the cash distribution. The Company may use newly issued shares to implement the plan or the Company may purchase shares in the open market to fulfill its obligations under the plan.</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On April 27, 2017, the Board extended a previously authorized stock repurchase program which allows the Company to repurchase up to $5.0 million of its common stock at prices below the Company’s net asset value per share as reported in its most recent consolidated financial statements. Under the repurchase program, the Company may, but is not obligated to, repurchase shares of its outstanding common stock in the open market or in privately negotiated transactions from time to time. Any repurchases by the Company will comply with the requirements of Rule 10b-18 under the Securities Exchange Act of 1934, as amended (the “Exchange Act”), and any applicable requirements of the 1940 Act. Unless extended by the Board, the repurchase program will terminate on the earlier of June 30, 2018 or the repurchase of $5.0 million of the Company’s common stock. During the three and nine months ended September 30, 2017, the Company repurchased 5,923 shares of its common stock at an average price of $9.97 on the open market at a total cost of $0.1 million. During the three and nine months ended September 30, 2016, the Company repurchased 1,319 shares of its common stock at an average price of $11.54 on the open market at a total cost of $0.02 million. From the inception of the stock repurchase program through September 30, 2017, the Company repurchased 167,465 shares of its common stock at an average price of $11.22 on the open market at a total cost of $1.9 million.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Assets related to transactions that do not meet the requirements under ASC Topic 860, </w:t>
      </w:r>
      <w:r>
        <w:rPr>
          <w:rFonts w:ascii="Arial" w:cs="Arial" w:eastAsia="Arial" w:hAnsi="Arial"/>
          <w:sz w:val="17"/>
          <w:szCs w:val="17"/>
          <w:i w:val="1"/>
          <w:iCs w:val="1"/>
          <w:color w:val="auto"/>
        </w:rPr>
        <w:t>Transfers and Servicing</w:t>
      </w:r>
      <w:r>
        <w:rPr>
          <w:rFonts w:ascii="Arial" w:cs="Arial" w:eastAsia="Arial" w:hAnsi="Arial"/>
          <w:sz w:val="17"/>
          <w:szCs w:val="17"/>
          <w:color w:val="auto"/>
        </w:rPr>
        <w:t xml:space="preserve"> for sale treatment under GAAP are reflected in the Company’s consolidated statements of assets and liabilities as investments. Those assets are owned by special purpose entities that are consolidated in the Company’s financial statements. The creditors of the special purpose entities have received security interests in such assets and such assets are not intended to be available to the creditors of the Company (or any other affiliate of the Company).</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Transfers of financial assets are accounted for as sales when control over the assets has been surrendered. Control over transferred assets is deemed to be surrendered when (1) the assets have been isolated from the Company — put presumptively beyond the reach of the transferor and its creditors, even in bankruptcy or other receivership, (2) the transferee obtains the right (free of conditions that constrain it from taking advantage of that right) to pledge or exchange the transferred assets and (3) the transferor does not maintain effective control over the transferred assets through either (a) an agreement that both entitles and obligates the transferor to repurchase or redeem the assets before maturity or (b) the ability to unilaterally cause the holder to return specific assets, other than through a cleanup call.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Related party transactions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Investment Management Agreement was reapproved by the Board on July 28, 2017. Under the terms of the Investment Management Agreement, the Advisor determines the composition of the Company’s investment portfolio, the nature and timing of the changes to the investment portfolio and the manner of implementing such changes; identifies, evaluates and negotiates the structure of the investments the Company makes (including performing due diligence on the Company’s prospective portfolio companies); and closes, monitors and administers the investments the Company makes, including the exercise of any voting or consent rights.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Advisor’s services under the Investment Management Agreement are not exclusive to the Company, and the Advisor is free to furnish similar services to other entities so long as its services to the Company are not impaired. The Advisor is a registered investment adviser with the U.S. Securities and Exchange Commission. The Advisor receives fees for providing services to the Company under the Investment Management Agreement, consisting of two components, a base management fee and an incentive fee.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base management fee under the Investment Management Agreement is calculated at an annual rate of 2.00% of (i) the Company’s gross assets, less</w:t>
      </w:r>
    </w:p>
    <w:p>
      <w:pPr>
        <w:spacing w:after="0" w:line="46" w:lineRule="exact"/>
        <w:rPr>
          <w:sz w:val="20"/>
          <w:szCs w:val="20"/>
          <w:color w:val="auto"/>
        </w:rPr>
      </w:pPr>
    </w:p>
    <w:p>
      <w:pPr>
        <w:ind w:firstLine="8"/>
        <w:spacing w:after="0" w:line="261" w:lineRule="auto"/>
        <w:tabs>
          <w:tab w:leader="none" w:pos="276"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assets consisting of cash and cash equivalents, and is payable monthly in arrears. For purposes of calculating the base management fee, the term “gross assets” includes any assets acquired with the proceeds of leverage.</w:t>
      </w:r>
    </w:p>
    <w:p>
      <w:pPr>
        <w:spacing w:after="0" w:line="18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base management fee payable at September 30, 2017 and December 31, 2016 was $0.3 million. The base management fee expense was $0.9 million and $1.1 million, respectively, for the three months ended September 30, 2017 and 2016. The base management fee expense was $2.8 million and $3.7 million, respectively, for the nine months ended September 30, 2017 and 2016.</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center"/>
        <w:ind w:right="400"/>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The first part, which is subject to the Incentive Fee Cap and Deferral Mechanism, as defined below, is calculated and payable quarterly in arrears based on the Company’s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expenses for the quarter (including the base management fee, expenses payable under the Administration Agreement (as defined below), and any interest expense and any dividends paid on any issued and outstanding preferred stock, but excluding the incentive fee). Pre-Incentive Fee Net Investment Income includes, in the case of investments with a deferred interest feature (such as original issue discount, debt instruments with payment-in-kind interest and zero coupon securities), accrued income the Company has not yet received in cash. The incentive fee with respect to the Pre-Incentive Fee Net Investment Income is 20.00% of the amount, if any, by which the Pre-Incentive Fee Net Investment Income for the immediately preceding calendar quarter exceeds a hurdle rate of 1.75% (which is 7.00% annualized) of the Company’s net assets at the end of the immediately preceding calendar quarter, subject to a “catch-up” provision measured as of the end of each calendar quarter. Under this provision, in any calendar quarter, the Advisor receives no incentive fee until the Pre-Incentive Fee Net Investment Income equals the hurdle rate of 1.75%, but then receives, as a “catch-up,” 100.00% of the Pre-Incentive Fee Net Investment Income with respect to that portion of such Pre-Incentive Fee Net Investment Income, if any, that exceeds the hurdle rate but is less than 2.1875% quarterly (which is 8.75% annualized). The effect of this “catch-up” provision is that, if Pre-Incentive Fee Net Investment Income exceeds 2.1875% in any calendar quarter, the Advisor will receive 20.00% of the Pre-Incentive Fee Net Investment Income as if the hurdle rate did not apply.</w:t>
      </w:r>
    </w:p>
    <w:p>
      <w:pPr>
        <w:spacing w:after="0" w:line="178" w:lineRule="exact"/>
        <w:rPr>
          <w:sz w:val="20"/>
          <w:szCs w:val="20"/>
          <w:color w:val="auto"/>
        </w:rPr>
      </w:pPr>
    </w:p>
    <w:p>
      <w:pPr>
        <w:jc w:val="both"/>
        <w:ind w:firstLine="373"/>
        <w:spacing w:after="0" w:line="291" w:lineRule="auto"/>
        <w:rPr>
          <w:sz w:val="20"/>
          <w:szCs w:val="20"/>
          <w:color w:val="auto"/>
        </w:rPr>
      </w:pPr>
      <w:r>
        <w:rPr>
          <w:rFonts w:ascii="Arial" w:cs="Arial" w:eastAsia="Arial" w:hAnsi="Arial"/>
          <w:sz w:val="16"/>
          <w:szCs w:val="16"/>
          <w:color w:val="auto"/>
        </w:rPr>
        <w:t>Pre-Incentive Fee Net Investment Income does not include any realized capital gains, realized capital losses or unrealized capital appreciation or depreciation. Because of the structure of the incentive fee, it is possible that the Company may pay an incentive fee in a quarter in which the Company incurs a loss. For example, if the Company receives Pre-Incentive Fee Net Investment Income in excess of the quarterly minimum hurdle rate, the Company will pay the applicable incentive fee up to the Incentive Fee Cap, defined below, even if the Company has incurred a loss in that quarter due to realized and unrealized capital losses. The Company’s net investment income used to calculate this part of the incentive fee is also included in the amount of the Company’s gross assets used to calculate the 2.00% base management fee. These calculations are appropriately prorated for any period of less than three months and adjusted for any share issuances or repurchases during the current quarter.</w:t>
      </w:r>
    </w:p>
    <w:p>
      <w:pPr>
        <w:spacing w:after="0" w:line="167" w:lineRule="exact"/>
        <w:rPr>
          <w:sz w:val="20"/>
          <w:szCs w:val="20"/>
          <w:color w:val="auto"/>
        </w:rPr>
      </w:pPr>
    </w:p>
    <w:p>
      <w:pPr>
        <w:jc w:val="both"/>
        <w:ind w:firstLine="373"/>
        <w:spacing w:after="0" w:line="267" w:lineRule="auto"/>
        <w:rPr>
          <w:sz w:val="20"/>
          <w:szCs w:val="20"/>
          <w:color w:val="auto"/>
        </w:rPr>
      </w:pPr>
      <w:r>
        <w:rPr>
          <w:rFonts w:ascii="Arial" w:cs="Arial" w:eastAsia="Arial" w:hAnsi="Arial"/>
          <w:sz w:val="17"/>
          <w:szCs w:val="17"/>
          <w:color w:val="auto"/>
        </w:rPr>
        <w:t>Commencing with the calendar quarter beginning July 1, 2014, the incentive fee on Pre-Incentive Fee Net Investment Income is subject to a fee cap and deferral mechanism which is determined based upon a look-back period of up to three years and is expensed when incurred. For this purpose, the look-back period for the incentive fee based on Pre-Incentive Fee Net Investment Income (the “Incentive Fee Look-back Period”) commenced on July 1, 2014 and increases by one quarter in length at the end of each calendar quarter until June 30, 2017, after which time, the Incentive Fee Look-back Period will include the relevant calendar quarter and the 11 preceding full calendar quarters. Each quarterly incentive fee payable on Pre-Incentive Fee Net Investment Income is subject to a cap (the “Incentive Fee Cap”) and a deferral mechanism through which the Advisor may recoup a portion of such deferred incentive fees (collectively, the “Incentive Fee Cap and Deferral Mechanism”). The Incentive Fee Cap is equal to (a) 20.00% of Cumulative Pre-Incentive Fee Net Return (as defined below) during the Incentive Fee Look-back Period less (b) cumulative incentive fees of any kind paid to the Advisor during the Incentive Fee Look-back Period. To the extent the Incentive Fee Cap is zero or a negative value in any calendar quarter, the Company will not pay an incentive fee on Pre-Incentive Fee Net Investment Income to the Advisor in that quarter. To the extent that the payment of incentive fees on Pre-Incentive Fee Net Investment Income is limited by the Incentive Fee Cap, the payment of such fees will be deferred and paid in subsequent calendar quarters up to three years after their date of deferment, subject to certain limitations, which are set forth in the Investment Management Agreement. The Company only pays incentive fees on Pre-Incentive Fee Net Investment Income to the extent allowed by the Incentive Fee Cap and Deferral Mechanism. “Cumulative Pre-Incentive Fee Net Return” during any Incentive Fee Look-back Period means the sum of (a) Pre-Incentive Fee Net Investment Income and the base management fee for each calendar quarter during the Incentive Fee Look-back Period and (b) the sum of cumulative realized capital gains and losses, cumulative unrealized capital appreciation and cumulative unrealized capital depreciation during the applicable Incentive Fee Look-back Period.</w:t>
      </w:r>
    </w:p>
    <w:p>
      <w:pPr>
        <w:spacing w:after="0" w:line="193" w:lineRule="exact"/>
        <w:rPr>
          <w:sz w:val="20"/>
          <w:szCs w:val="20"/>
          <w:color w:val="auto"/>
        </w:rPr>
      </w:pPr>
    </w:p>
    <w:p>
      <w:pPr>
        <w:jc w:val="both"/>
        <w:ind w:firstLine="373"/>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20.00% of the Company’s realized capital gains, if any, on a cumulative basis from the date of the election to be a BDC through the end of each calendar year, computed net of all realized capital losses and unrealized capital depreciation on a cumulative basis through the end of such year, less all previous amounts paid in respect of the capital gain incentive fee. However, in accordance with GAAP, the Company is required to include the aggregate unrealized capital appreciation on investments in the calculation and accrue a capital gain incentive fee on a quarterly basis, as if such unrealized capital appreciation were realized, even though such unrealized capital appreciation is not permitted to be considered in calculating the fee actually payable under the Investment Management Agreement.</w:t>
      </w:r>
    </w:p>
    <w:p>
      <w:pPr>
        <w:spacing w:after="0" w:line="38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660" w:top="90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performance based incentive fee expense was $0.3 million for the three months ended September 30, 2017. There was no performance based incentive fee expense for the three months ended September 30, 2016. The incentive fee on Pre-Incentive Fee Net Investment Income was subject to the Incentive Fee Cap and Deferral Mechanism for the three months ended September 30, 2017 and 2016, which resulted in $0.6 million and $0.9 million, respectively, of reduced expense and additional net investment income. The performance based incentive fee expense was $1.1 million and $2.1 million for the nine months ended September 30, 2017 and 2016, respectively. The incentive fee on Pre-Incentive Fee Net Investment Income was subject to the Incentive Fee Cap and Deferral Mechanism for the nine months ended September 30, 2017 and 2016, which resulted in $1.3 million and $0.9 million, respectively, of reduced expense and additional net investment income. The performance based incentive fee payable as of September 30, 2017 was $0.3 million. The entire incentive fee payable as of September 30, 2017 was composed of the incentive fee based on Pre-Incentive Fee Net Investment Income. There was no performance based incentive fee payable as of December 31, 2016.</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entered into an administration agreement (the “Administration Agreement”) with the Advisor to provide administrative services to the Company. For providing these services, facilities and personnel, the Company reimburses the Advisor for the Company’s allocable portion of overhead and other expenses incurred by the Advisor in performing its obligations under the Administration Agreement, including rent, the fees and expenses associated with performing compliance functions and the Company’s allocable portion of the costs of compensation and related expenses of the Company’s Chief Financial Officer and Chief Compliance Officer and their respective staffs. The administrative fee expense was $0.2 million for the three months ended September 30, 2017 and 2016. The administrative fee expense was $0.6 million and $0.8 million, respectively, for the nine months ended September 30, 2017 and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Company’s investments as of September 30, 2017 and December 31,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September 30, 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December 31, 2016</w:t>
            </w:r>
          </w:p>
        </w:tc>
        <w:tc>
          <w:tcPr>
            <w:tcW w:w="740" w:type="dxa"/>
            <w:vAlign w:val="bottom"/>
          </w:tcPr>
          <w:p>
            <w:pPr>
              <w:spacing w:after="0"/>
              <w:rPr>
                <w:sz w:val="20"/>
                <w:szCs w:val="20"/>
                <w:color w:val="auto"/>
              </w:rPr>
            </w:pPr>
          </w:p>
        </w:tc>
      </w:tr>
      <w:tr>
        <w:trPr>
          <w:trHeight w:val="223"/>
        </w:trPr>
        <w:tc>
          <w:tcPr>
            <w:tcW w:w="4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8"/>
        </w:trPr>
        <w:tc>
          <w:tcPr>
            <w:tcW w:w="4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340" w:type="dxa"/>
            <w:vAlign w:val="bottom"/>
            <w:tcBorders>
              <w:top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1"/>
        </w:trPr>
        <w:tc>
          <w:tcPr>
            <w:tcW w:w="4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Debt</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171,913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161,292</w:t>
            </w:r>
          </w:p>
        </w:tc>
        <w:tc>
          <w:tcPr>
            <w:tcW w:w="100" w:type="dxa"/>
            <w:vAlign w:val="bottom"/>
          </w:tcPr>
          <w:p>
            <w:pPr>
              <w:spacing w:after="0"/>
              <w:rPr>
                <w:sz w:val="18"/>
                <w:szCs w:val="18"/>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201,216</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186,186</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740" w:type="dxa"/>
            <w:vAlign w:val="bottom"/>
          </w:tcPr>
          <w:p>
            <w:pPr>
              <w:spacing w:after="0"/>
              <w:rPr>
                <w:sz w:val="18"/>
                <w:szCs w:val="18"/>
                <w:color w:val="auto"/>
              </w:rPr>
            </w:pPr>
          </w:p>
        </w:tc>
      </w:tr>
      <w:tr>
        <w:trPr>
          <w:trHeight w:val="230"/>
        </w:trPr>
        <w:tc>
          <w:tcPr>
            <w:tcW w:w="420" w:type="dxa"/>
            <w:vAlign w:val="bottom"/>
          </w:tcPr>
          <w:p>
            <w:pPr>
              <w:spacing w:after="0"/>
              <w:rPr>
                <w:sz w:val="19"/>
                <w:szCs w:val="19"/>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w:t>
            </w: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w:t>
            </w:r>
          </w:p>
        </w:tc>
        <w:tc>
          <w:tcPr>
            <w:tcW w:w="74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Total investments</w:t>
            </w:r>
          </w:p>
        </w:tc>
        <w:tc>
          <w:tcPr>
            <w:tcW w:w="19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176,704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194,003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29"/>
        </w:trPr>
        <w:tc>
          <w:tcPr>
            <w:tcW w:w="4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Company’s investments by industry sector as of September 30, 2017 and December 31, 2016:</w:t>
      </w:r>
    </w:p>
    <w:p>
      <w:pPr>
        <w:spacing w:after="0" w:line="235"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September 30, 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December 31, 2016</w:t>
            </w:r>
          </w:p>
        </w:tc>
      </w:tr>
      <w:tr>
        <w:trPr>
          <w:trHeight w:val="223"/>
        </w:trPr>
        <w:tc>
          <w:tcPr>
            <w:tcW w:w="3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9"/>
                <w:szCs w:val="19"/>
                <w:color w:val="auto"/>
              </w:rPr>
            </w:pPr>
          </w:p>
        </w:tc>
      </w:tr>
      <w:tr>
        <w:trPr>
          <w:trHeight w:val="210"/>
        </w:trPr>
        <w:tc>
          <w:tcPr>
            <w:tcW w:w="3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Life Science</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ind w:left="160"/>
              <w:spacing w:after="0"/>
              <w:rPr>
                <w:sz w:val="20"/>
                <w:szCs w:val="20"/>
                <w:color w:val="auto"/>
              </w:rPr>
            </w:pPr>
            <w:r>
              <w:rPr>
                <w:rFonts w:ascii="Arial" w:cs="Arial" w:eastAsia="Arial" w:hAnsi="Arial"/>
                <w:sz w:val="18"/>
                <w:szCs w:val="18"/>
                <w:color w:val="auto"/>
              </w:rPr>
              <w:t>Biotechnology</w:t>
            </w:r>
          </w:p>
        </w:tc>
        <w:tc>
          <w:tcPr>
            <w:tcW w:w="1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25,875</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46,703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41,578</w:t>
            </w:r>
          </w:p>
        </w:tc>
      </w:tr>
      <w:tr>
        <w:trPr>
          <w:trHeight w:val="216"/>
        </w:trPr>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Drug Delivery</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ind w:left="160"/>
              <w:spacing w:after="0"/>
              <w:rPr>
                <w:sz w:val="20"/>
                <w:szCs w:val="20"/>
                <w:color w:val="auto"/>
              </w:rPr>
            </w:pPr>
            <w:r>
              <w:rPr>
                <w:rFonts w:ascii="Arial" w:cs="Arial" w:eastAsia="Arial" w:hAnsi="Arial"/>
                <w:sz w:val="18"/>
                <w:szCs w:val="18"/>
                <w:color w:val="auto"/>
              </w:rPr>
              <w:t>Medical Device</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14,164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13,736</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Consumer-Related</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22,121</w:t>
            </w:r>
          </w:p>
        </w:tc>
      </w:tr>
      <w:tr>
        <w:trPr>
          <w:trHeight w:val="216"/>
        </w:trPr>
        <w:tc>
          <w:tcPr>
            <w:tcW w:w="3840" w:type="dxa"/>
            <w:vAlign w:val="bottom"/>
          </w:tcPr>
          <w:p>
            <w:pPr>
              <w:ind w:left="160"/>
              <w:spacing w:after="0"/>
              <w:rPr>
                <w:sz w:val="20"/>
                <w:szCs w:val="20"/>
                <w:color w:val="auto"/>
              </w:rPr>
            </w:pPr>
            <w:r>
              <w:rPr>
                <w:rFonts w:ascii="Arial" w:cs="Arial" w:eastAsia="Arial" w:hAnsi="Arial"/>
                <w:sz w:val="18"/>
                <w:szCs w:val="18"/>
                <w:color w:val="auto"/>
              </w:rPr>
              <w:t>Data Storage</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Internet and Media</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w:t>
            </w: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ind w:left="160"/>
              <w:spacing w:after="0"/>
              <w:rPr>
                <w:sz w:val="20"/>
                <w:szCs w:val="20"/>
                <w:color w:val="auto"/>
              </w:rPr>
            </w:pPr>
            <w:r>
              <w:rPr>
                <w:rFonts w:ascii="Arial" w:cs="Arial" w:eastAsia="Arial" w:hAnsi="Arial"/>
                <w:sz w:val="18"/>
                <w:szCs w:val="18"/>
                <w:color w:val="auto"/>
              </w:rPr>
              <w:t>Materials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10,222</w:t>
            </w:r>
          </w:p>
        </w:tc>
      </w:tr>
      <w:tr>
        <w:trPr>
          <w:trHeight w:val="216"/>
        </w:trPr>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Networking</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ind w:left="160"/>
              <w:spacing w:after="0"/>
              <w:rPr>
                <w:sz w:val="20"/>
                <w:szCs w:val="20"/>
                <w:color w:val="auto"/>
              </w:rPr>
            </w:pPr>
            <w:r>
              <w:rPr>
                <w:rFonts w:ascii="Arial" w:cs="Arial" w:eastAsia="Arial" w:hAnsi="Arial"/>
                <w:sz w:val="18"/>
                <w:szCs w:val="18"/>
                <w:color w:val="auto"/>
              </w:rPr>
              <w:t>Power Management</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2,318</w:t>
            </w: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Semiconductors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8,311</w:t>
            </w:r>
          </w:p>
        </w:tc>
      </w:tr>
      <w:tr>
        <w:trPr>
          <w:trHeight w:val="216"/>
        </w:trPr>
        <w:tc>
          <w:tcPr>
            <w:tcW w:w="3840" w:type="dxa"/>
            <w:vAlign w:val="bottom"/>
          </w:tcPr>
          <w:p>
            <w:pPr>
              <w:ind w:left="160"/>
              <w:spacing w:after="0"/>
              <w:rPr>
                <w:sz w:val="20"/>
                <w:szCs w:val="20"/>
                <w:color w:val="auto"/>
              </w:rPr>
            </w:pPr>
            <w:r>
              <w:rPr>
                <w:rFonts w:ascii="Arial" w:cs="Arial" w:eastAsia="Arial" w:hAnsi="Arial"/>
                <w:sz w:val="18"/>
                <w:szCs w:val="18"/>
                <w:color w:val="auto"/>
              </w:rPr>
              <w:t>Software</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47,414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40,721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60,516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55,362</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Cleantech</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ind w:left="160"/>
              <w:spacing w:after="0"/>
              <w:rPr>
                <w:sz w:val="20"/>
                <w:szCs w:val="20"/>
                <w:color w:val="auto"/>
              </w:rPr>
            </w:pPr>
            <w:r>
              <w:rPr>
                <w:rFonts w:ascii="Arial" w:cs="Arial" w:eastAsia="Arial" w:hAnsi="Arial"/>
                <w:sz w:val="18"/>
                <w:szCs w:val="18"/>
                <w:color w:val="auto"/>
              </w:rPr>
              <w:t>Alternative Energy</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 Efficiency</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ind w:left="160"/>
              <w:spacing w:after="0"/>
              <w:rPr>
                <w:sz w:val="20"/>
                <w:szCs w:val="20"/>
                <w:color w:val="auto"/>
              </w:rPr>
            </w:pPr>
            <w:r>
              <w:rPr>
                <w:rFonts w:ascii="Arial" w:cs="Arial" w:eastAsia="Arial" w:hAnsi="Arial"/>
                <w:sz w:val="18"/>
                <w:szCs w:val="18"/>
                <w:color w:val="auto"/>
              </w:rPr>
              <w:t>Waste Recycling</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6,003</w:t>
            </w: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Healthcare Information and Services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ind w:left="160"/>
              <w:spacing w:after="0"/>
              <w:rPr>
                <w:sz w:val="20"/>
                <w:szCs w:val="20"/>
                <w:color w:val="auto"/>
              </w:rPr>
            </w:pPr>
            <w:r>
              <w:rPr>
                <w:rFonts w:ascii="Arial" w:cs="Arial" w:eastAsia="Arial" w:hAnsi="Arial"/>
                <w:sz w:val="18"/>
                <w:szCs w:val="18"/>
                <w:color w:val="auto"/>
              </w:rPr>
              <w:t>Diagnostics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4,405</w:t>
            </w: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w:t>
            </w:r>
          </w:p>
        </w:tc>
        <w:tc>
          <w:tcPr>
            <w:tcW w:w="100" w:type="dxa"/>
            <w:vAlign w:val="bottom"/>
            <w:shd w:val="clear" w:color="auto" w:fill="CCEEFF"/>
          </w:tcPr>
          <w:p>
            <w:pPr>
              <w:spacing w:after="0"/>
              <w:rPr>
                <w:sz w:val="18"/>
                <w:szCs w:val="18"/>
                <w:color w:val="auto"/>
              </w:rPr>
            </w:pPr>
          </w:p>
        </w:tc>
      </w:tr>
      <w:tr>
        <w:trPr>
          <w:trHeight w:val="230"/>
        </w:trPr>
        <w:tc>
          <w:tcPr>
            <w:tcW w:w="3840" w:type="dxa"/>
            <w:vAlign w:val="bottom"/>
          </w:tcPr>
          <w:p>
            <w:pPr>
              <w:ind w:left="160"/>
              <w:spacing w:after="0"/>
              <w:rPr>
                <w:sz w:val="20"/>
                <w:szCs w:val="20"/>
                <w:color w:val="auto"/>
              </w:rPr>
            </w:pPr>
            <w:r>
              <w:rPr>
                <w:rFonts w:ascii="Arial" w:cs="Arial" w:eastAsia="Arial" w:hAnsi="Arial"/>
                <w:sz w:val="18"/>
                <w:szCs w:val="18"/>
                <w:color w:val="auto"/>
              </w:rPr>
              <w:t>Software</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10,385</w:t>
            </w:r>
          </w:p>
        </w:tc>
      </w:tr>
      <w:tr>
        <w:trPr>
          <w:trHeight w:val="223"/>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Transactions with affiliated companies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An affiliated company is generally a portfolio company in which the Company owns 5% or more of its voting securities. Transactions related to investments in affiliated companies for the three months ended September 30, 2017 were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Fair value at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Transfers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Net</w:t>
            </w: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 at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Portfolio</w:t>
            </w:r>
          </w:p>
        </w:tc>
        <w:tc>
          <w:tcPr>
            <w:tcW w:w="140" w:type="dxa"/>
            <w:vAlign w:val="bottom"/>
          </w:tcPr>
          <w:p>
            <w:pPr>
              <w:spacing w:after="0"/>
              <w:rPr>
                <w:sz w:val="18"/>
                <w:szCs w:val="18"/>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in/(out) at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Discount</w:t>
            </w: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unrealized</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Net realized</w:t>
            </w: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Interest</w:t>
            </w:r>
          </w:p>
        </w:tc>
      </w:tr>
      <w:tr>
        <w:trPr>
          <w:trHeight w:val="234"/>
        </w:trPr>
        <w:tc>
          <w:tcPr>
            <w:tcW w:w="13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Company</w:t>
            </w:r>
          </w:p>
        </w:tc>
        <w:tc>
          <w:tcPr>
            <w:tcW w:w="14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Pr>
          <w:p>
            <w:pPr>
              <w:spacing w:after="0"/>
              <w:rPr>
                <w:sz w:val="20"/>
                <w:szCs w:val="20"/>
                <w:color w:val="auto"/>
              </w:rPr>
            </w:pPr>
          </w:p>
        </w:tc>
        <w:tc>
          <w:tcPr>
            <w:tcW w:w="1060" w:type="dxa"/>
            <w:vAlign w:val="bottom"/>
            <w:gridSpan w:val="3"/>
          </w:tcPr>
          <w:p>
            <w:pPr>
              <w:ind w:left="40"/>
              <w:spacing w:after="0"/>
              <w:rPr>
                <w:sz w:val="20"/>
                <w:szCs w:val="20"/>
                <w:color w:val="auto"/>
              </w:rPr>
            </w:pPr>
            <w:r>
              <w:rPr>
                <w:rFonts w:ascii="Arial" w:cs="Arial" w:eastAsia="Arial" w:hAnsi="Arial"/>
                <w:sz w:val="18"/>
                <w:szCs w:val="18"/>
                <w:b w:val="1"/>
                <w:bCs w:val="1"/>
                <w:color w:val="auto"/>
              </w:rPr>
              <w:t>Purchases</w:t>
            </w:r>
          </w:p>
        </w:tc>
        <w:tc>
          <w:tcPr>
            <w:tcW w:w="14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b w:val="1"/>
                <w:bCs w:val="1"/>
                <w:color w:val="auto"/>
              </w:rPr>
              <w:t>Sales</w:t>
            </w:r>
          </w:p>
        </w:tc>
        <w:tc>
          <w:tcPr>
            <w:tcW w:w="9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fair 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4"/>
              </w:rPr>
              <w:t>accretion</w:t>
            </w: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gain/(loss)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gain/(loss)</w:t>
            </w:r>
          </w:p>
        </w:tc>
        <w:tc>
          <w:tcPr>
            <w:tcW w:w="100" w:type="dxa"/>
            <w:vAlign w:val="bottom"/>
          </w:tcPr>
          <w:p>
            <w:pPr>
              <w:spacing w:after="0"/>
              <w:rPr>
                <w:sz w:val="20"/>
                <w:szCs w:val="20"/>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income</w:t>
            </w:r>
          </w:p>
        </w:tc>
      </w:tr>
      <w:tr>
        <w:trPr>
          <w:trHeight w:val="210"/>
        </w:trPr>
        <w:tc>
          <w:tcPr>
            <w:tcW w:w="1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w w:val="95"/>
              </w:rPr>
              <w:t>(In thousands)</w:t>
            </w: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0"/>
        </w:trPr>
        <w:tc>
          <w:tcPr>
            <w:tcW w:w="1360" w:type="dxa"/>
            <w:vAlign w:val="bottom"/>
            <w:gridSpan w:val="2"/>
            <w:shd w:val="clear" w:color="auto" w:fill="CCEEFF"/>
          </w:tcPr>
          <w:p>
            <w:pPr>
              <w:jc w:val="center"/>
              <w:ind w:right="80"/>
              <w:spacing w:after="0" w:line="269" w:lineRule="exact"/>
              <w:rPr>
                <w:sz w:val="20"/>
                <w:szCs w:val="20"/>
                <w:color w:val="auto"/>
              </w:rPr>
            </w:pPr>
            <w:r>
              <w:rPr>
                <w:rFonts w:ascii="Arial" w:cs="Arial" w:eastAsia="Arial" w:hAnsi="Arial"/>
                <w:sz w:val="18"/>
                <w:szCs w:val="18"/>
                <w:color w:val="auto"/>
                <w:w w:val="89"/>
              </w:rPr>
              <w:t xml:space="preserve">Decisyon, Inc. </w:t>
            </w:r>
            <w:r>
              <w:rPr>
                <w:rFonts w:ascii="Arial" w:cs="Arial" w:eastAsia="Arial" w:hAnsi="Arial"/>
                <w:sz w:val="30"/>
                <w:szCs w:val="30"/>
                <w:color w:val="auto"/>
                <w:w w:val="89"/>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23"/>
                <w:szCs w:val="23"/>
                <w:color w:val="auto"/>
              </w:rPr>
            </w:pPr>
          </w:p>
        </w:tc>
      </w:tr>
      <w:tr>
        <w:trPr>
          <w:trHeight w:val="223"/>
        </w:trPr>
        <w:tc>
          <w:tcPr>
            <w:tcW w:w="1360" w:type="dxa"/>
            <w:vAlign w:val="bottom"/>
            <w:gridSpan w:val="2"/>
          </w:tcPr>
          <w:p>
            <w:pPr>
              <w:ind w:left="20"/>
              <w:spacing w:after="0"/>
              <w:rPr>
                <w:sz w:val="20"/>
                <w:szCs w:val="20"/>
                <w:color w:val="auto"/>
              </w:rPr>
            </w:pPr>
            <w:r>
              <w:rPr>
                <w:rFonts w:ascii="Arial" w:cs="Arial" w:eastAsia="Arial" w:hAnsi="Arial"/>
                <w:sz w:val="18"/>
                <w:szCs w:val="18"/>
                <w:color w:val="auto"/>
              </w:rPr>
              <w:t>Total Affiliates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three months ended September 30, 2017, the Company's ownership in the portfolio company increased to five percent of the portfolio company's voting securities.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Transactions related to investments in affiliated companies for the nine months ended September 30, 2017 were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Fair value at</w:t>
            </w: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Transfers</w:t>
            </w: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Net</w:t>
            </w:r>
          </w:p>
        </w:tc>
        <w:tc>
          <w:tcPr>
            <w:tcW w:w="1360" w:type="dxa"/>
            <w:vAlign w:val="bottom"/>
            <w:tcBorders>
              <w:top w:val="single" w:sz="8" w:color="auto"/>
            </w:tcBorders>
            <w:gridSpan w:val="3"/>
          </w:tcPr>
          <w:p>
            <w:pPr>
              <w:ind w:left="60"/>
              <w:spacing w:after="0" w:line="191" w:lineRule="exact"/>
              <w:rPr>
                <w:sz w:val="20"/>
                <w:szCs w:val="20"/>
                <w:color w:val="auto"/>
              </w:rPr>
            </w:pPr>
            <w:r>
              <w:rPr>
                <w:rFonts w:ascii="Arial" w:cs="Arial" w:eastAsia="Arial" w:hAnsi="Arial"/>
                <w:sz w:val="18"/>
                <w:szCs w:val="18"/>
                <w:b w:val="1"/>
                <w:bCs w:val="1"/>
                <w:color w:val="auto"/>
              </w:rPr>
              <w:t>Fair value at</w:t>
            </w: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r>
      <w:tr>
        <w:trPr>
          <w:trHeight w:val="216"/>
        </w:trPr>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Portfolio</w:t>
            </w: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5"/>
              </w:rPr>
              <w:t>in/(out) at</w:t>
            </w:r>
          </w:p>
        </w:tc>
        <w:tc>
          <w:tcPr>
            <w:tcW w:w="10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Discount</w:t>
            </w: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unrealized</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Net realized</w:t>
            </w:r>
          </w:p>
        </w:tc>
        <w:tc>
          <w:tcPr>
            <w:tcW w:w="640" w:type="dxa"/>
            <w:vAlign w:val="bottom"/>
          </w:tcPr>
          <w:p>
            <w:pPr>
              <w:spacing w:after="0"/>
              <w:rPr>
                <w:sz w:val="20"/>
                <w:szCs w:val="20"/>
                <w:color w:val="auto"/>
              </w:rPr>
            </w:pPr>
            <w:r>
              <w:rPr>
                <w:rFonts w:ascii="Arial" w:cs="Arial" w:eastAsia="Arial" w:hAnsi="Arial"/>
                <w:sz w:val="18"/>
                <w:szCs w:val="18"/>
                <w:b w:val="1"/>
                <w:bCs w:val="1"/>
                <w:color w:val="auto"/>
                <w:w w:val="95"/>
              </w:rPr>
              <w:t>Interest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3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Company</w:t>
            </w: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Purchases</w:t>
            </w:r>
          </w:p>
        </w:tc>
        <w:tc>
          <w:tcPr>
            <w:tcW w:w="14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Sales</w:t>
            </w: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fair value</w:t>
            </w:r>
          </w:p>
        </w:tc>
        <w:tc>
          <w:tcPr>
            <w:tcW w:w="100" w:type="dxa"/>
            <w:vAlign w:val="bottom"/>
          </w:tcPr>
          <w:p>
            <w:pPr>
              <w:spacing w:after="0"/>
              <w:rPr>
                <w:sz w:val="20"/>
                <w:szCs w:val="20"/>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accretion</w:t>
            </w: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gain/(loss)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gain/(loss)</w:t>
            </w:r>
          </w:p>
        </w:tc>
        <w:tc>
          <w:tcPr>
            <w:tcW w:w="640" w:type="dxa"/>
            <w:vAlign w:val="bottom"/>
          </w:tcPr>
          <w:p>
            <w:pPr>
              <w:spacing w:after="0"/>
              <w:rPr>
                <w:sz w:val="20"/>
                <w:szCs w:val="20"/>
                <w:color w:val="auto"/>
              </w:rPr>
            </w:pPr>
            <w:r>
              <w:rPr>
                <w:rFonts w:ascii="Arial" w:cs="Arial" w:eastAsia="Arial" w:hAnsi="Arial"/>
                <w:sz w:val="18"/>
                <w:szCs w:val="18"/>
                <w:b w:val="1"/>
                <w:bCs w:val="1"/>
                <w:color w:val="auto"/>
                <w:w w:val="98"/>
              </w:rPr>
              <w:t>income</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1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w w:val="91"/>
              </w:rPr>
              <w:t>(In thousands)</w:t>
            </w: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0"/>
        </w:trPr>
        <w:tc>
          <w:tcPr>
            <w:tcW w:w="1360" w:type="dxa"/>
            <w:vAlign w:val="bottom"/>
            <w:gridSpan w:val="2"/>
            <w:shd w:val="clear" w:color="auto" w:fill="CCEEFF"/>
          </w:tcPr>
          <w:p>
            <w:pPr>
              <w:jc w:val="center"/>
              <w:ind w:right="80"/>
              <w:spacing w:after="0" w:line="269" w:lineRule="exact"/>
              <w:rPr>
                <w:sz w:val="20"/>
                <w:szCs w:val="20"/>
                <w:color w:val="auto"/>
              </w:rPr>
            </w:pPr>
            <w:r>
              <w:rPr>
                <w:rFonts w:ascii="Arial" w:cs="Arial" w:eastAsia="Arial" w:hAnsi="Arial"/>
                <w:sz w:val="18"/>
                <w:szCs w:val="18"/>
                <w:color w:val="auto"/>
                <w:w w:val="89"/>
              </w:rPr>
              <w:t xml:space="preserve">Decisyon, Inc. </w:t>
            </w:r>
            <w:r>
              <w:rPr>
                <w:rFonts w:ascii="Arial" w:cs="Arial" w:eastAsia="Arial" w:hAnsi="Arial"/>
                <w:sz w:val="30"/>
                <w:szCs w:val="30"/>
                <w:color w:val="auto"/>
                <w:w w:val="89"/>
                <w:vertAlign w:val="superscript"/>
              </w:rPr>
              <w:t>(1)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23"/>
                <w:szCs w:val="23"/>
                <w:color w:val="auto"/>
              </w:rPr>
            </w:pPr>
          </w:p>
        </w:tc>
      </w:tr>
      <w:tr>
        <w:trPr>
          <w:trHeight w:val="223"/>
        </w:trPr>
        <w:tc>
          <w:tcPr>
            <w:tcW w:w="1360" w:type="dxa"/>
            <w:vAlign w:val="bottom"/>
            <w:gridSpan w:val="2"/>
          </w:tcPr>
          <w:p>
            <w:pPr>
              <w:ind w:left="20"/>
              <w:spacing w:after="0"/>
              <w:rPr>
                <w:sz w:val="20"/>
                <w:szCs w:val="20"/>
                <w:color w:val="auto"/>
              </w:rPr>
            </w:pPr>
            <w:r>
              <w:rPr>
                <w:rFonts w:ascii="Arial" w:cs="Arial" w:eastAsia="Arial" w:hAnsi="Arial"/>
                <w:sz w:val="18"/>
                <w:szCs w:val="18"/>
                <w:color w:val="auto"/>
              </w:rPr>
              <w:t>Total Affiliates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2,754</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nine months ended September 30, 2017, the Company's ownership in the portfolio company increased to five percent of the portfolio company's voting securities.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were no transactions related to investments in affiliated companies for the three and nine months ended September 30,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uses fair value measurements to record fair value adjustments to certain assets and liabilities and to determine fair value disclosures. Fair value is the price that would be received to sell an asset or paid to transfer a liability in an orderly transaction between market participants at the measurement date. Fair value is best determined based upon quoted market prices. However, in certain instances, there are no quoted market prices for certain assets or liabilities.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asset or liability.</w:t>
      </w:r>
    </w:p>
    <w:p>
      <w:pPr>
        <w:spacing w:after="0" w:line="17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Fair value measurements focus on exit prices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The Company’s fair value measurements are classified into a fair value hierarchy in accordance with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based on the markets in which the assets and liabilities are traded and the reliability of the assumptions used to determine fair value. The three categories within the hierarchy are as follows:</w:t>
      </w:r>
    </w:p>
    <w:p>
      <w:pPr>
        <w:spacing w:after="0" w:line="177" w:lineRule="exact"/>
        <w:rPr>
          <w:sz w:val="20"/>
          <w:szCs w:val="20"/>
          <w:color w:val="auto"/>
        </w:rPr>
      </w:pPr>
    </w:p>
    <w:p>
      <w:pPr>
        <w:ind w:left="420"/>
        <w:spacing w:after="0"/>
        <w:tabs>
          <w:tab w:leader="none" w:pos="120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and liabilities.</w:t>
      </w:r>
    </w:p>
    <w:p>
      <w:pPr>
        <w:spacing w:after="0" w:line="225" w:lineRule="exact"/>
        <w:rPr>
          <w:sz w:val="20"/>
          <w:szCs w:val="20"/>
          <w:color w:val="auto"/>
        </w:rPr>
      </w:pPr>
    </w:p>
    <w:p>
      <w:pPr>
        <w:jc w:val="both"/>
        <w:ind w:left="1220" w:hanging="809"/>
        <w:spacing w:after="0" w:line="264" w:lineRule="auto"/>
        <w:tabs>
          <w:tab w:leader="none" w:pos="120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in active markets, quoted prices in markets that are not active, and model-based valuation techniques for which all significant inputs are observable or can be corroborated by observable market data for substantially the full term of the assets or liabilities.</w:t>
      </w:r>
    </w:p>
    <w:p>
      <w:pPr>
        <w:spacing w:after="0" w:line="181" w:lineRule="exact"/>
        <w:rPr>
          <w:sz w:val="20"/>
          <w:szCs w:val="20"/>
          <w:color w:val="auto"/>
        </w:rPr>
      </w:pPr>
    </w:p>
    <w:p>
      <w:pPr>
        <w:jc w:val="both"/>
        <w:ind w:left="1220" w:hanging="809"/>
        <w:spacing w:after="0" w:line="259" w:lineRule="auto"/>
        <w:tabs>
          <w:tab w:leader="none" w:pos="120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9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Investments are valued at fair value as determined in good faith by the Board, based on input of management, the audit committee and independent valuation firms which are engaged at the direction of the Board to assist in the valuation of each portfolio investment lacking a readily available market quotation at least once during a trailing twelve-month period under a valuation policy and a consistently applied valuation process. This valuation process is conducted at the end of each fiscal quarter, with at least 25% (based on fair value) of the Company’s valuation of portfolio companies lacking readily available market quotations subject to review by an independent valuation firm.</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Because there is not a readily available market value for most of the investments in its portfolio, the Company values substantially all of its portfolio investments at fair value as determined in good faith by the Board, as described herein. Due to the inherent uncertainty of determining the fair value of investments that do not have a readily available market value, the fair value of the Company's investments may fluctuate from period to period. Additionally, the fair value of the Company's investments may differ significantly from the values that would have been used had a ready market existed for such investments and may differ materially from the values that the Company may ultimately realize. Further, such investments are generally subject to legal and other restrictions on resale or otherwise are less liquid than publicly traded securities. If the Company was required to liquidate a portfolio investment in a forced or liquidation sale, the Company could realize significantly less than the value at which the Company has recorded such portfolio investment.</w:t>
      </w:r>
    </w:p>
    <w:p>
      <w:pPr>
        <w:spacing w:after="0" w:line="16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i w:val="1"/>
          <w:iCs w:val="1"/>
          <w:color w:val="auto"/>
        </w:rPr>
        <w:t xml:space="preserve">Cash and interest receivable: </w:t>
      </w:r>
      <w:r>
        <w:rPr>
          <w:rFonts w:ascii="Arial" w:cs="Arial" w:eastAsia="Arial" w:hAnsi="Arial"/>
          <w:sz w:val="18"/>
          <w:szCs w:val="18"/>
          <w:color w:val="auto"/>
        </w:rPr>
        <w:t>The carrying amount is a reasonable estimate of fair value. These financial instruments are not recorded at fair value on a</w:t>
      </w:r>
      <w:r>
        <w:rPr>
          <w:rFonts w:ascii="Arial" w:cs="Arial" w:eastAsia="Arial" w:hAnsi="Arial"/>
          <w:sz w:val="18"/>
          <w:szCs w:val="18"/>
          <w:i w:val="1"/>
          <w:iCs w:val="1"/>
          <w:color w:val="auto"/>
        </w:rPr>
        <w:t xml:space="preserve"> </w:t>
      </w:r>
      <w:r>
        <w:rPr>
          <w:rFonts w:ascii="Arial" w:cs="Arial" w:eastAsia="Arial" w:hAnsi="Arial"/>
          <w:sz w:val="18"/>
          <w:szCs w:val="18"/>
          <w:color w:val="auto"/>
        </w:rPr>
        <w:t>recurring basis and are categorized as Level 1 within the fair value hierarchy described above.</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The carrying amounts are valued at their net asset value as of the close of business on the day of valuation. These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are recorded at fair value on a recurring basis and are categorized as Level 2 within the fair value hierarchy described above as these funds can be redeemed daily.</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Debt investments: </w:t>
      </w:r>
      <w:r>
        <w:rPr>
          <w:rFonts w:ascii="Arial" w:cs="Arial" w:eastAsia="Arial" w:hAnsi="Arial"/>
          <w:sz w:val="18"/>
          <w:szCs w:val="18"/>
          <w:color w:val="auto"/>
        </w:rPr>
        <w:t>The fair value of debt investments is estimated by discounting the expected future cash flows using the period end rates at which</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debt investments would be made to borrowers with similar credit ratings and for the same remaining maturities. At September 30, 2017 and December 31, 2016, the hypothetical market yields used ranged from 10% to 25% and 11% to 25%, respectively. Significant increases (decreases) in this unobservable input would result in a significantly lower (higher) fair value measurement. These assets are recorded at fair value on a recurring basis and are categorized as Level 3 within the fair value hierarchy described above.</w:t>
      </w:r>
    </w:p>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Under certain circumstances, the Company may use an alternative technique to value debt investments that better reflects its fair value such as the use of multiple probability weighted cash flow models when the expected future cash flows contain elements of variability.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Warrant investments: </w:t>
      </w:r>
      <w:r>
        <w:rPr>
          <w:rFonts w:ascii="Arial" w:cs="Arial" w:eastAsia="Arial" w:hAnsi="Arial"/>
          <w:sz w:val="17"/>
          <w:szCs w:val="17"/>
          <w:color w:val="auto"/>
        </w:rPr>
        <w:t>The Company values its warrants using the Black-Scholes valuation model incorporating the following material assumptions:</w:t>
      </w:r>
    </w:p>
    <w:p>
      <w:pPr>
        <w:spacing w:after="0" w:line="237" w:lineRule="exact"/>
        <w:rPr>
          <w:sz w:val="20"/>
          <w:szCs w:val="20"/>
          <w:color w:val="auto"/>
        </w:rPr>
      </w:pPr>
    </w:p>
    <w:p>
      <w:pPr>
        <w:ind w:left="600" w:hanging="187"/>
        <w:spacing w:after="0" w:line="342" w:lineRule="auto"/>
        <w:tabs>
          <w:tab w:leader="none" w:pos="600" w:val="left"/>
        </w:tabs>
        <w:numPr>
          <w:ilvl w:val="1"/>
          <w:numId w:val="9"/>
        </w:numPr>
        <w:rPr>
          <w:rFonts w:ascii="Arial" w:cs="Arial" w:eastAsia="Arial" w:hAnsi="Arial"/>
          <w:sz w:val="16"/>
          <w:szCs w:val="16"/>
          <w:color w:val="auto"/>
        </w:rPr>
      </w:pPr>
      <w:r>
        <w:rPr>
          <w:rFonts w:ascii="Arial" w:cs="Arial" w:eastAsia="Arial" w:hAnsi="Arial"/>
          <w:sz w:val="16"/>
          <w:szCs w:val="16"/>
          <w:color w:val="auto"/>
        </w:rPr>
        <w:t>Underlying asset value of the issuer is estimated based on information available, including any information regarding the most recent rounds of borrower funding. Significant increases (decreases) in this unobservable input would result in a significantly higher (lower) fair value measurement.</w:t>
      </w:r>
    </w:p>
    <w:p>
      <w:pPr>
        <w:spacing w:after="0" w:line="123" w:lineRule="exact"/>
        <w:rPr>
          <w:rFonts w:ascii="Arial" w:cs="Arial" w:eastAsia="Arial" w:hAnsi="Arial"/>
          <w:sz w:val="16"/>
          <w:szCs w:val="16"/>
          <w:color w:val="auto"/>
        </w:rPr>
      </w:pPr>
    </w:p>
    <w:p>
      <w:pPr>
        <w:jc w:val="both"/>
        <w:ind w:left="600" w:hanging="187"/>
        <w:spacing w:after="0" w:line="264" w:lineRule="auto"/>
        <w:tabs>
          <w:tab w:leader="none" w:pos="600" w:val="left"/>
        </w:tabs>
        <w:numPr>
          <w:ilvl w:val="1"/>
          <w:numId w:val="9"/>
        </w:numPr>
        <w:rPr>
          <w:rFonts w:ascii="Arial" w:cs="Arial" w:eastAsia="Arial" w:hAnsi="Arial"/>
          <w:sz w:val="18"/>
          <w:szCs w:val="18"/>
          <w:color w:val="auto"/>
        </w:rPr>
      </w:pPr>
      <w:r>
        <w:rPr>
          <w:rFonts w:ascii="Arial" w:cs="Arial" w:eastAsia="Arial" w:hAnsi="Arial"/>
          <w:sz w:val="18"/>
          <w:szCs w:val="18"/>
          <w:color w:val="auto"/>
        </w:rPr>
        <w:t>Volatility, or the amount of uncertainty or risk about the size of the changes in the warrant price, is based on indices of publicly traded companies similar in nature to the underlying company issuing the warrant. A total of seven such indices are used. Significant increases (decreases) in this unobservable input would result in a significantly higher (lower) fair value measurement.</w:t>
      </w:r>
    </w:p>
    <w:p>
      <w:pPr>
        <w:spacing w:after="0" w:line="181" w:lineRule="exact"/>
        <w:rPr>
          <w:rFonts w:ascii="Arial" w:cs="Arial" w:eastAsia="Arial" w:hAnsi="Arial"/>
          <w:sz w:val="18"/>
          <w:szCs w:val="18"/>
          <w:color w:val="auto"/>
        </w:rPr>
      </w:pPr>
    </w:p>
    <w:p>
      <w:pPr>
        <w:ind w:left="600" w:hanging="187"/>
        <w:spacing w:after="0" w:line="277" w:lineRule="auto"/>
        <w:tabs>
          <w:tab w:leader="none" w:pos="6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w:t>
      </w:r>
    </w:p>
    <w:p>
      <w:pPr>
        <w:spacing w:after="0" w:line="170" w:lineRule="exact"/>
        <w:rPr>
          <w:rFonts w:ascii="Arial" w:cs="Arial" w:eastAsia="Arial" w:hAnsi="Arial"/>
          <w:sz w:val="18"/>
          <w:szCs w:val="18"/>
          <w:color w:val="auto"/>
        </w:rPr>
      </w:pPr>
    </w:p>
    <w:p>
      <w:pPr>
        <w:ind w:left="600" w:right="20" w:hanging="187"/>
        <w:spacing w:after="0" w:line="277" w:lineRule="auto"/>
        <w:tabs>
          <w:tab w:leader="none" w:pos="6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adjustments, including a marketability discount on private company warrants, are estimated based on management’s judgment about the general industry environment.</w:t>
      </w:r>
    </w:p>
    <w:p>
      <w:pPr>
        <w:spacing w:after="0" w:line="170" w:lineRule="exact"/>
        <w:rPr>
          <w:rFonts w:ascii="Arial" w:cs="Arial" w:eastAsia="Arial" w:hAnsi="Arial"/>
          <w:sz w:val="18"/>
          <w:szCs w:val="18"/>
          <w:color w:val="auto"/>
        </w:rPr>
      </w:pPr>
    </w:p>
    <w:p>
      <w:pPr>
        <w:jc w:val="both"/>
        <w:ind w:left="560" w:hanging="187"/>
        <w:spacing w:after="0" w:line="257"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Historical portfolio experience on cancellations and exercises of the Company’s warrants are utilized as the basis for determining the estimated time to exit of the warrants in each financial reporting period. Warrants may be exercised in the event of acquisitions, mergers or IPOs, and cancelled due to events such as bankruptcies, restructuring activities or additional financings. These events cause the expected remaining life assumption to be shorter than the contractual term of the warrants. Significant increases (decreases) in this unobservable input would result in significantly higher (lower) fair value measurement.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Under certain circumstances the Company may use an alternative technique to value warrants that better reflects the warrants’ fair value, such as an expected settlement of a warrant in the near term or a model that incorporates a put feature associated with the warrant. The fair value may be determined based on the expected proceeds to be received from such settlement or based on the net present value of the expected proceeds from the put option.</w:t>
      </w:r>
    </w:p>
    <w:p>
      <w:pPr>
        <w:spacing w:after="0" w:line="14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fair value of the Company’s warrants held in publicly traded companies is determined based on inputs that are readily available in public markets or can be derived from information available in public markets. Therefore, the Company has categorized these warrants as Level 2 within the fair value hierarchy described above. The fair value of the Company’s warrants held in private companies is determined using both observable and unobservable inputs and represents management’s best estimate of what market participants would use in pricing the warrants at the measurement date. Therefore, the Company has categorized these warrants as Level 3 within the fair value hierarchy described above. These assets are recorded at fair value on a recurring basis.</w:t>
      </w:r>
    </w:p>
    <w:p>
      <w:pPr>
        <w:spacing w:after="0" w:line="15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Equity investments: </w:t>
      </w:r>
      <w:r>
        <w:rPr>
          <w:rFonts w:ascii="Arial" w:cs="Arial" w:eastAsia="Arial" w:hAnsi="Arial"/>
          <w:sz w:val="16"/>
          <w:szCs w:val="16"/>
          <w:color w:val="auto"/>
        </w:rPr>
        <w:t>The fair value of an equity investment in a privately held company is initially the face value of the amount invested.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adjusts the fair value of equity investments in private companies upon the completion of a new third-party round of equity financing. The Company may make adjustments to fair value, absent a new equity financing event, based upon positive or negative changes in a portfolio company’s financial or operational performance. Significant increases (decreases) in this unobservable input would result in a significantly higher (lower) fair value measurement. The Company has categorized these equity investments as Level 3 within the fair value hierarchy described above. The fair value of an equity investment in a publicly traded company is based upon the closing public share price on the date of measurement. Therefore, the Company has categorized these equity investments as Level 1 within the fair value hierarchy described above. These assets are recorded at fair value on a recurring basis.</w:t>
      </w:r>
    </w:p>
    <w:p>
      <w:pPr>
        <w:spacing w:after="0" w:line="16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Other investments: </w:t>
      </w:r>
      <w:r>
        <w:rPr>
          <w:rFonts w:ascii="Arial" w:cs="Arial" w:eastAsia="Arial" w:hAnsi="Arial"/>
          <w:sz w:val="18"/>
          <w:szCs w:val="18"/>
          <w:color w:val="auto"/>
        </w:rPr>
        <w:t>Other investments are valued based on the facts and circumstances of the underlying contractual agreement. The Company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values these contractual agreements using a multiple probability weighted cash flow model as the contractual future cash flows contain elements of variability. Significant changes in the estimated cash flows and probability weightings would result in a significantly higher or lower fair value measurement. The Company has categorized these other investments as Level 3 within the fair value hierarchy described above. These other investments are recorded at fair value on a recurring basis.</w:t>
      </w:r>
    </w:p>
    <w:p>
      <w:pPr>
        <w:spacing w:after="0" w:line="18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following tables provide a summary of quantitative information about the Company’s Level 3 fair value measurements of its investments as of September 30, 2017 and December 31, 2016. In addition to the techniques and inputs noted in the table below, according to the Company’s valuation policy, the Company may also use other valuation techniques and methodologies when determining its fair value measurements.</w:t>
      </w:r>
    </w:p>
    <w:p>
      <w:pPr>
        <w:spacing w:after="0" w:line="1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is not intended to be all-inclusive, but rather provides information on the significant Level 3 inputs as they relate to the Company’s fair value measurements as of September 30, 2017: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96"/>
              </w:rPr>
              <w:t>Fair</w:t>
            </w:r>
          </w:p>
        </w:tc>
        <w:tc>
          <w:tcPr>
            <w:tcW w:w="1880" w:type="dxa"/>
            <w:vAlign w:val="bottom"/>
            <w:tcBorders>
              <w:top w:val="single" w:sz="8" w:color="auto"/>
            </w:tcBorders>
          </w:tcPr>
          <w:p>
            <w:pPr>
              <w:ind w:left="120"/>
              <w:spacing w:after="0" w:line="205" w:lineRule="exact"/>
              <w:rPr>
                <w:sz w:val="20"/>
                <w:szCs w:val="20"/>
                <w:color w:val="auto"/>
              </w:rPr>
            </w:pPr>
            <w:r>
              <w:rPr>
                <w:rFonts w:ascii="Arial" w:cs="Arial" w:eastAsia="Arial" w:hAnsi="Arial"/>
                <w:sz w:val="18"/>
                <w:szCs w:val="18"/>
                <w:b w:val="1"/>
                <w:bCs w:val="1"/>
                <w:color w:val="auto"/>
                <w:w w:val="91"/>
              </w:rPr>
              <w:t>Valuation Techniques/</w:t>
            </w:r>
          </w:p>
        </w:tc>
        <w:tc>
          <w:tcPr>
            <w:tcW w:w="2300" w:type="dxa"/>
            <w:vAlign w:val="bottom"/>
            <w:tcBorders>
              <w:top w:val="single" w:sz="8" w:color="auto"/>
            </w:tcBorders>
          </w:tcPr>
          <w:p>
            <w:pPr>
              <w:ind w:left="560"/>
              <w:spacing w:after="0" w:line="205" w:lineRule="exact"/>
              <w:rPr>
                <w:sz w:val="20"/>
                <w:szCs w:val="20"/>
                <w:color w:val="auto"/>
              </w:rPr>
            </w:pPr>
            <w:r>
              <w:rPr>
                <w:rFonts w:ascii="Arial" w:cs="Arial" w:eastAsia="Arial" w:hAnsi="Arial"/>
                <w:sz w:val="18"/>
                <w:szCs w:val="18"/>
                <w:b w:val="1"/>
                <w:bCs w:val="1"/>
                <w:color w:val="auto"/>
              </w:rPr>
              <w:t>Unobservable</w:t>
            </w:r>
          </w:p>
        </w:tc>
        <w:tc>
          <w:tcPr>
            <w:tcW w:w="17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390"/>
              <w:spacing w:after="0" w:line="205" w:lineRule="exact"/>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34"/>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Investment Type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1880" w:type="dxa"/>
            <w:vAlign w:val="bottom"/>
          </w:tcPr>
          <w:p>
            <w:pPr>
              <w:ind w:left="420"/>
              <w:spacing w:after="0"/>
              <w:rPr>
                <w:sz w:val="20"/>
                <w:szCs w:val="20"/>
                <w:color w:val="auto"/>
              </w:rPr>
            </w:pPr>
            <w:r>
              <w:rPr>
                <w:rFonts w:ascii="Arial" w:cs="Arial" w:eastAsia="Arial" w:hAnsi="Arial"/>
                <w:sz w:val="18"/>
                <w:szCs w:val="18"/>
                <w:b w:val="1"/>
                <w:bCs w:val="1"/>
                <w:color w:val="auto"/>
              </w:rPr>
              <w:t>Methodologies</w:t>
            </w:r>
          </w:p>
        </w:tc>
        <w:tc>
          <w:tcPr>
            <w:tcW w:w="2300" w:type="dxa"/>
            <w:vAlign w:val="bottom"/>
          </w:tcPr>
          <w:p>
            <w:pPr>
              <w:ind w:left="880"/>
              <w:spacing w:after="0"/>
              <w:rPr>
                <w:sz w:val="20"/>
                <w:szCs w:val="20"/>
                <w:color w:val="auto"/>
              </w:rPr>
            </w:pPr>
            <w:r>
              <w:rPr>
                <w:rFonts w:ascii="Arial" w:cs="Arial" w:eastAsia="Arial" w:hAnsi="Arial"/>
                <w:sz w:val="18"/>
                <w:szCs w:val="18"/>
                <w:b w:val="1"/>
                <w:bCs w:val="1"/>
                <w:color w:val="auto"/>
              </w:rPr>
              <w:t>Input</w:t>
            </w:r>
          </w:p>
        </w:tc>
        <w:tc>
          <w:tcPr>
            <w:tcW w:w="1780" w:type="dxa"/>
            <w:vAlign w:val="bottom"/>
          </w:tcPr>
          <w:p>
            <w:pPr>
              <w:ind w:left="520"/>
              <w:spacing w:after="0"/>
              <w:rPr>
                <w:sz w:val="20"/>
                <w:szCs w:val="20"/>
                <w:color w:val="auto"/>
              </w:rPr>
            </w:pPr>
            <w:r>
              <w:rPr>
                <w:rFonts w:ascii="Arial" w:cs="Arial" w:eastAsia="Arial" w:hAnsi="Arial"/>
                <w:sz w:val="18"/>
                <w:szCs w:val="18"/>
                <w:b w:val="1"/>
                <w:bCs w:val="1"/>
                <w:color w:val="auto"/>
              </w:rPr>
              <w:t>Range</w:t>
            </w:r>
          </w:p>
        </w:tc>
        <w:tc>
          <w:tcPr>
            <w:tcW w:w="1640" w:type="dxa"/>
            <w:vAlign w:val="bottom"/>
          </w:tcPr>
          <w:p>
            <w:pPr>
              <w:jc w:val="right"/>
              <w:ind w:right="45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18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(Dollars in thousands, except per share data)</w:t>
            </w:r>
          </w:p>
        </w:tc>
        <w:tc>
          <w:tcPr>
            <w:tcW w:w="17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Debt investments</w:t>
            </w:r>
          </w:p>
        </w:tc>
        <w:tc>
          <w:tcPr>
            <w:tcW w:w="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155,192</w:t>
            </w:r>
          </w:p>
        </w:tc>
        <w:tc>
          <w:tcPr>
            <w:tcW w:w="18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Discounted Expected</w:t>
            </w:r>
          </w:p>
        </w:tc>
        <w:tc>
          <w:tcPr>
            <w:tcW w:w="23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Hypothetical Market Yield</w:t>
            </w:r>
          </w:p>
        </w:tc>
        <w:tc>
          <w:tcPr>
            <w:tcW w:w="178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91"/>
              </w:rPr>
              <w:t>10% – 25%</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Future Cash Flows</w:t>
            </w:r>
          </w:p>
        </w:tc>
        <w:tc>
          <w:tcPr>
            <w:tcW w:w="23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6,100</w:t>
            </w: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Liquidation Scenario</w:t>
            </w:r>
          </w:p>
        </w:tc>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Probability Weighting</w:t>
            </w:r>
          </w:p>
        </w:tc>
        <w:tc>
          <w:tcPr>
            <w:tcW w:w="17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5% – 75%</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Warrant investments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6,412</w:t>
            </w: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Black-Scholes</w:t>
            </w:r>
          </w:p>
        </w:tc>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Price Per Share</w:t>
            </w:r>
          </w:p>
        </w:tc>
        <w:tc>
          <w:tcPr>
            <w:tcW w:w="17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$0.00 – $63.98</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Valuation Model</w:t>
            </w:r>
          </w:p>
        </w:tc>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Average Industry Volatility</w:t>
            </w:r>
          </w:p>
        </w:tc>
        <w:tc>
          <w:tcPr>
            <w:tcW w:w="17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4"/>
              </w:rPr>
              <w:t>21%</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Marketability Discount</w:t>
            </w:r>
          </w:p>
        </w:tc>
        <w:tc>
          <w:tcPr>
            <w:tcW w:w="17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4"/>
              </w:rPr>
              <w:t>20%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Estimated Time to Exit</w:t>
            </w:r>
          </w:p>
        </w:tc>
        <w:tc>
          <w:tcPr>
            <w:tcW w:w="1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 to 5 years</w:t>
            </w:r>
          </w:p>
        </w:tc>
        <w:tc>
          <w:tcPr>
            <w:tcW w:w="1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w:t>
            </w: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Expected Settlement</w:t>
            </w:r>
          </w:p>
        </w:tc>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Price Per Share</w:t>
            </w:r>
          </w:p>
        </w:tc>
        <w:tc>
          <w:tcPr>
            <w:tcW w:w="17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8"/>
              </w:rPr>
              <w:t>$1.90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5,900</w:t>
            </w: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Multiple Probability</w:t>
            </w:r>
          </w:p>
        </w:tc>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Discount Rate</w:t>
            </w:r>
          </w:p>
        </w:tc>
        <w:tc>
          <w:tcPr>
            <w:tcW w:w="17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1"/>
              </w:rPr>
              <w:t>18% – 25%</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Weighted Cash Flow</w:t>
            </w:r>
          </w:p>
        </w:tc>
        <w:tc>
          <w:tcPr>
            <w:tcW w:w="23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Probability Weighting</w:t>
            </w:r>
          </w:p>
        </w:tc>
        <w:tc>
          <w:tcPr>
            <w:tcW w:w="1780" w:type="dxa"/>
            <w:vAlign w:val="bottom"/>
            <w:shd w:val="clear" w:color="auto" w:fill="CCEEFF"/>
          </w:tcPr>
          <w:p>
            <w:pPr>
              <w:jc w:val="center"/>
              <w:ind w:right="30"/>
              <w:spacing w:after="0" w:line="201" w:lineRule="exact"/>
              <w:rPr>
                <w:sz w:val="20"/>
                <w:szCs w:val="20"/>
                <w:color w:val="auto"/>
              </w:rPr>
            </w:pPr>
            <w:r>
              <w:rPr>
                <w:rFonts w:ascii="Arial" w:cs="Arial" w:eastAsia="Arial" w:hAnsi="Arial"/>
                <w:sz w:val="18"/>
                <w:szCs w:val="18"/>
                <w:color w:val="auto"/>
                <w:w w:val="92"/>
              </w:rPr>
              <w:t>25% – 100%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Model</w:t>
            </w:r>
          </w:p>
        </w:tc>
        <w:tc>
          <w:tcPr>
            <w:tcW w:w="23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Last Equity Financing</w:t>
            </w:r>
          </w:p>
        </w:tc>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Price Per Share</w:t>
            </w:r>
          </w:p>
        </w:tc>
        <w:tc>
          <w:tcPr>
            <w:tcW w:w="17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8"/>
              </w:rPr>
              <w:t>$0.00 – $1.00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Total Level 3 investments</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174,114</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80" w:type="dxa"/>
            <w:vAlign w:val="bottom"/>
            <w:gridSpan w:val="2"/>
            <w:vMerge w:val="restart"/>
          </w:tcPr>
          <w:p>
            <w:pPr>
              <w:ind w:left="1820"/>
              <w:spacing w:after="0"/>
              <w:rPr>
                <w:sz w:val="20"/>
                <w:szCs w:val="20"/>
                <w:color w:val="auto"/>
              </w:rPr>
            </w:pPr>
            <w:r>
              <w:rPr>
                <w:rFonts w:ascii="Arial" w:cs="Arial" w:eastAsia="Arial" w:hAnsi="Arial"/>
                <w:sz w:val="18"/>
                <w:szCs w:val="18"/>
                <w:color w:val="auto"/>
              </w:rPr>
              <w:t>28</w:t>
            </w:r>
          </w:p>
        </w:tc>
        <w:tc>
          <w:tcPr>
            <w:tcW w:w="1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2"/>
            <w:vMerge w:val="continue"/>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following table is not intended to be all-inclusive, but rather provides information on the significant Level 3 inputs as they relate to the Company’s fair value measurements as of December 31, 2016: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140"/>
              <w:spacing w:after="0" w:line="205" w:lineRule="exact"/>
              <w:rPr>
                <w:sz w:val="20"/>
                <w:szCs w:val="20"/>
                <w:color w:val="auto"/>
              </w:rPr>
            </w:pPr>
            <w:r>
              <w:rPr>
                <w:rFonts w:ascii="Arial" w:cs="Arial" w:eastAsia="Arial" w:hAnsi="Arial"/>
                <w:sz w:val="18"/>
                <w:szCs w:val="18"/>
                <w:b w:val="1"/>
                <w:bCs w:val="1"/>
                <w:color w:val="auto"/>
                <w:w w:val="96"/>
              </w:rPr>
              <w:t>Fair</w:t>
            </w:r>
          </w:p>
        </w:tc>
        <w:tc>
          <w:tcPr>
            <w:tcW w:w="1980" w:type="dxa"/>
            <w:vAlign w:val="bottom"/>
            <w:tcBorders>
              <w:top w:val="single" w:sz="8" w:color="auto"/>
            </w:tcBorders>
          </w:tcPr>
          <w:p>
            <w:pPr>
              <w:ind w:left="220"/>
              <w:spacing w:after="0" w:line="205" w:lineRule="exact"/>
              <w:rPr>
                <w:sz w:val="20"/>
                <w:szCs w:val="20"/>
                <w:color w:val="auto"/>
              </w:rPr>
            </w:pPr>
            <w:r>
              <w:rPr>
                <w:rFonts w:ascii="Arial" w:cs="Arial" w:eastAsia="Arial" w:hAnsi="Arial"/>
                <w:sz w:val="18"/>
                <w:szCs w:val="18"/>
                <w:b w:val="1"/>
                <w:bCs w:val="1"/>
                <w:color w:val="auto"/>
                <w:w w:val="91"/>
              </w:rPr>
              <w:t>Valuation Techniques/</w:t>
            </w:r>
          </w:p>
        </w:tc>
        <w:tc>
          <w:tcPr>
            <w:tcW w:w="2300" w:type="dxa"/>
            <w:vAlign w:val="bottom"/>
            <w:tcBorders>
              <w:top w:val="single" w:sz="8" w:color="auto"/>
            </w:tcBorders>
          </w:tcPr>
          <w:p>
            <w:pPr>
              <w:ind w:left="560"/>
              <w:spacing w:after="0" w:line="205" w:lineRule="exact"/>
              <w:rPr>
                <w:sz w:val="20"/>
                <w:szCs w:val="20"/>
                <w:color w:val="auto"/>
              </w:rPr>
            </w:pPr>
            <w:r>
              <w:rPr>
                <w:rFonts w:ascii="Arial" w:cs="Arial" w:eastAsia="Arial" w:hAnsi="Arial"/>
                <w:sz w:val="18"/>
                <w:szCs w:val="18"/>
                <w:b w:val="1"/>
                <w:bCs w:val="1"/>
                <w:color w:val="auto"/>
              </w:rPr>
              <w:t>Unobservable</w:t>
            </w:r>
          </w:p>
        </w:tc>
        <w:tc>
          <w:tcPr>
            <w:tcW w:w="17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390"/>
              <w:spacing w:after="0" w:line="205" w:lineRule="exact"/>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34"/>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Investment Type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Value</w:t>
            </w:r>
          </w:p>
        </w:tc>
        <w:tc>
          <w:tcPr>
            <w:tcW w:w="1980" w:type="dxa"/>
            <w:vAlign w:val="bottom"/>
          </w:tcPr>
          <w:p>
            <w:pPr>
              <w:ind w:left="520"/>
              <w:spacing w:after="0"/>
              <w:rPr>
                <w:sz w:val="20"/>
                <w:szCs w:val="20"/>
                <w:color w:val="auto"/>
              </w:rPr>
            </w:pPr>
            <w:r>
              <w:rPr>
                <w:rFonts w:ascii="Arial" w:cs="Arial" w:eastAsia="Arial" w:hAnsi="Arial"/>
                <w:sz w:val="18"/>
                <w:szCs w:val="18"/>
                <w:b w:val="1"/>
                <w:bCs w:val="1"/>
                <w:color w:val="auto"/>
              </w:rPr>
              <w:t>Methodologies</w:t>
            </w:r>
          </w:p>
        </w:tc>
        <w:tc>
          <w:tcPr>
            <w:tcW w:w="2300" w:type="dxa"/>
            <w:vAlign w:val="bottom"/>
          </w:tcPr>
          <w:p>
            <w:pPr>
              <w:ind w:left="880"/>
              <w:spacing w:after="0"/>
              <w:rPr>
                <w:sz w:val="20"/>
                <w:szCs w:val="20"/>
                <w:color w:val="auto"/>
              </w:rPr>
            </w:pPr>
            <w:r>
              <w:rPr>
                <w:rFonts w:ascii="Arial" w:cs="Arial" w:eastAsia="Arial" w:hAnsi="Arial"/>
                <w:sz w:val="18"/>
                <w:szCs w:val="18"/>
                <w:b w:val="1"/>
                <w:bCs w:val="1"/>
                <w:color w:val="auto"/>
              </w:rPr>
              <w:t>Input</w:t>
            </w:r>
          </w:p>
        </w:tc>
        <w:tc>
          <w:tcPr>
            <w:tcW w:w="1780" w:type="dxa"/>
            <w:vAlign w:val="bottom"/>
          </w:tcPr>
          <w:p>
            <w:pPr>
              <w:ind w:left="520"/>
              <w:spacing w:after="0"/>
              <w:rPr>
                <w:sz w:val="20"/>
                <w:szCs w:val="20"/>
                <w:color w:val="auto"/>
              </w:rPr>
            </w:pPr>
            <w:r>
              <w:rPr>
                <w:rFonts w:ascii="Arial" w:cs="Arial" w:eastAsia="Arial" w:hAnsi="Arial"/>
                <w:sz w:val="18"/>
                <w:szCs w:val="18"/>
                <w:b w:val="1"/>
                <w:bCs w:val="1"/>
                <w:color w:val="auto"/>
              </w:rPr>
              <w:t>Range</w:t>
            </w:r>
          </w:p>
        </w:tc>
        <w:tc>
          <w:tcPr>
            <w:tcW w:w="1640" w:type="dxa"/>
            <w:vAlign w:val="bottom"/>
          </w:tcPr>
          <w:p>
            <w:pPr>
              <w:jc w:val="right"/>
              <w:ind w:right="45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280" w:type="dxa"/>
            <w:vAlign w:val="bottom"/>
            <w:tcBorders>
              <w:top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(Dollars in thousands, except per share data)</w:t>
            </w:r>
          </w:p>
        </w:tc>
        <w:tc>
          <w:tcPr>
            <w:tcW w:w="17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Debt investments</w:t>
            </w:r>
          </w:p>
        </w:tc>
        <w:tc>
          <w:tcPr>
            <w:tcW w:w="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174,686</w:t>
            </w:r>
          </w:p>
        </w:tc>
        <w:tc>
          <w:tcPr>
            <w:tcW w:w="19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Discounted Expected</w:t>
            </w:r>
          </w:p>
        </w:tc>
        <w:tc>
          <w:tcPr>
            <w:tcW w:w="23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Hypothetical Market Yield</w:t>
            </w:r>
          </w:p>
        </w:tc>
        <w:tc>
          <w:tcPr>
            <w:tcW w:w="1780" w:type="dxa"/>
            <w:vAlign w:val="bottom"/>
            <w:shd w:val="clear" w:color="auto" w:fill="CCEEFF"/>
          </w:tcPr>
          <w:p>
            <w:pPr>
              <w:jc w:val="center"/>
              <w:ind w:right="30"/>
              <w:spacing w:after="0" w:line="201" w:lineRule="exact"/>
              <w:rPr>
                <w:sz w:val="20"/>
                <w:szCs w:val="20"/>
                <w:color w:val="auto"/>
              </w:rPr>
            </w:pPr>
            <w:r>
              <w:rPr>
                <w:rFonts w:ascii="Arial" w:cs="Arial" w:eastAsia="Arial" w:hAnsi="Arial"/>
                <w:sz w:val="18"/>
                <w:szCs w:val="18"/>
                <w:color w:val="auto"/>
                <w:w w:val="89"/>
              </w:rPr>
              <w:t>11% – 25%</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Future Cash Flows</w:t>
            </w:r>
          </w:p>
        </w:tc>
        <w:tc>
          <w:tcPr>
            <w:tcW w:w="23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11,500</w:t>
            </w:r>
          </w:p>
        </w:tc>
        <w:tc>
          <w:tcPr>
            <w:tcW w:w="1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Liquidation Scenario</w:t>
            </w:r>
          </w:p>
        </w:tc>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Probability Weighting</w:t>
            </w:r>
          </w:p>
        </w:tc>
        <w:tc>
          <w:tcPr>
            <w:tcW w:w="17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25% – 100%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Warrant investments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5,677</w:t>
            </w:r>
          </w:p>
        </w:tc>
        <w:tc>
          <w:tcPr>
            <w:tcW w:w="1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Black-Scholes</w:t>
            </w:r>
          </w:p>
        </w:tc>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Price Per Share</w:t>
            </w:r>
          </w:p>
        </w:tc>
        <w:tc>
          <w:tcPr>
            <w:tcW w:w="17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$0.00 – $63.98</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9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Valuation Model</w:t>
            </w:r>
          </w:p>
        </w:tc>
        <w:tc>
          <w:tcPr>
            <w:tcW w:w="23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Average Industry Volatility</w:t>
            </w:r>
          </w:p>
        </w:tc>
        <w:tc>
          <w:tcPr>
            <w:tcW w:w="1780" w:type="dxa"/>
            <w:vAlign w:val="bottom"/>
            <w:shd w:val="clear" w:color="auto" w:fill="CCEEFF"/>
          </w:tcPr>
          <w:p>
            <w:pPr>
              <w:jc w:val="center"/>
              <w:ind w:right="30"/>
              <w:spacing w:after="0" w:line="201" w:lineRule="exact"/>
              <w:rPr>
                <w:sz w:val="20"/>
                <w:szCs w:val="20"/>
                <w:color w:val="auto"/>
              </w:rPr>
            </w:pPr>
            <w:r>
              <w:rPr>
                <w:rFonts w:ascii="Arial" w:cs="Arial" w:eastAsia="Arial" w:hAnsi="Arial"/>
                <w:sz w:val="18"/>
                <w:szCs w:val="18"/>
                <w:color w:val="auto"/>
                <w:w w:val="94"/>
              </w:rPr>
              <w:t>21%</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Volatility</w:t>
            </w:r>
          </w:p>
        </w:tc>
        <w:tc>
          <w:tcPr>
            <w:tcW w:w="17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Marketability Discount</w:t>
            </w:r>
          </w:p>
        </w:tc>
        <w:tc>
          <w:tcPr>
            <w:tcW w:w="17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4"/>
              </w:rPr>
              <w:t>20%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Estimated Time to Exit</w:t>
            </w:r>
          </w:p>
        </w:tc>
        <w:tc>
          <w:tcPr>
            <w:tcW w:w="1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 to 5 years</w:t>
            </w:r>
          </w:p>
        </w:tc>
        <w:tc>
          <w:tcPr>
            <w:tcW w:w="1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1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Expected Settlement</w:t>
            </w:r>
          </w:p>
        </w:tc>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Price Per Share</w:t>
            </w:r>
          </w:p>
        </w:tc>
        <w:tc>
          <w:tcPr>
            <w:tcW w:w="17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8"/>
              </w:rPr>
              <w:t>$1.78</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w:t>
            </w:r>
          </w:p>
        </w:tc>
        <w:tc>
          <w:tcPr>
            <w:tcW w:w="1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Multiple Probability</w:t>
            </w:r>
          </w:p>
        </w:tc>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Discount Rate</w:t>
            </w:r>
          </w:p>
        </w:tc>
        <w:tc>
          <w:tcPr>
            <w:tcW w:w="17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4"/>
              </w:rPr>
              <w:t>25%</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9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Weighted Cash Flow</w:t>
            </w:r>
          </w:p>
        </w:tc>
        <w:tc>
          <w:tcPr>
            <w:tcW w:w="23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Probability Weighting</w:t>
            </w:r>
          </w:p>
        </w:tc>
        <w:tc>
          <w:tcPr>
            <w:tcW w:w="1780" w:type="dxa"/>
            <w:vAlign w:val="bottom"/>
            <w:shd w:val="clear" w:color="auto" w:fill="CCEEFF"/>
          </w:tcPr>
          <w:p>
            <w:pPr>
              <w:jc w:val="center"/>
              <w:ind w:right="30"/>
              <w:spacing w:after="0" w:line="201" w:lineRule="exact"/>
              <w:rPr>
                <w:sz w:val="20"/>
                <w:szCs w:val="20"/>
                <w:color w:val="auto"/>
              </w:rPr>
            </w:pPr>
            <w:r>
              <w:rPr>
                <w:rFonts w:ascii="Arial" w:cs="Arial" w:eastAsia="Arial" w:hAnsi="Arial"/>
                <w:sz w:val="18"/>
                <w:szCs w:val="18"/>
                <w:color w:val="auto"/>
                <w:w w:val="92"/>
              </w:rPr>
              <w:t>25% – 100%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Model</w:t>
            </w:r>
          </w:p>
        </w:tc>
        <w:tc>
          <w:tcPr>
            <w:tcW w:w="23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w:t>
            </w:r>
          </w:p>
        </w:tc>
        <w:tc>
          <w:tcPr>
            <w:tcW w:w="1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Last Equity Financing</w:t>
            </w:r>
          </w:p>
        </w:tc>
        <w:tc>
          <w:tcPr>
            <w:tcW w:w="2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Price Per Share</w:t>
            </w:r>
          </w:p>
        </w:tc>
        <w:tc>
          <w:tcPr>
            <w:tcW w:w="17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8"/>
              </w:rPr>
              <w:t>$0.04 – $1.00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Total Level 3 investments</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192,911</w:t>
            </w:r>
          </w:p>
        </w:tc>
        <w:tc>
          <w:tcPr>
            <w:tcW w:w="20" w:type="dxa"/>
            <w:vAlign w:val="bottom"/>
            <w:tcBorders>
              <w:bottom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1"/>
        <w:spacing w:after="0" w:line="271" w:lineRule="auto"/>
        <w:rPr>
          <w:sz w:val="20"/>
          <w:szCs w:val="20"/>
          <w:color w:val="auto"/>
        </w:rPr>
      </w:pPr>
      <w:r>
        <w:rPr>
          <w:rFonts w:ascii="Arial" w:cs="Arial" w:eastAsia="Arial" w:hAnsi="Arial"/>
          <w:sz w:val="17"/>
          <w:szCs w:val="17"/>
          <w:i w:val="1"/>
          <w:iCs w:val="1"/>
          <w:color w:val="auto"/>
        </w:rPr>
        <w:t xml:space="preserve">Borrowings: </w:t>
      </w:r>
      <w:r>
        <w:rPr>
          <w:rFonts w:ascii="Arial" w:cs="Arial" w:eastAsia="Arial" w:hAnsi="Arial"/>
          <w:sz w:val="17"/>
          <w:szCs w:val="17"/>
          <w:color w:val="auto"/>
        </w:rPr>
        <w:t>The carrying amount of borrowings under the Company’s revolving credit facility (the “Key Facility”) with KeyBank National</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Association (“Key”) approximates fair value due to the variable interest rate of the Key Facility and is categorized as Level 2 within the fair value hierarchy described above. Additionally, the Company considers its creditworthiness in determining the fair value of such borrowings. The fair value of the fixed rate 2019 Notes (as defined in Note 7) is based on the closing public share price on the date of measurement. On September 30, 2017, the closing price of the 2019 Notes on the New York Stock Exchange was $25.18 per note, or $33.2 million. Therefore, the Company has categorized this borrowing as Level 1 within the fair value hierarchy described above. The fair value of the fixed rate 2022 Notes (as defined in Note 7) is based on the price of the public offering completed on September 29, 2017 of $25.00 per note, or $32.5 million. The 2022 Notes will trade on the New York Stock Exchange under the symbol “HTFA”. Therefore, the Company has categorized this borrowing as Level 1 within the fair value hierarchy described above.</w:t>
      </w:r>
    </w:p>
    <w:p>
      <w:pPr>
        <w:spacing w:after="0" w:line="179"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i w:val="1"/>
          <w:iCs w:val="1"/>
          <w:color w:val="auto"/>
        </w:rPr>
        <w:t xml:space="preserve">Off-balance-sheet instruments: </w:t>
      </w:r>
      <w:r>
        <w:rPr>
          <w:rFonts w:ascii="Arial" w:cs="Arial" w:eastAsia="Arial" w:hAnsi="Arial"/>
          <w:sz w:val="18"/>
          <w:szCs w:val="18"/>
          <w:color w:val="auto"/>
        </w:rPr>
        <w:t>Fair values for off-balance-sheet lending commitments are based on fees currently charged to enter into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taking into account the remaining terms of the agreements and the counterparties’ credit standings. Therefore, the Company has categorized these instruments as Level 3 within the fair value hierarchy described above.</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detail the assets that are carried at fair value and measured at fair value on a recurring basis as of September 30, 2017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indicate the fair value hierarchy of the valuation techniques utilized by the Company to determine the fair value:</w:t>
      </w:r>
    </w:p>
    <w:p>
      <w:pPr>
        <w:spacing w:after="0" w:line="220"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 2017</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18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161,292</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161,292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Warrant investments</w:t>
            </w:r>
          </w:p>
        </w:tc>
        <w:tc>
          <w:tcPr>
            <w:tcW w:w="16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00" w:type="dxa"/>
            <w:vAlign w:val="bottom"/>
            <w:tcBorders>
              <w:bottom w:val="single" w:sz="8" w:color="CCEEFF"/>
            </w:tcBorders>
            <w:vMerge w:val="continue"/>
          </w:tcPr>
          <w:p>
            <w:pPr>
              <w:spacing w:after="0"/>
              <w:rPr>
                <w:sz w:val="20"/>
                <w:szCs w:val="20"/>
                <w:color w:val="auto"/>
              </w:rPr>
            </w:pPr>
          </w:p>
        </w:tc>
        <w:tc>
          <w:tcPr>
            <w:tcW w:w="16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8,101</w:t>
            </w:r>
          </w:p>
        </w:tc>
        <w:tc>
          <w:tcPr>
            <w:tcW w:w="2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1,387</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6,714</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Other investments</w:t>
            </w:r>
          </w:p>
        </w:tc>
        <w:tc>
          <w:tcPr>
            <w:tcW w:w="16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5,900</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5,900</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vMerge w:val="restart"/>
          </w:tcPr>
          <w:p>
            <w:pPr>
              <w:spacing w:after="0"/>
              <w:rPr>
                <w:sz w:val="20"/>
                <w:szCs w:val="20"/>
                <w:color w:val="auto"/>
              </w:rPr>
            </w:pPr>
            <w:r>
              <w:rPr>
                <w:rFonts w:ascii="Arial" w:cs="Arial" w:eastAsia="Arial" w:hAnsi="Arial"/>
                <w:sz w:val="18"/>
                <w:szCs w:val="18"/>
                <w:color w:val="auto"/>
              </w:rPr>
              <w:t>Equity investments</w:t>
            </w:r>
          </w:p>
        </w:tc>
        <w:tc>
          <w:tcPr>
            <w:tcW w:w="16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10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1,411</w:t>
            </w:r>
          </w:p>
        </w:tc>
        <w:tc>
          <w:tcPr>
            <w:tcW w:w="2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1,203</w:t>
            </w:r>
          </w:p>
        </w:tc>
        <w:tc>
          <w:tcPr>
            <w:tcW w:w="2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December 31, 2016</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3</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19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186,186</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186,186</w:t>
            </w:r>
          </w:p>
        </w:tc>
        <w:tc>
          <w:tcPr>
            <w:tcW w:w="80" w:type="dxa"/>
            <w:vAlign w:val="bottom"/>
            <w:shd w:val="clear" w:color="auto" w:fill="CCEEFF"/>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Warrant investments</w:t>
            </w:r>
          </w:p>
        </w:tc>
        <w:tc>
          <w:tcPr>
            <w:tcW w:w="166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p>
        </w:tc>
        <w:tc>
          <w:tcPr>
            <w:tcW w:w="3100" w:type="dxa"/>
            <w:vAlign w:val="bottom"/>
            <w:tcBorders>
              <w:bottom w:val="single" w:sz="8" w:color="CCEEFF"/>
            </w:tcBorders>
            <w:vMerge w:val="continue"/>
          </w:tcPr>
          <w:p>
            <w:pPr>
              <w:spacing w:after="0"/>
              <w:rPr>
                <w:sz w:val="20"/>
                <w:szCs w:val="20"/>
                <w:color w:val="auto"/>
              </w:rPr>
            </w:pPr>
          </w:p>
        </w:tc>
        <w:tc>
          <w:tcPr>
            <w:tcW w:w="166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6,362</w:t>
            </w:r>
          </w:p>
        </w:tc>
        <w:tc>
          <w:tcPr>
            <w:tcW w:w="2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505</w:t>
            </w:r>
          </w:p>
        </w:tc>
        <w:tc>
          <w:tcPr>
            <w:tcW w:w="1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5,857</w:t>
            </w:r>
          </w:p>
        </w:tc>
        <w:tc>
          <w:tcPr>
            <w:tcW w:w="80" w:type="dxa"/>
            <w:vAlign w:val="bottom"/>
            <w:tcBorders>
              <w:bottom w:val="single" w:sz="8" w:color="CCEEFF"/>
            </w:tcBorders>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31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Other investments</w:t>
            </w:r>
          </w:p>
        </w:tc>
        <w:tc>
          <w:tcPr>
            <w:tcW w:w="16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00" w:type="dxa"/>
            <w:vAlign w:val="bottom"/>
            <w:vMerge w:val="restart"/>
          </w:tcPr>
          <w:p>
            <w:pPr>
              <w:spacing w:after="0"/>
              <w:rPr>
                <w:sz w:val="20"/>
                <w:szCs w:val="20"/>
                <w:color w:val="auto"/>
              </w:rPr>
            </w:pPr>
            <w:r>
              <w:rPr>
                <w:rFonts w:ascii="Arial" w:cs="Arial" w:eastAsia="Arial" w:hAnsi="Arial"/>
                <w:sz w:val="18"/>
                <w:szCs w:val="18"/>
                <w:color w:val="auto"/>
              </w:rPr>
              <w:t>Equity investments</w:t>
            </w:r>
          </w:p>
        </w:tc>
        <w:tc>
          <w:tcPr>
            <w:tcW w:w="16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 w:type="dxa"/>
            <w:vAlign w:val="bottom"/>
          </w:tcPr>
          <w:p>
            <w:pPr>
              <w:spacing w:after="0"/>
              <w:rPr>
                <w:sz w:val="17"/>
                <w:szCs w:val="17"/>
                <w:color w:val="auto"/>
              </w:rPr>
            </w:pPr>
          </w:p>
        </w:tc>
        <w:tc>
          <w:tcPr>
            <w:tcW w:w="310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855</w:t>
            </w:r>
          </w:p>
        </w:tc>
        <w:tc>
          <w:tcPr>
            <w:tcW w:w="2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587</w:t>
            </w:r>
          </w:p>
        </w:tc>
        <w:tc>
          <w:tcPr>
            <w:tcW w:w="2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8"/>
                <w:szCs w:val="18"/>
                <w:color w:val="auto"/>
              </w:rPr>
              <w:t>29</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684"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firstLine="401"/>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three months ended September 30, 2017:</w:t>
      </w:r>
    </w:p>
    <w:p>
      <w:pPr>
        <w:spacing w:after="0" w:line="180"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10"/>
          </w:tcPr>
          <w:p>
            <w:pPr>
              <w:jc w:val="right"/>
              <w:ind w:right="520"/>
              <w:spacing w:after="0"/>
              <w:rPr>
                <w:sz w:val="20"/>
                <w:szCs w:val="20"/>
                <w:color w:val="auto"/>
              </w:rPr>
            </w:pPr>
            <w:r>
              <w:rPr>
                <w:rFonts w:ascii="Arial" w:cs="Arial" w:eastAsia="Arial" w:hAnsi="Arial"/>
                <w:sz w:val="18"/>
                <w:szCs w:val="18"/>
                <w:b w:val="1"/>
                <w:bCs w:val="1"/>
                <w:color w:val="auto"/>
                <w:w w:val="94"/>
              </w:rPr>
              <w:t>Three Months Ended September 30, 2017</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620"/>
              <w:spacing w:after="0" w:line="191" w:lineRule="exact"/>
              <w:rPr>
                <w:sz w:val="20"/>
                <w:szCs w:val="20"/>
                <w:color w:val="auto"/>
              </w:rPr>
            </w:pPr>
            <w:r>
              <w:rPr>
                <w:rFonts w:ascii="Arial" w:cs="Arial" w:eastAsia="Arial" w:hAnsi="Arial"/>
                <w:sz w:val="18"/>
                <w:szCs w:val="18"/>
                <w:b w:val="1"/>
                <w:bCs w:val="1"/>
                <w:color w:val="auto"/>
              </w:rPr>
              <w:t>Debt</w:t>
            </w:r>
          </w:p>
        </w:tc>
        <w:tc>
          <w:tcPr>
            <w:tcW w:w="100" w:type="dxa"/>
            <w:vAlign w:val="bottom"/>
          </w:tcPr>
          <w:p>
            <w:pPr>
              <w:spacing w:after="0"/>
              <w:rPr>
                <w:sz w:val="16"/>
                <w:szCs w:val="16"/>
                <w:color w:val="auto"/>
              </w:rPr>
            </w:pPr>
          </w:p>
        </w:tc>
        <w:tc>
          <w:tcPr>
            <w:tcW w:w="114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rPr>
              <w:t>Warrant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Investments</w:t>
            </w: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Investments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5"/>
              </w:rPr>
              <w:t>Investments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Investments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0"/>
        </w:trPr>
        <w:tc>
          <w:tcPr>
            <w:tcW w:w="3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w w:val="93"/>
              </w:rPr>
              <w:t>(In thousands)</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164,895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177,110</w:t>
            </w:r>
          </w:p>
        </w:tc>
        <w:tc>
          <w:tcPr>
            <w:tcW w:w="8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18,321</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18,321</w:t>
            </w:r>
          </w:p>
        </w:tc>
        <w:tc>
          <w:tcPr>
            <w:tcW w:w="80" w:type="dxa"/>
            <w:vAlign w:val="bottom"/>
          </w:tcPr>
          <w:p>
            <w:pPr>
              <w:spacing w:after="0"/>
              <w:rPr>
                <w:sz w:val="18"/>
                <w:szCs w:val="18"/>
                <w:color w:val="auto"/>
              </w:rPr>
            </w:pPr>
          </w:p>
        </w:tc>
      </w:tr>
      <w:tr>
        <w:trPr>
          <w:trHeight w:val="202"/>
        </w:trPr>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Warrants and equity received and classified as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Level 3</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20"/>
                <w:szCs w:val="20"/>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(19,778)</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(19,802)</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r>
      <w:tr>
        <w:trPr>
          <w:trHeight w:val="202"/>
        </w:trPr>
        <w:tc>
          <w:tcPr>
            <w:tcW w:w="3700" w:type="dxa"/>
            <w:vAlign w:val="bottom"/>
          </w:tcPr>
          <w:p>
            <w:pPr>
              <w:spacing w:after="0" w:line="201" w:lineRule="exact"/>
              <w:rPr>
                <w:sz w:val="20"/>
                <w:szCs w:val="20"/>
                <w:color w:val="auto"/>
              </w:rPr>
            </w:pPr>
            <w:r>
              <w:rPr>
                <w:rFonts w:ascii="Arial" w:cs="Arial" w:eastAsia="Arial" w:hAnsi="Arial"/>
                <w:sz w:val="18"/>
                <w:szCs w:val="18"/>
                <w:color w:val="auto"/>
                <w:w w:val="97"/>
              </w:rPr>
              <w:t>Unrealized (depreciation) appreciation included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700" w:type="dxa"/>
            <w:vAlign w:val="bottom"/>
          </w:tcPr>
          <w:p>
            <w:pPr>
              <w:ind w:left="160"/>
              <w:spacing w:after="0"/>
              <w:rPr>
                <w:sz w:val="20"/>
                <w:szCs w:val="20"/>
                <w:color w:val="auto"/>
              </w:rPr>
            </w:pPr>
            <w:r>
              <w:rPr>
                <w:rFonts w:ascii="Arial" w:cs="Arial" w:eastAsia="Arial" w:hAnsi="Arial"/>
                <w:sz w:val="18"/>
                <w:szCs w:val="18"/>
                <w:color w:val="auto"/>
              </w:rPr>
              <w:t>in earnings</w:t>
            </w: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(1,186)</w:t>
            </w: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Level 3 assets,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161,292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01"/>
        <w:spacing w:after="0" w:line="277" w:lineRule="auto"/>
        <w:rPr>
          <w:sz w:val="20"/>
          <w:szCs w:val="20"/>
          <w:color w:val="auto"/>
        </w:rPr>
      </w:pPr>
      <w:r>
        <w:rPr>
          <w:rFonts w:ascii="Arial" w:cs="Arial" w:eastAsia="Arial" w:hAnsi="Arial"/>
          <w:sz w:val="18"/>
          <w:szCs w:val="18"/>
          <w:color w:val="auto"/>
        </w:rPr>
        <w:t>The Company’s transfers between levels are recognized at the end of each reporting period. During the three months ended September 30, 2017, there were no transfers between levels.</w:t>
      </w:r>
    </w:p>
    <w:p>
      <w:pPr>
        <w:spacing w:after="0" w:line="170" w:lineRule="exact"/>
        <w:rPr>
          <w:sz w:val="20"/>
          <w:szCs w:val="20"/>
          <w:color w:val="auto"/>
        </w:rPr>
      </w:pPr>
    </w:p>
    <w:p>
      <w:pPr>
        <w:ind w:firstLine="401"/>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three months ended September 30, 2016:</w:t>
      </w:r>
    </w:p>
    <w:p>
      <w:pPr>
        <w:spacing w:after="0" w:line="180"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10"/>
          </w:tcPr>
          <w:p>
            <w:pPr>
              <w:jc w:val="right"/>
              <w:ind w:right="460"/>
              <w:spacing w:after="0"/>
              <w:rPr>
                <w:sz w:val="20"/>
                <w:szCs w:val="20"/>
                <w:color w:val="auto"/>
              </w:rPr>
            </w:pPr>
            <w:r>
              <w:rPr>
                <w:rFonts w:ascii="Arial" w:cs="Arial" w:eastAsia="Arial" w:hAnsi="Arial"/>
                <w:sz w:val="18"/>
                <w:szCs w:val="18"/>
                <w:b w:val="1"/>
                <w:bCs w:val="1"/>
                <w:color w:val="auto"/>
                <w:w w:val="94"/>
              </w:rPr>
              <w:t>Three Months Ended September 30, 2016</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620"/>
              <w:spacing w:after="0" w:line="191" w:lineRule="exact"/>
              <w:rPr>
                <w:sz w:val="20"/>
                <w:szCs w:val="20"/>
                <w:color w:val="auto"/>
              </w:rPr>
            </w:pPr>
            <w:r>
              <w:rPr>
                <w:rFonts w:ascii="Arial" w:cs="Arial" w:eastAsia="Arial" w:hAnsi="Arial"/>
                <w:sz w:val="18"/>
                <w:szCs w:val="18"/>
                <w:b w:val="1"/>
                <w:bCs w:val="1"/>
                <w:color w:val="auto"/>
              </w:rPr>
              <w:t>Debt</w:t>
            </w:r>
          </w:p>
        </w:tc>
        <w:tc>
          <w:tcPr>
            <w:tcW w:w="100" w:type="dxa"/>
            <w:vAlign w:val="bottom"/>
          </w:tcPr>
          <w:p>
            <w:pPr>
              <w:spacing w:after="0"/>
              <w:rPr>
                <w:sz w:val="16"/>
                <w:szCs w:val="16"/>
                <w:color w:val="auto"/>
              </w:rPr>
            </w:pPr>
          </w:p>
        </w:tc>
        <w:tc>
          <w:tcPr>
            <w:tcW w:w="114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rPr>
              <w:t>Warrant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Other</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Investments</w:t>
            </w: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Investments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5"/>
              </w:rPr>
              <w:t>Investments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Investments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0"/>
        </w:trPr>
        <w:tc>
          <w:tcPr>
            <w:tcW w:w="3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w w:val="93"/>
              </w:rPr>
              <w:t>(In thousands)</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226,963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232,638</w:t>
            </w:r>
          </w:p>
        </w:tc>
        <w:tc>
          <w:tcPr>
            <w:tcW w:w="10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13,536</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13,536</w:t>
            </w:r>
          </w:p>
        </w:tc>
      </w:tr>
      <w:tr>
        <w:trPr>
          <w:trHeight w:val="202"/>
        </w:trPr>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Warrants and equity received and classified as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Level 3</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(28,775)</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(28,800)</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Net realized gain on investments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Unrealized depreciation included in earnings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(10,537)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(10,805)</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r>
      <w:tr>
        <w:trPr>
          <w:trHeight w:val="223"/>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Level 3 assets,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01"/>
        <w:spacing w:after="0" w:line="277" w:lineRule="auto"/>
        <w:rPr>
          <w:sz w:val="20"/>
          <w:szCs w:val="20"/>
          <w:color w:val="auto"/>
        </w:rPr>
      </w:pPr>
      <w:r>
        <w:rPr>
          <w:rFonts w:ascii="Arial" w:cs="Arial" w:eastAsia="Arial" w:hAnsi="Arial"/>
          <w:sz w:val="18"/>
          <w:szCs w:val="18"/>
          <w:color w:val="auto"/>
        </w:rPr>
        <w:t>The Company’s transfers between levels are recognized at the end of each reporting period. During the three months ended September 30, 2016, there were no transfers between levels.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nine months ended September 30, 2017:</w:t>
      </w:r>
    </w:p>
    <w:p>
      <w:pPr>
        <w:spacing w:after="0" w:line="180"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10"/>
          </w:tcPr>
          <w:p>
            <w:pPr>
              <w:jc w:val="right"/>
              <w:ind w:right="600"/>
              <w:spacing w:after="0"/>
              <w:rPr>
                <w:sz w:val="20"/>
                <w:szCs w:val="20"/>
                <w:color w:val="auto"/>
              </w:rPr>
            </w:pPr>
            <w:r>
              <w:rPr>
                <w:rFonts w:ascii="Arial" w:cs="Arial" w:eastAsia="Arial" w:hAnsi="Arial"/>
                <w:sz w:val="18"/>
                <w:szCs w:val="18"/>
                <w:b w:val="1"/>
                <w:bCs w:val="1"/>
                <w:color w:val="auto"/>
                <w:w w:val="97"/>
              </w:rPr>
              <w:t>Nine Months Ended September 30, 2017</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Debt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rPr>
              <w:t>Warrant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Investments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186,186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192,911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66,311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66,311</w:t>
            </w: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Warrants and equity received and classified as</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Level 3</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(79,961)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(80,062)</w:t>
            </w: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(1,537)</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Net realized (loss) gain on investments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(11,162)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(10,531)</w:t>
            </w:r>
          </w:p>
        </w:tc>
      </w:tr>
      <w:tr>
        <w:trPr>
          <w:trHeight w:val="202"/>
        </w:trPr>
        <w:tc>
          <w:tcPr>
            <w:tcW w:w="20" w:type="dxa"/>
            <w:vAlign w:val="bottom"/>
          </w:tcPr>
          <w:p>
            <w:pPr>
              <w:spacing w:after="0"/>
              <w:rPr>
                <w:sz w:val="17"/>
                <w:szCs w:val="17"/>
                <w:color w:val="auto"/>
              </w:rPr>
            </w:pPr>
          </w:p>
        </w:tc>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Unrealized appreciation (depreciation) included in</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earnings</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8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680" w:type="dxa"/>
            <w:vAlign w:val="bottom"/>
          </w:tcPr>
          <w:p>
            <w:pPr>
              <w:spacing w:after="0" w:line="201" w:lineRule="exact"/>
              <w:rPr>
                <w:sz w:val="20"/>
                <w:szCs w:val="20"/>
                <w:color w:val="auto"/>
              </w:rPr>
            </w:pPr>
            <w:r>
              <w:rPr>
                <w:rFonts w:ascii="Arial" w:cs="Arial" w:eastAsia="Arial" w:hAnsi="Arial"/>
                <w:sz w:val="18"/>
                <w:szCs w:val="18"/>
                <w:color w:val="auto"/>
              </w:rPr>
              <w:t>Transfer from debt investments to other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80"/>
              <w:spacing w:after="0"/>
              <w:rPr>
                <w:sz w:val="20"/>
                <w:szCs w:val="20"/>
                <w:color w:val="auto"/>
              </w:rPr>
            </w:pPr>
            <w:r>
              <w:rPr>
                <w:rFonts w:ascii="Arial" w:cs="Arial" w:eastAsia="Arial" w:hAnsi="Arial"/>
                <w:sz w:val="18"/>
                <w:szCs w:val="18"/>
                <w:color w:val="auto"/>
              </w:rPr>
              <w:t>investments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(5,300)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(1,031)</w:t>
            </w: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Level 3 assets, end of period</w:t>
            </w: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174,114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Company’s transfers between levels are recognized at the end of each reporting period. During the nine months ended September 30, 2017, there were no transfers between levels.</w:t>
      </w:r>
    </w:p>
    <w:p>
      <w:pPr>
        <w:spacing w:after="0" w:line="17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change in unrealized appreciation included in the consolidated statement of operations attributable to Level 3 investments still held at September 30, 2017 includes $4.5 million in unrealized depreciation on debt and other investments, $0.01 million in unrealized depreciation on warrant investments and $0.01 million in unrealized appreciation on equity investments.</w:t>
      </w:r>
    </w:p>
    <w:p>
      <w:pPr>
        <w:spacing w:after="0" w:line="18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nine months ended September 30, 2016:</w:t>
      </w:r>
    </w:p>
    <w:p>
      <w:pPr>
        <w:spacing w:after="0" w:line="180"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10"/>
          </w:tcPr>
          <w:p>
            <w:pPr>
              <w:jc w:val="right"/>
              <w:ind w:right="600"/>
              <w:spacing w:after="0"/>
              <w:rPr>
                <w:sz w:val="20"/>
                <w:szCs w:val="20"/>
                <w:color w:val="auto"/>
              </w:rPr>
            </w:pPr>
            <w:r>
              <w:rPr>
                <w:rFonts w:ascii="Arial" w:cs="Arial" w:eastAsia="Arial" w:hAnsi="Arial"/>
                <w:sz w:val="18"/>
                <w:szCs w:val="18"/>
                <w:b w:val="1"/>
                <w:bCs w:val="1"/>
                <w:color w:val="auto"/>
                <w:w w:val="97"/>
              </w:rPr>
              <w:t>Nine Months Ended September 30, 2016</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Debt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rPr>
              <w:t>Warrant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Investments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242,167</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5,793</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248,576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45,223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45,223</w:t>
            </w: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Warrants and equity received and classified as</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Level 3</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(69,235)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(69,315)</w:t>
            </w: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(939)</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Net realized (loss) gain on investments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(3,093)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(2,783)</w:t>
            </w:r>
          </w:p>
        </w:tc>
      </w:tr>
      <w:tr>
        <w:trPr>
          <w:trHeight w:val="202"/>
        </w:trPr>
        <w:tc>
          <w:tcPr>
            <w:tcW w:w="20" w:type="dxa"/>
            <w:vAlign w:val="bottom"/>
          </w:tcPr>
          <w:p>
            <w:pPr>
              <w:spacing w:after="0"/>
              <w:rPr>
                <w:sz w:val="17"/>
                <w:szCs w:val="17"/>
                <w:color w:val="auto"/>
              </w:rPr>
            </w:pPr>
          </w:p>
        </w:tc>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Unrealized (depreciation) appreciation included in</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earnings</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(13,566)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(14,472)</w:t>
            </w:r>
          </w:p>
        </w:tc>
      </w:tr>
      <w:tr>
        <w:trPr>
          <w:trHeight w:val="202"/>
        </w:trPr>
        <w:tc>
          <w:tcPr>
            <w:tcW w:w="20" w:type="dxa"/>
            <w:vAlign w:val="bottom"/>
          </w:tcPr>
          <w:p>
            <w:pPr>
              <w:spacing w:after="0"/>
              <w:rPr>
                <w:sz w:val="17"/>
                <w:szCs w:val="17"/>
                <w:color w:val="auto"/>
              </w:rPr>
            </w:pPr>
          </w:p>
        </w:tc>
        <w:tc>
          <w:tcPr>
            <w:tcW w:w="3680" w:type="dxa"/>
            <w:vAlign w:val="bottom"/>
          </w:tcPr>
          <w:p>
            <w:pPr>
              <w:spacing w:after="0" w:line="201" w:lineRule="exact"/>
              <w:rPr>
                <w:sz w:val="20"/>
                <w:szCs w:val="20"/>
                <w:color w:val="auto"/>
              </w:rPr>
            </w:pPr>
            <w:r>
              <w:rPr>
                <w:rFonts w:ascii="Arial" w:cs="Arial" w:eastAsia="Arial" w:hAnsi="Arial"/>
                <w:sz w:val="18"/>
                <w:szCs w:val="18"/>
                <w:color w:val="auto"/>
              </w:rPr>
              <w:t>Transfer from debt investments to other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80"/>
              <w:spacing w:after="0"/>
              <w:rPr>
                <w:sz w:val="20"/>
                <w:szCs w:val="20"/>
                <w:color w:val="auto"/>
              </w:rPr>
            </w:pPr>
            <w:r>
              <w:rPr>
                <w:rFonts w:ascii="Arial" w:cs="Arial" w:eastAsia="Arial" w:hAnsi="Arial"/>
                <w:sz w:val="18"/>
                <w:szCs w:val="18"/>
                <w:color w:val="auto"/>
              </w:rPr>
              <w:t>investments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Level 3 assets, end of period</w:t>
            </w: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206,711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Company’s transfers between levels are recognized at the end of each reporting period. During the nine months ended September 30, 2016, there were no transfers between levels.</w:t>
      </w:r>
    </w:p>
    <w:p>
      <w:pPr>
        <w:spacing w:after="0" w:line="17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change in unrealized depreciation included in the consolidated statement of operations attributable to Level 3 investments still held at September 30, 2016 includes $15.8 million in unrealized depreciation on debt and other investments, $0.8 million in unrealized depreciation on warrant investments and $0.1 million in unrealized appreciation on equity investments.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discloses fair value information about financial instruments, whether or not recognized in the consolidated statement of assets and liabilities, for which it is practicable to estimate that value. Certain financial instruments are excluded from the disclosure requirements. Accordingly, the aggregate fair value amounts presented do not represent the underlying value of the Company.</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fair value amounts for 2017 and 2016 have been measured as of the reporting date and have not been reevaluated or updated for purposes of these financial statements subsequent to that date. As such, the fair values of these financial instruments subsequent to the reporting date may be different than amounts reported.</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2017 and December 31, 2016, the recorded balances equaled fair values of all the Company’s financial instruments, except for the Company’s 2019 Notes and 2022 Notes, as previously described.</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Off-balance-sheet instruments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assumes interest rate risk (the risk that general interest rate levels will change) as a result of its normal operations. As a result, the fair values of the Company’s financial instruments will change when interest rate levels change, and that change may be either favorable or unfavorable to the Company. Management attempts to match maturities of assets and liabilities to the extent believed necessary to minimize interest rate risk. Management monitors rates and maturities of assets and liabilities and attempts to minimize interest rate risk by adjusting terms of new debt investments and by investing in securities with terms that mitigate the Company’s overall interest rate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Borrowings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Company’s borrowings as of September 30, 2017 and December 31,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7"/>
          </w:tcPr>
          <w:p>
            <w:pPr>
              <w:ind w:left="760"/>
              <w:spacing w:after="0"/>
              <w:rPr>
                <w:sz w:val="20"/>
                <w:szCs w:val="20"/>
                <w:color w:val="auto"/>
              </w:rPr>
            </w:pPr>
            <w:r>
              <w:rPr>
                <w:rFonts w:ascii="Arial" w:cs="Arial" w:eastAsia="Arial" w:hAnsi="Arial"/>
                <w:sz w:val="18"/>
                <w:szCs w:val="18"/>
                <w:b w:val="1"/>
                <w:bCs w:val="1"/>
                <w:color w:val="auto"/>
                <w:w w:val="93"/>
              </w:rPr>
              <w:t>September 30, 2017</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7"/>
          </w:tcPr>
          <w:p>
            <w:pPr>
              <w:ind w:left="800"/>
              <w:spacing w:after="0"/>
              <w:rPr>
                <w:sz w:val="20"/>
                <w:szCs w:val="20"/>
                <w:color w:val="auto"/>
              </w:rPr>
            </w:pPr>
            <w:r>
              <w:rPr>
                <w:rFonts w:ascii="Arial" w:cs="Arial" w:eastAsia="Arial" w:hAnsi="Arial"/>
                <w:sz w:val="18"/>
                <w:szCs w:val="18"/>
                <w:b w:val="1"/>
                <w:bCs w:val="1"/>
                <w:color w:val="auto"/>
                <w:w w:val="96"/>
              </w:rPr>
              <w:t>December 31, 2016</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6"/>
                <w:szCs w:val="16"/>
                <w:color w:val="auto"/>
              </w:rPr>
            </w:pPr>
          </w:p>
        </w:tc>
        <w:tc>
          <w:tcPr>
            <w:tcW w:w="100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2"/>
              </w:rPr>
              <w:t>Balance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0"/>
              </w:rPr>
              <w:t>Unused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120"/>
              <w:spacing w:after="0" w:line="191"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6"/>
                <w:szCs w:val="16"/>
                <w:color w:val="auto"/>
              </w:rPr>
            </w:pPr>
          </w:p>
        </w:tc>
        <w:tc>
          <w:tcPr>
            <w:tcW w:w="106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2"/>
              </w:rPr>
              <w:t>Balance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3"/>
              </w:rPr>
              <w:t>Unused</w:t>
            </w:r>
          </w:p>
        </w:tc>
        <w:tc>
          <w:tcPr>
            <w:tcW w:w="100" w:type="dxa"/>
            <w:vAlign w:val="bottom"/>
            <w:gridSpan w:val="2"/>
          </w:tcPr>
          <w:p>
            <w:pPr>
              <w:spacing w:after="0"/>
              <w:rPr>
                <w:sz w:val="16"/>
                <w:szCs w:val="16"/>
                <w:color w:val="auto"/>
              </w:rPr>
            </w:pPr>
          </w:p>
        </w:tc>
      </w:tr>
      <w:tr>
        <w:trPr>
          <w:trHeight w:val="234"/>
        </w:trPr>
        <w:tc>
          <w:tcPr>
            <w:tcW w:w="378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Commitment</w:t>
            </w: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Outstanding</w:t>
            </w:r>
          </w:p>
        </w:tc>
        <w:tc>
          <w:tcPr>
            <w:tcW w:w="120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Commitment</w:t>
            </w:r>
          </w:p>
        </w:tc>
        <w:tc>
          <w:tcPr>
            <w:tcW w:w="134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Commitment</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Outstanding</w:t>
            </w:r>
          </w:p>
        </w:tc>
        <w:tc>
          <w:tcPr>
            <w:tcW w:w="1120" w:type="dxa"/>
            <w:vAlign w:val="bottom"/>
            <w:gridSpan w:val="5"/>
          </w:tcPr>
          <w:p>
            <w:pPr>
              <w:spacing w:after="0"/>
              <w:rPr>
                <w:sz w:val="20"/>
                <w:szCs w:val="20"/>
                <w:color w:val="auto"/>
              </w:rPr>
            </w:pPr>
            <w:r>
              <w:rPr>
                <w:rFonts w:ascii="Arial" w:cs="Arial" w:eastAsia="Arial" w:hAnsi="Arial"/>
                <w:sz w:val="18"/>
                <w:szCs w:val="18"/>
                <w:b w:val="1"/>
                <w:bCs w:val="1"/>
                <w:color w:val="auto"/>
                <w:w w:val="99"/>
              </w:rPr>
              <w:t>Commitment</w:t>
            </w:r>
          </w:p>
        </w:tc>
      </w:tr>
      <w:tr>
        <w:trPr>
          <w:trHeight w:val="210"/>
        </w:trPr>
        <w:tc>
          <w:tcPr>
            <w:tcW w:w="37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gridSpan w:val="5"/>
          </w:tcPr>
          <w:p>
            <w:pPr>
              <w:jc w:val="right"/>
              <w:ind w:right="47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Key Facility</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95,000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63,000</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32,000</w:t>
            </w:r>
          </w:p>
        </w:tc>
        <w:tc>
          <w:tcPr>
            <w:tcW w:w="8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2019 Notes</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33,000</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33,000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33,000</w:t>
            </w: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33,000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2022 Notes</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32,500</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before debt issuance costs</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160,500</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128,000</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96,000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82"/>
        </w:trPr>
        <w:tc>
          <w:tcPr>
            <w:tcW w:w="37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Unamortized debt issuance costs attributable to</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44"/>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term borrowings</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borrowings outstanding, net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160,500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128,000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95,597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1"/>
        <w:spacing w:after="0" w:line="342" w:lineRule="auto"/>
        <w:rPr>
          <w:sz w:val="20"/>
          <w:szCs w:val="20"/>
          <w:color w:val="auto"/>
        </w:rPr>
      </w:pPr>
      <w:r>
        <w:rPr>
          <w:rFonts w:ascii="Arial" w:cs="Arial" w:eastAsia="Arial" w:hAnsi="Arial"/>
          <w:sz w:val="16"/>
          <w:szCs w:val="16"/>
          <w:color w:val="auto"/>
        </w:rPr>
        <w:t>In accordance with the 1940 Act, with certain limited exceptions, the Company is only allowed to borrow amounts such that the Company’s asset coverage, as defined in the 1940 Act, is at least 200% after such borrowings. As of September 30, 2017, the asset coverage for borrowed amounts was 308%.</w:t>
      </w:r>
    </w:p>
    <w:p>
      <w:pPr>
        <w:spacing w:after="0" w:line="12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Company entered into the Key Facility with Key effective November 4, 2013. The Key Facility has an accordion feature which allows for an increase in the total loan commitment to $150 million from the current $95 million commitment. The Key Facility is collateralized by all debt investments and warrants held by Credit II and permits an advance rate of up to 50% of eligible debt investments held by Credit II. The Key Facility contains covenants that, among other things, require the Company to maintain a minimum net worth and to restrict the debt investments securing the Key Facility to certain criteria for qualified debt investments and includes portfolio company concentration limits as defined in the related loan agreement. The Key Facility has a three-year revolving period followed by a two-year amortization period and matures on August 12, 2020. The interest rate is based upon the one-month London Interbank Offered Rate (“LIBOR”), plus a spread of 3.25%, with a LIBOR floor of 0.75%. The LIBOR rate was 1.23% and 0.77% on September 30, 2017 and December 31, 2016, respectively. The average interest rate for the three months ended September 30, 2017 and 2016 was 4.48% and 4.00%, respectively. The average interest rate for the nine months ended September 30, 2017 and 2016 was 4.26% and 4.00%, respectively. The Key Facility requires the payment of an unused line fee in an amount equal to 0.50% of any unborrowed amount available under the facility annually. As of September 30, 2017 and December 31, 2016, the Company had borrowing capacity of $95.0 million and $32.0 million, respectively. At September 30, 2017 and December 31, 2016, $65.3 million and $4.6 million, respectively, was available, subject to existing terms and advance rates.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March 23, 2012, the Company issued and sold an aggregate principal amount of $30 million of 7.375% senior unsecured notes due in 2019 and on April 18, 2012, pursuant to the underwriters’ 30 day option to purchase additional notes, the Company sold an additional $3 million of such notes (collectively, the “2019 Notes”). The 2019 Notes mature on March 15, 2019 and may be redeemed in whole or in part at the Company’s option at any time or from time to time at a redemption price of $25 per security plus accrued and unpaid interest. The 2019 Notes bear interest at a rate of 7.375% per year, payable quarterly on March 15, June 15, September 15 and December 15 of each year. The 2019 Notes are the Company’s direct unsecured obligations and (i) rank equally in right of payment with the Company’s future unsecured indebtedness; (ii) are senior in right of payment to any of the Company’s future indebtedness that expressly provides it is subordinated to the 2019 Notes; (iii) are effectively subordinated to all of the Company’s existing and future secured indebtedness (including indebtedness that is initially unsecured to which the Company subsequently grants security), to the extent of the value of the assets securing such indebtedness, and (iv) are structurally subordinated to all existing and future indebtedness and other obligations of any of the Company’s subsidiaries. As of September 30, 2017, the Company was in material compliance with the terms of the 2019 Notes. The 2019 Notes are listed on the New York Stock Exchange under the symbol “HTF”. On September 29, 2017, the Company gave notice of its election to exercise its option to redeem, in full, the 2019 Notes on October 30, 2017 (the “Redemption Date”).</w:t>
      </w:r>
    </w:p>
    <w:p>
      <w:pPr>
        <w:spacing w:after="0" w:line="18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September 29, 2017, the Company issued and sold an aggregate principal amount of $32.5 million of 6.25% notes due in 2022 (the “2022 Notes”). The 2022 Notes will mature on September 15, 2022 and may be redeemed in whole or in part at the Company’s option at any time or from time to time on or after September 15, 2019 at a redemption price of $25 per security plus accrued and unpaid interest. The 2022 Notes bear interest at a rate of 6.25% per year, payable quarterly on March 15, June 15, September 15 and December 15 of each year. The 2022 Notes are the Company’s direct unsecured obligations and (i) rank equally in right of payment with the Company’s current and future unsecured indebtedness; (ii) are senior in right of payment to any of the Company’s future indebtedness that expressly provides it is subordinated to the 2022 Notes; (iii) are effectively subordinated to all of the Company’s existing and future secured indebtedness (including indebtedness that is initially unsecured to which the Company subsequently grants security), to the extent of the value of the assets securing such indebtedness, and (iv) are structurally subordinated to all existing and future indebtedness and other obligations of any of the Company’s subsidiaries. As of September 30, 2017, the Company was in material compliance with the terms of the 2022 Notes. The 2022 Notes are listed on the New York Stock Exchange under the symbol “HTFA”.</w:t>
      </w:r>
    </w:p>
    <w:p>
      <w:pPr>
        <w:spacing w:after="0" w:line="17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June 28, 2013, the Company completed the 2013-1 Securitization. In connection with the 2013-1 Securitization, 2013-1 Trust, a wholly owned subsidiary of the Company, issued $90 million in the Asset-Backed Notes, which were rated A1(sf) by Moody’s Investors Service, Inc. The Asset-Backed Notes were issued by 2013-1 Trust and were backed by a pool of loans made to certain portfolio companies of the Company and secured by certain assets of such portfolio companies. The Asset-Backed Notes were secured obligations of 2013-1 Trust and non-recourse to the Company. In connection with the issuance and sale of the Asset-Backed Notes, the Company made customary representations, warranties and covenants. The Asset-Backed Notes bore interest at a fixed rate of 3.00% per annum and had a stated maturity of May 15, 2018. As of June 13, 2016, the Asset-Backed Notes were repaid in full.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 with off-balance-sheet risk</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normal course of business, the Company is party to financial instruments with off-balance-sheet risk to meet the financing needs of its borrowers. These financial instruments include commitments to extend credit and involve, to varying degrees, elements of credit risk in excess of the amount recognized in the consolidated statement of assets and liabilities. The Company attempts to limit its credit risk by conducting extensive due diligence and obtaining collateral where appropriate.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balance of unfunded commitments to extend credit was $29.0 million and $20.8 million as of September 30, 2017 and December 31, 2016, respectively. Commitments to extend credit consist principally of the unused portions of commitments that obligate the Company to extend credit, such as revolving credit arrangements or similar transactions. These commitments are often subject to financial or non-financial milestones and other conditions to borrow that must be achieved before the commitment can be drawn. In addition, the commitments generally have fixed expiration dates or other termination clauses. Since commitments may expire without being drawn upon, the total commitment amounts do not necessarily represent future cash requirements.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the Company’s unfunded commitments by portfolio company as of September 30, 2017:</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Fair Value of</w:t>
            </w:r>
          </w:p>
        </w:tc>
      </w:tr>
      <w:tr>
        <w:trPr>
          <w:trHeight w:val="216"/>
        </w:trPr>
        <w:tc>
          <w:tcPr>
            <w:tcW w:w="4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Unfunded</w:t>
            </w:r>
          </w:p>
        </w:tc>
      </w:tr>
      <w:tr>
        <w:trPr>
          <w:trHeight w:val="216"/>
        </w:trPr>
        <w:tc>
          <w:tcPr>
            <w:tcW w:w="4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Principal</w:t>
            </w:r>
          </w:p>
        </w:tc>
        <w:tc>
          <w:tcPr>
            <w:tcW w:w="20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Commitment</w:t>
            </w:r>
          </w:p>
        </w:tc>
      </w:tr>
      <w:tr>
        <w:trPr>
          <w:trHeight w:val="234"/>
        </w:trPr>
        <w:tc>
          <w:tcPr>
            <w:tcW w:w="46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Balance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Liability</w:t>
            </w:r>
          </w:p>
        </w:tc>
      </w:tr>
      <w:tr>
        <w:trPr>
          <w:trHeight w:val="210"/>
        </w:trPr>
        <w:tc>
          <w:tcPr>
            <w:tcW w:w="4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HealthEdge Software, Inc.</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Kixeye, Inc.</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PebblePost, Inc.</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Rocket Lawyer Incorporated</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Titan Pharmaceuticals, Inc.</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r>
      <w:tr>
        <w:trPr>
          <w:trHeight w:val="230"/>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Weblinc Corporation</w:t>
            </w:r>
          </w:p>
        </w:tc>
        <w:tc>
          <w:tcPr>
            <w:tcW w:w="26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r>
      <w:tr>
        <w:trPr>
          <w:trHeight w:val="223"/>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table above also provides the fair value of the Company’s unfunded commitment liability as of September 30, 2017 which totaled $0.4 million. The fair value at inception of the delay draw credit agreements is equal to the fees and/or warrants received to enter into these agreements, taking into account the remaining terms of the agreements and the counterparties’ credit profile. The unfunded commitment liability reflects the fair value of these future funding commitments and is included in the Company’s consolidated statement of assets and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w:t>
      </w:r>
      <w:r>
        <w:rPr>
          <w:rFonts w:ascii="Arial" w:cs="Arial" w:eastAsia="Arial" w:hAnsi="Arial"/>
          <w:sz w:val="18"/>
          <w:szCs w:val="18"/>
          <w:b w:val="1"/>
          <w:bCs w:val="1"/>
          <w:color w:val="auto"/>
        </w:rPr>
        <w:t>ote 9. Concentrations of credit risk</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debt investments consist primarily of loans to development-stage companies at various stages of development in the technology, life science, healthcare information and services and cleantech industries. Many of these companies may have relatively limited operating histories and also may experience variation in operating results. Many of these companies conduct business in regulated industries and could be affected by changes in government regulations. Most of the Company’s borrowers will need additional capital to satisfy their continuing working capital needs and other requirements, and in many instances, to service the interest and principal payments on the loans.</w:t>
      </w:r>
    </w:p>
    <w:p>
      <w:pPr>
        <w:spacing w:after="0" w:line="18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Company’s largest debt investments may vary from period to period as new debt investments are recorded and existing debt investments are repaid. The Company’s five largest debt investments, at cost, represented 29% and 24% of total debt investments outstanding as of September 30, 2017 and December 31, 2016, respectively. No single debt investment represented more than 10% of the total debt investments as of September 30, 2017 and December 31, 2016. Investment income, consisting of interest and fees, can fluctuate significantly upon repayment of large debt investments. Interest income from the five largest debt investments accounted for 26% and 18%, respectively, of total interest and fee income on investments for the three months ended September 30, 2017 and 2016. Interest income from the five largest debt investments accounted for 22% and 18%, respectively, of total interest and fee income on investments for the nine months ended September 30, 2017 and 2016.</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Distributions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Company’s distributions are recorded on the declaration date. The following table summarizes the Company’s distribution activity for the nine months ended September 30, 2017 and for the years ended December 31, 2016 and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DRIP</w:t>
            </w:r>
          </w:p>
        </w:tc>
        <w:tc>
          <w:tcPr>
            <w:tcW w:w="3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DRIP</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jc w:val="right"/>
              <w:ind w:right="1310"/>
              <w:spacing w:after="0"/>
              <w:rPr>
                <w:sz w:val="20"/>
                <w:szCs w:val="20"/>
                <w:color w:val="auto"/>
              </w:rPr>
            </w:pPr>
            <w:r>
              <w:rPr>
                <w:rFonts w:ascii="Arial" w:cs="Arial" w:eastAsia="Arial" w:hAnsi="Arial"/>
                <w:sz w:val="18"/>
                <w:szCs w:val="18"/>
                <w:b w:val="1"/>
                <w:bCs w:val="1"/>
                <w:color w:val="auto"/>
              </w:rPr>
              <w:t>Date</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Cash</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32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tcPr>
          <w:p>
            <w:pPr>
              <w:jc w:val="right"/>
              <w:ind w:right="1130"/>
              <w:spacing w:after="0"/>
              <w:rPr>
                <w:sz w:val="20"/>
                <w:szCs w:val="20"/>
                <w:color w:val="auto"/>
              </w:rPr>
            </w:pPr>
            <w:r>
              <w:rPr>
                <w:rFonts w:ascii="Arial" w:cs="Arial" w:eastAsia="Arial" w:hAnsi="Arial"/>
                <w:sz w:val="18"/>
                <w:szCs w:val="18"/>
                <w:b w:val="1"/>
                <w:bCs w:val="1"/>
                <w:color w:val="auto"/>
              </w:rPr>
              <w:t>Declared</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Record Date</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4"/>
              </w:rPr>
              <w:t>Payment Date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 Share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Distribution</w:t>
            </w: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Issued</w:t>
            </w:r>
          </w:p>
        </w:tc>
        <w:tc>
          <w:tcPr>
            <w:tcW w:w="32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Value</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20" w:type="dxa"/>
            <w:vAlign w:val="bottom"/>
            <w:tcBorders>
              <w:top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(In thousands, except share and per share data)</w:t>
            </w: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w w:val="91"/>
              </w:rPr>
              <w:t>Nine Months Ended September 30, 2017</w:t>
            </w: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jc w:val="right"/>
              <w:ind w:right="50"/>
              <w:spacing w:after="0"/>
              <w:rPr>
                <w:sz w:val="20"/>
                <w:szCs w:val="20"/>
                <w:color w:val="auto"/>
              </w:rPr>
            </w:pPr>
            <w:r>
              <w:rPr>
                <w:rFonts w:ascii="Arial" w:cs="Arial" w:eastAsia="Arial" w:hAnsi="Arial"/>
                <w:sz w:val="18"/>
                <w:szCs w:val="18"/>
                <w:color w:val="auto"/>
              </w:rPr>
              <w:t>7/28/17</w:t>
            </w:r>
          </w:p>
        </w:tc>
        <w:tc>
          <w:tcPr>
            <w:tcW w:w="1140" w:type="dxa"/>
            <w:vAlign w:val="bottom"/>
          </w:tcPr>
          <w:p>
            <w:pPr>
              <w:jc w:val="right"/>
              <w:spacing w:after="0"/>
              <w:rPr>
                <w:sz w:val="20"/>
                <w:szCs w:val="20"/>
                <w:color w:val="auto"/>
              </w:rPr>
            </w:pPr>
            <w:r>
              <w:rPr>
                <w:rFonts w:ascii="Arial" w:cs="Arial" w:eastAsia="Arial" w:hAnsi="Arial"/>
                <w:sz w:val="18"/>
                <w:szCs w:val="18"/>
                <w:color w:val="auto"/>
              </w:rPr>
              <w:t>11/20/17</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12/15/17</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7/28/17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10/19/17</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11/15/17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jc w:val="right"/>
              <w:ind w:right="50"/>
              <w:spacing w:after="0"/>
              <w:rPr>
                <w:sz w:val="20"/>
                <w:szCs w:val="20"/>
                <w:color w:val="auto"/>
              </w:rPr>
            </w:pPr>
            <w:r>
              <w:rPr>
                <w:rFonts w:ascii="Arial" w:cs="Arial" w:eastAsia="Arial" w:hAnsi="Arial"/>
                <w:sz w:val="18"/>
                <w:szCs w:val="18"/>
                <w:color w:val="auto"/>
              </w:rPr>
              <w:t>7/28/17</w:t>
            </w:r>
          </w:p>
        </w:tc>
        <w:tc>
          <w:tcPr>
            <w:tcW w:w="1140" w:type="dxa"/>
            <w:vAlign w:val="bottom"/>
          </w:tcPr>
          <w:p>
            <w:pPr>
              <w:jc w:val="right"/>
              <w:spacing w:after="0"/>
              <w:rPr>
                <w:sz w:val="20"/>
                <w:szCs w:val="20"/>
                <w:color w:val="auto"/>
              </w:rPr>
            </w:pPr>
            <w:r>
              <w:rPr>
                <w:rFonts w:ascii="Arial" w:cs="Arial" w:eastAsia="Arial" w:hAnsi="Arial"/>
                <w:sz w:val="18"/>
                <w:szCs w:val="18"/>
                <w:color w:val="auto"/>
              </w:rPr>
              <w:t>9/20/17</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10/16/17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1,138</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1,205</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4/27/17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8/18/17</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9/15/17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1,140</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1,199</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jc w:val="right"/>
              <w:ind w:right="50"/>
              <w:spacing w:after="0"/>
              <w:rPr>
                <w:sz w:val="20"/>
                <w:szCs w:val="20"/>
                <w:color w:val="auto"/>
              </w:rPr>
            </w:pPr>
            <w:r>
              <w:rPr>
                <w:rFonts w:ascii="Arial" w:cs="Arial" w:eastAsia="Arial" w:hAnsi="Arial"/>
                <w:sz w:val="18"/>
                <w:szCs w:val="18"/>
                <w:color w:val="auto"/>
              </w:rPr>
              <w:t>4/27/17</w:t>
            </w:r>
          </w:p>
        </w:tc>
        <w:tc>
          <w:tcPr>
            <w:tcW w:w="1140" w:type="dxa"/>
            <w:vAlign w:val="bottom"/>
          </w:tcPr>
          <w:p>
            <w:pPr>
              <w:jc w:val="right"/>
              <w:spacing w:after="0"/>
              <w:rPr>
                <w:sz w:val="20"/>
                <w:szCs w:val="20"/>
                <w:color w:val="auto"/>
              </w:rPr>
            </w:pPr>
            <w:r>
              <w:rPr>
                <w:rFonts w:ascii="Arial" w:cs="Arial" w:eastAsia="Arial" w:hAnsi="Arial"/>
                <w:sz w:val="18"/>
                <w:szCs w:val="18"/>
                <w:color w:val="auto"/>
              </w:rPr>
              <w:t>7/20/17</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8/15/17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1,140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1,159</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4/27/17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6/20/17</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7/14/17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1,164</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jc w:val="right"/>
              <w:ind w:right="50"/>
              <w:spacing w:after="0"/>
              <w:rPr>
                <w:sz w:val="20"/>
                <w:szCs w:val="20"/>
                <w:color w:val="auto"/>
              </w:rPr>
            </w:pPr>
            <w:r>
              <w:rPr>
                <w:rFonts w:ascii="Arial" w:cs="Arial" w:eastAsia="Arial" w:hAnsi="Arial"/>
                <w:sz w:val="18"/>
                <w:szCs w:val="18"/>
                <w:color w:val="auto"/>
              </w:rPr>
              <w:t>3/3/17</w:t>
            </w:r>
          </w:p>
        </w:tc>
        <w:tc>
          <w:tcPr>
            <w:tcW w:w="1140" w:type="dxa"/>
            <w:vAlign w:val="bottom"/>
          </w:tcPr>
          <w:p>
            <w:pPr>
              <w:jc w:val="right"/>
              <w:spacing w:after="0"/>
              <w:rPr>
                <w:sz w:val="20"/>
                <w:szCs w:val="20"/>
                <w:color w:val="auto"/>
              </w:rPr>
            </w:pPr>
            <w:r>
              <w:rPr>
                <w:rFonts w:ascii="Arial" w:cs="Arial" w:eastAsia="Arial" w:hAnsi="Arial"/>
                <w:sz w:val="18"/>
                <w:szCs w:val="18"/>
                <w:color w:val="auto"/>
              </w:rPr>
              <w:t>5/19/17</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6/15/17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1,137</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1,202</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4/21/17</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5/16/17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1,137</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jc w:val="right"/>
              <w:ind w:right="50"/>
              <w:spacing w:after="0"/>
              <w:rPr>
                <w:sz w:val="20"/>
                <w:szCs w:val="20"/>
                <w:color w:val="auto"/>
              </w:rPr>
            </w:pPr>
            <w:r>
              <w:rPr>
                <w:rFonts w:ascii="Arial" w:cs="Arial" w:eastAsia="Arial" w:hAnsi="Arial"/>
                <w:sz w:val="18"/>
                <w:szCs w:val="18"/>
                <w:color w:val="auto"/>
              </w:rPr>
              <w:t>3/3/17</w:t>
            </w:r>
          </w:p>
        </w:tc>
        <w:tc>
          <w:tcPr>
            <w:tcW w:w="1140" w:type="dxa"/>
            <w:vAlign w:val="bottom"/>
          </w:tcPr>
          <w:p>
            <w:pPr>
              <w:jc w:val="right"/>
              <w:spacing w:after="0"/>
              <w:rPr>
                <w:sz w:val="20"/>
                <w:szCs w:val="20"/>
                <w:color w:val="auto"/>
              </w:rPr>
            </w:pPr>
            <w:r>
              <w:rPr>
                <w:rFonts w:ascii="Arial" w:cs="Arial" w:eastAsia="Arial" w:hAnsi="Arial"/>
                <w:sz w:val="18"/>
                <w:szCs w:val="18"/>
                <w:color w:val="auto"/>
              </w:rPr>
              <w:t>3/20/17</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4/18/17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1,134</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1,510</w:t>
            </w:r>
          </w:p>
        </w:tc>
        <w:tc>
          <w:tcPr>
            <w:tcW w:w="3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8"/>
                <w:szCs w:val="18"/>
                <w:color w:val="auto"/>
              </w:rPr>
              <w:t>Year Ended December 31, 2016</w:t>
            </w: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10/28/16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2/22/17</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3/15/17</w:t>
            </w: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1,665</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jc w:val="right"/>
              <w:ind w:right="50"/>
              <w:spacing w:after="0"/>
              <w:rPr>
                <w:sz w:val="20"/>
                <w:szCs w:val="20"/>
                <w:color w:val="auto"/>
              </w:rPr>
            </w:pPr>
            <w:r>
              <w:rPr>
                <w:rFonts w:ascii="Arial" w:cs="Arial" w:eastAsia="Arial" w:hAnsi="Arial"/>
                <w:sz w:val="18"/>
                <w:szCs w:val="18"/>
                <w:color w:val="auto"/>
              </w:rPr>
              <w:t>10/28/16</w:t>
            </w:r>
          </w:p>
        </w:tc>
        <w:tc>
          <w:tcPr>
            <w:tcW w:w="1140" w:type="dxa"/>
            <w:vAlign w:val="bottom"/>
          </w:tcPr>
          <w:p>
            <w:pPr>
              <w:jc w:val="right"/>
              <w:spacing w:after="0"/>
              <w:rPr>
                <w:sz w:val="20"/>
                <w:szCs w:val="20"/>
                <w:color w:val="auto"/>
              </w:rPr>
            </w:pPr>
            <w:r>
              <w:rPr>
                <w:rFonts w:ascii="Arial" w:cs="Arial" w:eastAsia="Arial" w:hAnsi="Arial"/>
                <w:sz w:val="18"/>
                <w:szCs w:val="18"/>
                <w:color w:val="auto"/>
              </w:rPr>
              <w:t>1/19/17</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2/15/17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1,133</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1,542</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10/28/16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12/20/16</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1/13/17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1,137</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1,550</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jc w:val="right"/>
              <w:ind w:right="50"/>
              <w:spacing w:after="0"/>
              <w:rPr>
                <w:sz w:val="20"/>
                <w:szCs w:val="20"/>
                <w:color w:val="auto"/>
              </w:rPr>
            </w:pPr>
            <w:r>
              <w:rPr>
                <w:rFonts w:ascii="Arial" w:cs="Arial" w:eastAsia="Arial" w:hAnsi="Arial"/>
                <w:sz w:val="18"/>
                <w:szCs w:val="18"/>
                <w:color w:val="auto"/>
              </w:rPr>
              <w:t>7/29/16</w:t>
            </w:r>
          </w:p>
        </w:tc>
        <w:tc>
          <w:tcPr>
            <w:tcW w:w="1140" w:type="dxa"/>
            <w:vAlign w:val="bottom"/>
          </w:tcPr>
          <w:p>
            <w:pPr>
              <w:jc w:val="right"/>
              <w:spacing w:after="0"/>
              <w:rPr>
                <w:sz w:val="20"/>
                <w:szCs w:val="20"/>
                <w:color w:val="auto"/>
              </w:rPr>
            </w:pPr>
            <w:r>
              <w:rPr>
                <w:rFonts w:ascii="Arial" w:cs="Arial" w:eastAsia="Arial" w:hAnsi="Arial"/>
                <w:sz w:val="18"/>
                <w:szCs w:val="18"/>
                <w:color w:val="auto"/>
              </w:rPr>
              <w:t>11/18/16</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12/15/16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1,308</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1,712</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7/29/16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10/20/16</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11/15/16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1,308</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1,896</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jc w:val="right"/>
              <w:ind w:right="50"/>
              <w:spacing w:after="0"/>
              <w:rPr>
                <w:sz w:val="20"/>
                <w:szCs w:val="20"/>
                <w:color w:val="auto"/>
              </w:rPr>
            </w:pPr>
            <w:r>
              <w:rPr>
                <w:rFonts w:ascii="Arial" w:cs="Arial" w:eastAsia="Arial" w:hAnsi="Arial"/>
                <w:sz w:val="18"/>
                <w:szCs w:val="18"/>
                <w:color w:val="auto"/>
              </w:rPr>
              <w:t>7/29/16</w:t>
            </w:r>
          </w:p>
        </w:tc>
        <w:tc>
          <w:tcPr>
            <w:tcW w:w="1140" w:type="dxa"/>
            <w:vAlign w:val="bottom"/>
          </w:tcPr>
          <w:p>
            <w:pPr>
              <w:jc w:val="right"/>
              <w:spacing w:after="0"/>
              <w:rPr>
                <w:sz w:val="20"/>
                <w:szCs w:val="20"/>
                <w:color w:val="auto"/>
              </w:rPr>
            </w:pPr>
            <w:r>
              <w:rPr>
                <w:rFonts w:ascii="Arial" w:cs="Arial" w:eastAsia="Arial" w:hAnsi="Arial"/>
                <w:sz w:val="18"/>
                <w:szCs w:val="18"/>
                <w:color w:val="auto"/>
              </w:rPr>
              <w:t>9/20/16</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10/17/16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1,305</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1,716</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4/28/16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8/19/16</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1,307</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1,535</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jc w:val="right"/>
              <w:ind w:right="50"/>
              <w:spacing w:after="0"/>
              <w:rPr>
                <w:sz w:val="20"/>
                <w:szCs w:val="20"/>
                <w:color w:val="auto"/>
              </w:rPr>
            </w:pPr>
            <w:r>
              <w:rPr>
                <w:rFonts w:ascii="Arial" w:cs="Arial" w:eastAsia="Arial" w:hAnsi="Arial"/>
                <w:sz w:val="18"/>
                <w:szCs w:val="18"/>
                <w:color w:val="auto"/>
              </w:rPr>
              <w:t>4/28/16</w:t>
            </w:r>
          </w:p>
        </w:tc>
        <w:tc>
          <w:tcPr>
            <w:tcW w:w="1140" w:type="dxa"/>
            <w:vAlign w:val="bottom"/>
          </w:tcPr>
          <w:p>
            <w:pPr>
              <w:jc w:val="right"/>
              <w:spacing w:after="0"/>
              <w:rPr>
                <w:sz w:val="20"/>
                <w:szCs w:val="20"/>
                <w:color w:val="auto"/>
              </w:rPr>
            </w:pPr>
            <w:r>
              <w:rPr>
                <w:rFonts w:ascii="Arial" w:cs="Arial" w:eastAsia="Arial" w:hAnsi="Arial"/>
                <w:sz w:val="18"/>
                <w:szCs w:val="18"/>
                <w:color w:val="auto"/>
              </w:rPr>
              <w:t>7/20/16</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8/15/16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1,302</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1,842</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4/28/16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6/20/16</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7/15/16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1,305</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1,734</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jc w:val="right"/>
              <w:ind w:right="50"/>
              <w:spacing w:after="0"/>
              <w:rPr>
                <w:sz w:val="20"/>
                <w:szCs w:val="20"/>
                <w:color w:val="auto"/>
              </w:rPr>
            </w:pPr>
            <w:r>
              <w:rPr>
                <w:rFonts w:ascii="Arial" w:cs="Arial" w:eastAsia="Arial" w:hAnsi="Arial"/>
                <w:sz w:val="18"/>
                <w:szCs w:val="18"/>
                <w:color w:val="auto"/>
              </w:rPr>
              <w:t>3/3/16</w:t>
            </w:r>
          </w:p>
        </w:tc>
        <w:tc>
          <w:tcPr>
            <w:tcW w:w="1140" w:type="dxa"/>
            <w:vAlign w:val="bottom"/>
          </w:tcPr>
          <w:p>
            <w:pPr>
              <w:jc w:val="right"/>
              <w:spacing w:after="0"/>
              <w:rPr>
                <w:sz w:val="20"/>
                <w:szCs w:val="20"/>
                <w:color w:val="auto"/>
              </w:rPr>
            </w:pPr>
            <w:r>
              <w:rPr>
                <w:rFonts w:ascii="Arial" w:cs="Arial" w:eastAsia="Arial" w:hAnsi="Arial"/>
                <w:sz w:val="18"/>
                <w:szCs w:val="18"/>
                <w:color w:val="auto"/>
              </w:rPr>
              <w:t>5/19/16</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6/15/16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1,305</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1,898</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3/3/16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4/20/16</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3,821</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jc w:val="right"/>
              <w:ind w:right="50"/>
              <w:spacing w:after="0"/>
              <w:rPr>
                <w:sz w:val="20"/>
                <w:szCs w:val="20"/>
                <w:color w:val="auto"/>
              </w:rPr>
            </w:pPr>
            <w:r>
              <w:rPr>
                <w:rFonts w:ascii="Arial" w:cs="Arial" w:eastAsia="Arial" w:hAnsi="Arial"/>
                <w:sz w:val="18"/>
                <w:szCs w:val="18"/>
                <w:color w:val="auto"/>
              </w:rPr>
              <w:t>3/3/16</w:t>
            </w:r>
          </w:p>
        </w:tc>
        <w:tc>
          <w:tcPr>
            <w:tcW w:w="1140" w:type="dxa"/>
            <w:vAlign w:val="bottom"/>
          </w:tcPr>
          <w:p>
            <w:pPr>
              <w:jc w:val="right"/>
              <w:spacing w:after="0"/>
              <w:rPr>
                <w:sz w:val="20"/>
                <w:szCs w:val="20"/>
                <w:color w:val="auto"/>
              </w:rPr>
            </w:pPr>
            <w:r>
              <w:rPr>
                <w:rFonts w:ascii="Arial" w:cs="Arial" w:eastAsia="Arial" w:hAnsi="Arial"/>
                <w:sz w:val="18"/>
                <w:szCs w:val="18"/>
                <w:color w:val="auto"/>
              </w:rPr>
              <w:t>3/18/16</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4/15/16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1,306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1,840</w:t>
            </w:r>
          </w:p>
        </w:tc>
        <w:tc>
          <w:tcPr>
            <w:tcW w:w="3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8"/>
                <w:szCs w:val="18"/>
                <w:color w:val="auto"/>
              </w:rPr>
              <w:t>Year Ended December 31, 2015</w:t>
            </w: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10/30/15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2/22/16</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3/15/16</w:t>
            </w: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1,309</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1,606</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jc w:val="right"/>
              <w:ind w:right="50"/>
              <w:spacing w:after="0"/>
              <w:rPr>
                <w:sz w:val="20"/>
                <w:szCs w:val="20"/>
                <w:color w:val="auto"/>
              </w:rPr>
            </w:pPr>
            <w:r>
              <w:rPr>
                <w:rFonts w:ascii="Arial" w:cs="Arial" w:eastAsia="Arial" w:hAnsi="Arial"/>
                <w:sz w:val="18"/>
                <w:szCs w:val="18"/>
                <w:color w:val="auto"/>
              </w:rPr>
              <w:t>10/30/15</w:t>
            </w:r>
          </w:p>
        </w:tc>
        <w:tc>
          <w:tcPr>
            <w:tcW w:w="1140" w:type="dxa"/>
            <w:vAlign w:val="bottom"/>
          </w:tcPr>
          <w:p>
            <w:pPr>
              <w:jc w:val="right"/>
              <w:spacing w:after="0"/>
              <w:rPr>
                <w:sz w:val="20"/>
                <w:szCs w:val="20"/>
                <w:color w:val="auto"/>
              </w:rPr>
            </w:pPr>
            <w:r>
              <w:rPr>
                <w:rFonts w:ascii="Arial" w:cs="Arial" w:eastAsia="Arial" w:hAnsi="Arial"/>
                <w:sz w:val="18"/>
                <w:szCs w:val="18"/>
                <w:color w:val="auto"/>
              </w:rPr>
              <w:t>1/21/16</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2/17/16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1,308</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1,931</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10/30/15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12/18/15</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1,311</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1,841</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jc w:val="right"/>
              <w:ind w:right="50"/>
              <w:spacing w:after="0"/>
              <w:rPr>
                <w:sz w:val="20"/>
                <w:szCs w:val="20"/>
                <w:color w:val="auto"/>
              </w:rPr>
            </w:pPr>
            <w:r>
              <w:rPr>
                <w:rFonts w:ascii="Arial" w:cs="Arial" w:eastAsia="Arial" w:hAnsi="Arial"/>
                <w:sz w:val="18"/>
                <w:szCs w:val="18"/>
                <w:color w:val="auto"/>
              </w:rPr>
              <w:t>7/29/15</w:t>
            </w:r>
          </w:p>
        </w:tc>
        <w:tc>
          <w:tcPr>
            <w:tcW w:w="1140" w:type="dxa"/>
            <w:vAlign w:val="bottom"/>
          </w:tcPr>
          <w:p>
            <w:pPr>
              <w:jc w:val="right"/>
              <w:spacing w:after="0"/>
              <w:rPr>
                <w:sz w:val="20"/>
                <w:szCs w:val="20"/>
                <w:color w:val="auto"/>
              </w:rPr>
            </w:pPr>
            <w:r>
              <w:rPr>
                <w:rFonts w:ascii="Arial" w:cs="Arial" w:eastAsia="Arial" w:hAnsi="Arial"/>
                <w:sz w:val="18"/>
                <w:szCs w:val="18"/>
                <w:color w:val="auto"/>
              </w:rPr>
              <w:t>11/19/15</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12/15/15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1,317</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1,687</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7/29/15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10/20/15</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11/16/15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1,317</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jc w:val="right"/>
              <w:ind w:right="50"/>
              <w:spacing w:after="0"/>
              <w:rPr>
                <w:sz w:val="20"/>
                <w:szCs w:val="20"/>
                <w:color w:val="auto"/>
              </w:rPr>
            </w:pPr>
            <w:r>
              <w:rPr>
                <w:rFonts w:ascii="Arial" w:cs="Arial" w:eastAsia="Arial" w:hAnsi="Arial"/>
                <w:sz w:val="18"/>
                <w:szCs w:val="18"/>
                <w:color w:val="auto"/>
              </w:rPr>
              <w:t>7/29/15</w:t>
            </w:r>
          </w:p>
        </w:tc>
        <w:tc>
          <w:tcPr>
            <w:tcW w:w="1140" w:type="dxa"/>
            <w:vAlign w:val="bottom"/>
          </w:tcPr>
          <w:p>
            <w:pPr>
              <w:jc w:val="right"/>
              <w:spacing w:after="0"/>
              <w:rPr>
                <w:sz w:val="20"/>
                <w:szCs w:val="20"/>
                <w:color w:val="auto"/>
              </w:rPr>
            </w:pPr>
            <w:r>
              <w:rPr>
                <w:rFonts w:ascii="Arial" w:cs="Arial" w:eastAsia="Arial" w:hAnsi="Arial"/>
                <w:sz w:val="18"/>
                <w:szCs w:val="18"/>
                <w:color w:val="auto"/>
              </w:rPr>
              <w:t>9/18/15</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10/15/15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1,315</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2,418</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5/1/15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8/19/15</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9/15/15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1,312</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jc w:val="right"/>
              <w:ind w:right="50"/>
              <w:spacing w:after="0"/>
              <w:rPr>
                <w:sz w:val="20"/>
                <w:szCs w:val="20"/>
                <w:color w:val="auto"/>
              </w:rPr>
            </w:pPr>
            <w:r>
              <w:rPr>
                <w:rFonts w:ascii="Arial" w:cs="Arial" w:eastAsia="Arial" w:hAnsi="Arial"/>
                <w:sz w:val="18"/>
                <w:szCs w:val="18"/>
                <w:color w:val="auto"/>
              </w:rPr>
              <w:t>5/1/15</w:t>
            </w:r>
          </w:p>
        </w:tc>
        <w:tc>
          <w:tcPr>
            <w:tcW w:w="1140" w:type="dxa"/>
            <w:vAlign w:val="bottom"/>
          </w:tcPr>
          <w:p>
            <w:pPr>
              <w:jc w:val="right"/>
              <w:spacing w:after="0"/>
              <w:rPr>
                <w:sz w:val="20"/>
                <w:szCs w:val="20"/>
                <w:color w:val="auto"/>
              </w:rPr>
            </w:pPr>
            <w:r>
              <w:rPr>
                <w:rFonts w:ascii="Arial" w:cs="Arial" w:eastAsia="Arial" w:hAnsi="Arial"/>
                <w:sz w:val="18"/>
                <w:szCs w:val="18"/>
                <w:color w:val="auto"/>
              </w:rPr>
              <w:t>7/20/15</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8/14/15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1,312</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2,420</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5/1/15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6/18/15</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7/15/15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1,312</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2,045</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jc w:val="right"/>
              <w:ind w:right="50"/>
              <w:spacing w:after="0"/>
              <w:rPr>
                <w:sz w:val="20"/>
                <w:szCs w:val="20"/>
                <w:color w:val="auto"/>
              </w:rPr>
            </w:pPr>
            <w:r>
              <w:rPr>
                <w:rFonts w:ascii="Arial" w:cs="Arial" w:eastAsia="Arial" w:hAnsi="Arial"/>
                <w:sz w:val="18"/>
                <w:szCs w:val="18"/>
                <w:color w:val="auto"/>
              </w:rPr>
              <w:t>3/6/15</w:t>
            </w:r>
          </w:p>
        </w:tc>
        <w:tc>
          <w:tcPr>
            <w:tcW w:w="1140" w:type="dxa"/>
            <w:vAlign w:val="bottom"/>
          </w:tcPr>
          <w:p>
            <w:pPr>
              <w:jc w:val="right"/>
              <w:spacing w:after="0"/>
              <w:rPr>
                <w:sz w:val="20"/>
                <w:szCs w:val="20"/>
                <w:color w:val="auto"/>
              </w:rPr>
            </w:pPr>
            <w:r>
              <w:rPr>
                <w:rFonts w:ascii="Arial" w:cs="Arial" w:eastAsia="Arial" w:hAnsi="Arial"/>
                <w:sz w:val="18"/>
                <w:szCs w:val="18"/>
                <w:color w:val="auto"/>
              </w:rPr>
              <w:t>5/20/15</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6/15/15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1,311</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2,036</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3/6/15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4/20/15</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5/15/15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1,311</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1,950</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jc w:val="right"/>
              <w:ind w:right="50"/>
              <w:spacing w:after="0"/>
              <w:rPr>
                <w:sz w:val="20"/>
                <w:szCs w:val="20"/>
                <w:color w:val="auto"/>
              </w:rPr>
            </w:pPr>
            <w:r>
              <w:rPr>
                <w:rFonts w:ascii="Arial" w:cs="Arial" w:eastAsia="Arial" w:hAnsi="Arial"/>
                <w:sz w:val="18"/>
                <w:szCs w:val="18"/>
                <w:color w:val="auto"/>
              </w:rPr>
              <w:t>3/6/15</w:t>
            </w:r>
          </w:p>
        </w:tc>
        <w:tc>
          <w:tcPr>
            <w:tcW w:w="1140" w:type="dxa"/>
            <w:vAlign w:val="bottom"/>
          </w:tcPr>
          <w:p>
            <w:pPr>
              <w:jc w:val="right"/>
              <w:spacing w:after="0"/>
              <w:rPr>
                <w:sz w:val="20"/>
                <w:szCs w:val="20"/>
                <w:color w:val="auto"/>
              </w:rPr>
            </w:pPr>
            <w:r>
              <w:rPr>
                <w:rFonts w:ascii="Arial" w:cs="Arial" w:eastAsia="Arial" w:hAnsi="Arial"/>
                <w:sz w:val="18"/>
                <w:szCs w:val="18"/>
                <w:color w:val="auto"/>
              </w:rPr>
              <w:t>3/20/15</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4/15/15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1,095</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877</w:t>
            </w:r>
          </w:p>
        </w:tc>
        <w:tc>
          <w:tcPr>
            <w:tcW w:w="3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0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October 27, 2017, the Board declared monthly distributions per share, payable as set forth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Ex-Dividend Date</w:t>
            </w:r>
          </w:p>
        </w:tc>
        <w:tc>
          <w:tcPr>
            <w:tcW w:w="2160" w:type="dxa"/>
            <w:vAlign w:val="bottom"/>
          </w:tcPr>
          <w:p>
            <w:pPr>
              <w:ind w:left="600"/>
              <w:spacing w:after="0"/>
              <w:rPr>
                <w:sz w:val="20"/>
                <w:szCs w:val="20"/>
                <w:color w:val="auto"/>
              </w:rPr>
            </w:pPr>
            <w:r>
              <w:rPr>
                <w:rFonts w:ascii="Arial" w:cs="Arial" w:eastAsia="Arial" w:hAnsi="Arial"/>
                <w:sz w:val="18"/>
                <w:szCs w:val="18"/>
                <w:b w:val="1"/>
                <w:bCs w:val="1"/>
                <w:color w:val="auto"/>
              </w:rPr>
              <w:t>Record Date</w:t>
            </w:r>
          </w:p>
        </w:tc>
        <w:tc>
          <w:tcPr>
            <w:tcW w:w="120" w:type="dxa"/>
            <w:vAlign w:val="bottom"/>
          </w:tcPr>
          <w:p>
            <w:pPr>
              <w:spacing w:after="0"/>
              <w:rPr>
                <w:sz w:val="20"/>
                <w:szCs w:val="20"/>
                <w:color w:val="auto"/>
              </w:rPr>
            </w:pPr>
          </w:p>
        </w:tc>
        <w:tc>
          <w:tcPr>
            <w:tcW w:w="2260" w:type="dxa"/>
            <w:vAlign w:val="bottom"/>
            <w:gridSpan w:val="2"/>
          </w:tcPr>
          <w:p>
            <w:pPr>
              <w:ind w:left="540"/>
              <w:spacing w:after="0"/>
              <w:rPr>
                <w:sz w:val="20"/>
                <w:szCs w:val="20"/>
                <w:color w:val="auto"/>
              </w:rPr>
            </w:pPr>
            <w:r>
              <w:rPr>
                <w:rFonts w:ascii="Arial" w:cs="Arial" w:eastAsia="Arial" w:hAnsi="Arial"/>
                <w:sz w:val="18"/>
                <w:szCs w:val="18"/>
                <w:b w:val="1"/>
                <w:bCs w:val="1"/>
                <w:color w:val="auto"/>
              </w:rPr>
              <w:t>Payment Date</w:t>
            </w:r>
          </w:p>
        </w:tc>
        <w:tc>
          <w:tcPr>
            <w:tcW w:w="180" w:type="dxa"/>
            <w:vAlign w:val="bottom"/>
          </w:tcPr>
          <w:p>
            <w:pPr>
              <w:spacing w:after="0"/>
              <w:rPr>
                <w:sz w:val="20"/>
                <w:szCs w:val="20"/>
                <w:color w:val="auto"/>
              </w:rPr>
            </w:pPr>
          </w:p>
        </w:tc>
        <w:tc>
          <w:tcPr>
            <w:tcW w:w="2200" w:type="dxa"/>
            <w:vAlign w:val="bottom"/>
            <w:gridSpan w:val="2"/>
          </w:tcPr>
          <w:p>
            <w:pPr>
              <w:ind w:left="80"/>
              <w:spacing w:after="0"/>
              <w:rPr>
                <w:sz w:val="20"/>
                <w:szCs w:val="20"/>
                <w:color w:val="auto"/>
              </w:rPr>
            </w:pPr>
            <w:r>
              <w:rPr>
                <w:rFonts w:ascii="Arial" w:cs="Arial" w:eastAsia="Arial" w:hAnsi="Arial"/>
                <w:sz w:val="18"/>
                <w:szCs w:val="18"/>
                <w:b w:val="1"/>
                <w:bCs w:val="1"/>
                <w:color w:val="auto"/>
              </w:rPr>
              <w:t>Distributions Declared</w:t>
            </w:r>
          </w:p>
        </w:tc>
      </w:tr>
      <w:tr>
        <w:trPr>
          <w:trHeight w:val="210"/>
        </w:trPr>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20, 2018</w:t>
            </w: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21, 2018</w:t>
            </w: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15, 2018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January 19, 2018</w:t>
            </w:r>
          </w:p>
        </w:tc>
        <w:tc>
          <w:tcPr>
            <w:tcW w:w="2160" w:type="dxa"/>
            <w:vAlign w:val="bottom"/>
          </w:tcPr>
          <w:p>
            <w:pPr>
              <w:spacing w:after="0"/>
              <w:rPr>
                <w:sz w:val="20"/>
                <w:szCs w:val="20"/>
                <w:color w:val="auto"/>
              </w:rPr>
            </w:pPr>
            <w:r>
              <w:rPr>
                <w:rFonts w:ascii="Arial" w:cs="Arial" w:eastAsia="Arial" w:hAnsi="Arial"/>
                <w:sz w:val="18"/>
                <w:szCs w:val="18"/>
                <w:color w:val="auto"/>
              </w:rPr>
              <w:t>January 22, 2018</w:t>
            </w: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February 15, 2018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19, 2017</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December 20, 2017</w:t>
            </w: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January 17, 2018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After paying distributions of $0.30 per share and earning $0.33 per share for the quarter, the Company’s undistributed spillover income as of September 30, 2017 was $0.11 per share. Spillover income includes any ordinary income and net capital gains from the preceding tax years that were not distributed during such tax years.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Note 11. Financial highlights</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60" w:type="dxa"/>
            <w:vAlign w:val="bottom"/>
            <w:gridSpan w:val="2"/>
          </w:tcPr>
          <w:p>
            <w:pPr>
              <w:ind w:left="420"/>
              <w:spacing w:after="0"/>
              <w:rPr>
                <w:sz w:val="20"/>
                <w:szCs w:val="20"/>
                <w:color w:val="auto"/>
              </w:rPr>
            </w:pPr>
            <w:r>
              <w:rPr>
                <w:rFonts w:ascii="Arial" w:cs="Arial" w:eastAsia="Arial" w:hAnsi="Arial"/>
                <w:sz w:val="18"/>
                <w:szCs w:val="18"/>
                <w:color w:val="auto"/>
              </w:rPr>
              <w:t>The following table shows financial highlights for the Company:</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20" w:type="dxa"/>
            <w:vAlign w:val="bottom"/>
            <w:gridSpan w:val="6"/>
          </w:tcPr>
          <w:p>
            <w:pPr>
              <w:jc w:val="right"/>
              <w:ind w:right="832"/>
              <w:spacing w:after="0"/>
              <w:rPr>
                <w:sz w:val="20"/>
                <w:szCs w:val="20"/>
                <w:color w:val="auto"/>
              </w:rPr>
            </w:pPr>
            <w:r>
              <w:rPr>
                <w:rFonts w:ascii="Arial" w:cs="Arial" w:eastAsia="Arial" w:hAnsi="Arial"/>
                <w:sz w:val="18"/>
                <w:szCs w:val="18"/>
                <w:b w:val="1"/>
                <w:bCs w:val="1"/>
                <w:color w:val="auto"/>
                <w:w w:val="97"/>
              </w:rPr>
              <w:t>Nine Months Ended September 30,</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820" w:type="dxa"/>
            <w:vAlign w:val="bottom"/>
            <w:gridSpan w:val="6"/>
          </w:tcPr>
          <w:p>
            <w:pPr>
              <w:jc w:val="right"/>
              <w:spacing w:after="0"/>
              <w:rPr>
                <w:sz w:val="20"/>
                <w:szCs w:val="20"/>
                <w:color w:val="auto"/>
              </w:rPr>
            </w:pPr>
            <w:r>
              <w:rPr>
                <w:rFonts w:ascii="Arial" w:cs="Arial" w:eastAsia="Arial" w:hAnsi="Arial"/>
                <w:sz w:val="18"/>
                <w:szCs w:val="18"/>
                <w:b w:val="1"/>
                <w:bCs w:val="1"/>
                <w:color w:val="auto"/>
                <w:w w:val="90"/>
              </w:rPr>
              <w:t>(In thousands, except share and per share data)</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352"/>
              <w:spacing w:after="0"/>
              <w:rPr>
                <w:sz w:val="20"/>
                <w:szCs w:val="20"/>
                <w:color w:val="auto"/>
              </w:rPr>
            </w:pPr>
            <w:r>
              <w:rPr>
                <w:rFonts w:ascii="Arial" w:cs="Arial" w:eastAsia="Arial" w:hAnsi="Arial"/>
                <w:sz w:val="18"/>
                <w:szCs w:val="18"/>
                <w:color w:val="auto"/>
              </w:rPr>
              <w:t>12.09</w:t>
            </w: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72"/>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0.86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Realized loss on investments</w:t>
            </w:r>
          </w:p>
        </w:tc>
        <w:tc>
          <w:tcPr>
            <w:tcW w:w="340" w:type="dxa"/>
            <w:vAlign w:val="bottom"/>
          </w:tcPr>
          <w:p>
            <w:pPr>
              <w:spacing w:after="0"/>
              <w:rPr>
                <w:sz w:val="18"/>
                <w:szCs w:val="18"/>
                <w:color w:val="auto"/>
              </w:rPr>
            </w:pPr>
          </w:p>
        </w:tc>
        <w:tc>
          <w:tcPr>
            <w:tcW w:w="1740" w:type="dxa"/>
            <w:vAlign w:val="bottom"/>
            <w:gridSpan w:val="2"/>
          </w:tcPr>
          <w:p>
            <w:pPr>
              <w:jc w:val="right"/>
              <w:ind w:right="292"/>
              <w:spacing w:after="0"/>
              <w:rPr>
                <w:sz w:val="20"/>
                <w:szCs w:val="20"/>
                <w:color w:val="auto"/>
              </w:rPr>
            </w:pPr>
            <w:r>
              <w:rPr>
                <w:rFonts w:ascii="Arial" w:cs="Arial" w:eastAsia="Arial" w:hAnsi="Arial"/>
                <w:sz w:val="18"/>
                <w:szCs w:val="18"/>
                <w:color w:val="auto"/>
              </w:rPr>
              <w:t>(0.96)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212"/>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 (depreciation) on investments</w:t>
            </w:r>
          </w:p>
        </w:tc>
        <w:tc>
          <w:tcPr>
            <w:tcW w:w="3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0.72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000" w:type="dxa"/>
            <w:vAlign w:val="bottom"/>
            <w:vMerge w:val="restart"/>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3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0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0.62</w:t>
            </w:r>
          </w:p>
        </w:tc>
        <w:tc>
          <w:tcPr>
            <w:tcW w:w="4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212"/>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60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Distributions declared</w:t>
            </w:r>
            <w:r>
              <w:rPr>
                <w:rFonts w:ascii="Arial" w:cs="Arial" w:eastAsia="Arial" w:hAnsi="Arial"/>
                <w:sz w:val="29"/>
                <w:szCs w:val="29"/>
                <w:color w:val="auto"/>
                <w:vertAlign w:val="superscript"/>
              </w:rPr>
              <w:t>(1)</w:t>
            </w:r>
          </w:p>
        </w:tc>
        <w:tc>
          <w:tcPr>
            <w:tcW w:w="34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(0.90)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00" w:type="dxa"/>
            <w:vAlign w:val="bottom"/>
          </w:tcPr>
          <w:p>
            <w:pPr>
              <w:ind w:left="480"/>
              <w:spacing w:after="0"/>
              <w:rPr>
                <w:sz w:val="20"/>
                <w:szCs w:val="20"/>
                <w:color w:val="auto"/>
              </w:rPr>
            </w:pPr>
            <w:r>
              <w:rPr>
                <w:rFonts w:ascii="Arial" w:cs="Arial" w:eastAsia="Arial" w:hAnsi="Arial"/>
                <w:sz w:val="18"/>
                <w:szCs w:val="18"/>
                <w:color w:val="auto"/>
              </w:rPr>
              <w:t>From net investment income</w:t>
            </w:r>
          </w:p>
        </w:tc>
        <w:tc>
          <w:tcPr>
            <w:tcW w:w="340" w:type="dxa"/>
            <w:vAlign w:val="bottom"/>
          </w:tcPr>
          <w:p>
            <w:pPr>
              <w:spacing w:after="0"/>
              <w:rPr>
                <w:sz w:val="18"/>
                <w:szCs w:val="18"/>
                <w:color w:val="auto"/>
              </w:rPr>
            </w:pPr>
          </w:p>
        </w:tc>
        <w:tc>
          <w:tcPr>
            <w:tcW w:w="1740" w:type="dxa"/>
            <w:vAlign w:val="bottom"/>
            <w:gridSpan w:val="2"/>
          </w:tcPr>
          <w:p>
            <w:pPr>
              <w:jc w:val="right"/>
              <w:ind w:right="292"/>
              <w:spacing w:after="0"/>
              <w:rPr>
                <w:sz w:val="20"/>
                <w:szCs w:val="20"/>
                <w:color w:val="auto"/>
              </w:rPr>
            </w:pPr>
            <w:r>
              <w:rPr>
                <w:rFonts w:ascii="Arial" w:cs="Arial" w:eastAsia="Arial" w:hAnsi="Arial"/>
                <w:sz w:val="18"/>
                <w:szCs w:val="18"/>
                <w:color w:val="auto"/>
              </w:rPr>
              <w:t>(0.90)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21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From net realized gain on investments</w:t>
            </w: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000" w:type="dxa"/>
            <w:vAlign w:val="bottom"/>
          </w:tcPr>
          <w:p>
            <w:pPr>
              <w:ind w:left="480"/>
              <w:spacing w:after="0"/>
              <w:rPr>
                <w:sz w:val="20"/>
                <w:szCs w:val="20"/>
                <w:color w:val="auto"/>
              </w:rPr>
            </w:pPr>
            <w:r>
              <w:rPr>
                <w:rFonts w:ascii="Arial" w:cs="Arial" w:eastAsia="Arial" w:hAnsi="Arial"/>
                <w:sz w:val="18"/>
                <w:szCs w:val="18"/>
                <w:color w:val="auto"/>
              </w:rPr>
              <w:t>Return of capital</w:t>
            </w:r>
          </w:p>
        </w:tc>
        <w:tc>
          <w:tcPr>
            <w:tcW w:w="340" w:type="dxa"/>
            <w:vAlign w:val="bottom"/>
          </w:tcPr>
          <w:p>
            <w:pPr>
              <w:spacing w:after="0"/>
              <w:rPr>
                <w:sz w:val="19"/>
                <w:szCs w:val="19"/>
                <w:color w:val="auto"/>
              </w:rPr>
            </w:pPr>
          </w:p>
        </w:tc>
        <w:tc>
          <w:tcPr>
            <w:tcW w:w="174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asset value at end of period</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ind w:left="660"/>
              <w:spacing w:after="0"/>
              <w:rPr>
                <w:sz w:val="20"/>
                <w:szCs w:val="20"/>
                <w:color w:val="auto"/>
              </w:rPr>
            </w:pPr>
            <w:r>
              <w:rPr>
                <w:rFonts w:ascii="Arial" w:cs="Arial" w:eastAsia="Arial" w:hAnsi="Arial"/>
                <w:sz w:val="18"/>
                <w:szCs w:val="18"/>
                <w:color w:val="auto"/>
              </w:rPr>
              <w:t>Per share market value, beginning of period</w:t>
            </w: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gridSpan w:val="2"/>
            <w:vMerge w:val="continue"/>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10.53</w:t>
            </w:r>
          </w:p>
        </w:tc>
        <w:tc>
          <w:tcPr>
            <w:tcW w:w="4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11.73</w:t>
            </w: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11.11</w:t>
            </w:r>
          </w:p>
        </w:tc>
        <w:tc>
          <w:tcPr>
            <w:tcW w:w="4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6000" w:type="dxa"/>
            <w:vAlign w:val="bottom"/>
          </w:tcPr>
          <w:p>
            <w:pPr>
              <w:spacing w:after="0" w:line="256" w:lineRule="exact"/>
              <w:rPr>
                <w:sz w:val="20"/>
                <w:szCs w:val="20"/>
                <w:color w:val="auto"/>
              </w:rPr>
            </w:pPr>
            <w:r>
              <w:rPr>
                <w:rFonts w:ascii="Arial" w:cs="Arial" w:eastAsia="Arial" w:hAnsi="Arial"/>
                <w:sz w:val="18"/>
                <w:szCs w:val="18"/>
                <w:color w:val="auto"/>
              </w:rPr>
              <w:t>Total return based on a market value</w:t>
            </w:r>
            <w:r>
              <w:rPr>
                <w:rFonts w:ascii="Arial" w:cs="Arial" w:eastAsia="Arial" w:hAnsi="Arial"/>
                <w:sz w:val="29"/>
                <w:szCs w:val="29"/>
                <w:color w:val="auto"/>
                <w:vertAlign w:val="superscript"/>
              </w:rPr>
              <w:t>(2)</w:t>
            </w:r>
          </w:p>
        </w:tc>
        <w:tc>
          <w:tcPr>
            <w:tcW w:w="340" w:type="dxa"/>
            <w:vAlign w:val="bottom"/>
          </w:tcPr>
          <w:p>
            <w:pPr>
              <w:spacing w:after="0"/>
              <w:rPr>
                <w:sz w:val="22"/>
                <w:szCs w:val="22"/>
                <w:color w:val="auto"/>
              </w:rPr>
            </w:pPr>
          </w:p>
        </w:tc>
        <w:tc>
          <w:tcPr>
            <w:tcW w:w="1740" w:type="dxa"/>
            <w:vAlign w:val="bottom"/>
            <w:gridSpan w:val="2"/>
          </w:tcPr>
          <w:p>
            <w:pPr>
              <w:jc w:val="right"/>
              <w:ind w:right="192"/>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40" w:type="dxa"/>
            <w:vAlign w:val="bottom"/>
            <w:gridSpan w:val="2"/>
          </w:tcPr>
          <w:p>
            <w:pPr>
              <w:jc w:val="right"/>
              <w:ind w:right="132"/>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11,516,779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11,551,941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Ratios to average net assets:</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Expenses without incentive fees</w:t>
            </w:r>
          </w:p>
        </w:tc>
        <w:tc>
          <w:tcPr>
            <w:tcW w:w="34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right"/>
              <w:ind w:right="12"/>
              <w:spacing w:after="0" w:line="256" w:lineRule="exact"/>
              <w:rPr>
                <w:sz w:val="20"/>
                <w:szCs w:val="20"/>
                <w:color w:val="auto"/>
              </w:rPr>
            </w:pPr>
            <w:r>
              <w:rPr>
                <w:rFonts w:ascii="Arial" w:cs="Arial" w:eastAsia="Arial" w:hAnsi="Arial"/>
                <w:sz w:val="18"/>
                <w:szCs w:val="18"/>
                <w:color w:val="auto"/>
              </w:rPr>
              <w:t>8.3%</w:t>
            </w:r>
            <w:r>
              <w:rPr>
                <w:rFonts w:ascii="Arial" w:cs="Arial" w:eastAsia="Arial" w:hAnsi="Arial"/>
                <w:sz w:val="29"/>
                <w:szCs w:val="29"/>
                <w:color w:val="auto"/>
                <w:vertAlign w:val="superscript"/>
              </w:rPr>
              <w:t>(3)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8"/>
                <w:szCs w:val="18"/>
                <w:color w:val="auto"/>
              </w:rPr>
              <w:t>9.3%</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270"/>
        </w:trPr>
        <w:tc>
          <w:tcPr>
            <w:tcW w:w="6660" w:type="dxa"/>
            <w:vAlign w:val="bottom"/>
            <w:gridSpan w:val="2"/>
          </w:tcPr>
          <w:p>
            <w:pPr>
              <w:ind w:left="660"/>
              <w:spacing w:after="0"/>
              <w:rPr>
                <w:sz w:val="20"/>
                <w:szCs w:val="20"/>
                <w:color w:val="auto"/>
              </w:rPr>
            </w:pPr>
            <w:r>
              <w:rPr>
                <w:rFonts w:ascii="Arial" w:cs="Arial" w:eastAsia="Arial" w:hAnsi="Arial"/>
                <w:sz w:val="18"/>
                <w:szCs w:val="18"/>
                <w:color w:val="auto"/>
              </w:rPr>
              <w:t>Incentive fees</w:t>
            </w:r>
          </w:p>
        </w:tc>
        <w:tc>
          <w:tcPr>
            <w:tcW w:w="340" w:type="dxa"/>
            <w:vAlign w:val="bottom"/>
          </w:tcPr>
          <w:p>
            <w:pPr>
              <w:spacing w:after="0"/>
              <w:rPr>
                <w:sz w:val="23"/>
                <w:szCs w:val="23"/>
                <w:color w:val="auto"/>
              </w:rPr>
            </w:pPr>
          </w:p>
        </w:tc>
        <w:tc>
          <w:tcPr>
            <w:tcW w:w="1740" w:type="dxa"/>
            <w:vAlign w:val="bottom"/>
            <w:gridSpan w:val="2"/>
          </w:tcPr>
          <w:p>
            <w:pPr>
              <w:jc w:val="right"/>
              <w:ind w:right="12"/>
              <w:spacing w:after="0" w:line="269" w:lineRule="exact"/>
              <w:rPr>
                <w:sz w:val="20"/>
                <w:szCs w:val="20"/>
                <w:color w:val="auto"/>
              </w:rPr>
            </w:pPr>
            <w:r>
              <w:rPr>
                <w:rFonts w:ascii="Arial" w:cs="Arial" w:eastAsia="Arial" w:hAnsi="Arial"/>
                <w:sz w:val="18"/>
                <w:szCs w:val="18"/>
                <w:color w:val="auto"/>
              </w:rPr>
              <w:t>1.1%</w:t>
            </w:r>
            <w:r>
              <w:rPr>
                <w:rFonts w:ascii="Arial" w:cs="Arial" w:eastAsia="Arial" w:hAnsi="Arial"/>
                <w:sz w:val="30"/>
                <w:szCs w:val="30"/>
                <w:color w:val="auto"/>
                <w:vertAlign w:val="superscript"/>
              </w:rPr>
              <w:t>(3)</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40" w:type="dxa"/>
            <w:vAlign w:val="bottom"/>
            <w:gridSpan w:val="2"/>
          </w:tcPr>
          <w:p>
            <w:pPr>
              <w:jc w:val="right"/>
              <w:spacing w:after="0" w:line="269" w:lineRule="exact"/>
              <w:rPr>
                <w:sz w:val="20"/>
                <w:szCs w:val="20"/>
                <w:color w:val="auto"/>
              </w:rPr>
            </w:pPr>
            <w:r>
              <w:rPr>
                <w:rFonts w:ascii="Arial" w:cs="Arial" w:eastAsia="Arial" w:hAnsi="Arial"/>
                <w:sz w:val="18"/>
                <w:szCs w:val="18"/>
                <w:color w:val="auto"/>
              </w:rPr>
              <w:t>1.9%</w:t>
            </w:r>
            <w:r>
              <w:rPr>
                <w:rFonts w:ascii="Arial" w:cs="Arial" w:eastAsia="Arial" w:hAnsi="Arial"/>
                <w:sz w:val="30"/>
                <w:szCs w:val="30"/>
                <w:color w:val="auto"/>
                <w:vertAlign w:val="superscript"/>
              </w:rPr>
              <w:t>(3)</w:t>
            </w: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expenses</w:t>
            </w: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20" w:type="dxa"/>
            <w:vAlign w:val="bottom"/>
            <w:tcBorders>
              <w:top w:val="single" w:sz="8" w:color="CCEEFF"/>
              <w:bottom w:val="single" w:sz="8" w:color="CCEEFF"/>
            </w:tcBorders>
            <w:shd w:val="clear" w:color="auto" w:fill="CCEEFF"/>
          </w:tcPr>
          <w:p>
            <w:pPr>
              <w:jc w:val="right"/>
              <w:ind w:right="12"/>
              <w:spacing w:after="0" w:line="264" w:lineRule="exact"/>
              <w:rPr>
                <w:sz w:val="20"/>
                <w:szCs w:val="20"/>
                <w:color w:val="auto"/>
              </w:rPr>
            </w:pPr>
            <w:r>
              <w:rPr>
                <w:rFonts w:ascii="Arial" w:cs="Arial" w:eastAsia="Arial" w:hAnsi="Arial"/>
                <w:sz w:val="30"/>
                <w:szCs w:val="30"/>
                <w:color w:val="auto"/>
                <w:w w:val="91"/>
                <w:vertAlign w:val="subscript"/>
              </w:rPr>
              <w:t>%</w:t>
            </w:r>
            <w:r>
              <w:rPr>
                <w:rFonts w:ascii="Arial" w:cs="Arial" w:eastAsia="Arial" w:hAnsi="Arial"/>
                <w:sz w:val="14"/>
                <w:szCs w:val="14"/>
                <w:color w:val="auto"/>
                <w:w w:val="91"/>
              </w:rPr>
              <w:t>(3)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40" w:type="dxa"/>
            <w:vAlign w:val="bottom"/>
            <w:tcBorders>
              <w:top w:val="single" w:sz="8" w:color="CCEEFF"/>
              <w:bottom w:val="single" w:sz="8" w:color="CCEEFF"/>
            </w:tcBorders>
            <w:shd w:val="clear" w:color="auto" w:fill="CCEEFF"/>
          </w:tcPr>
          <w:p>
            <w:pPr>
              <w:jc w:val="right"/>
              <w:spacing w:after="0" w:line="264" w:lineRule="exact"/>
              <w:rPr>
                <w:sz w:val="20"/>
                <w:szCs w:val="20"/>
                <w:color w:val="auto"/>
              </w:rPr>
            </w:pPr>
            <w:r>
              <w:rPr>
                <w:rFonts w:ascii="Arial" w:cs="Arial" w:eastAsia="Arial" w:hAnsi="Arial"/>
                <w:sz w:val="30"/>
                <w:szCs w:val="30"/>
                <w:color w:val="auto"/>
                <w:w w:val="85"/>
                <w:vertAlign w:val="subscript"/>
              </w:rPr>
              <w:t>%</w:t>
            </w:r>
            <w:r>
              <w:rPr>
                <w:rFonts w:ascii="Arial" w:cs="Arial" w:eastAsia="Arial" w:hAnsi="Arial"/>
                <w:sz w:val="14"/>
                <w:szCs w:val="14"/>
                <w:color w:val="auto"/>
                <w:w w:val="85"/>
              </w:rPr>
              <w:t>(3)</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ind w:left="660"/>
              <w:spacing w:after="0"/>
              <w:rPr>
                <w:sz w:val="20"/>
                <w:szCs w:val="20"/>
                <w:color w:val="auto"/>
              </w:rPr>
            </w:pPr>
            <w:r>
              <w:rPr>
                <w:rFonts w:ascii="Arial" w:cs="Arial" w:eastAsia="Arial" w:hAnsi="Arial"/>
                <w:sz w:val="18"/>
                <w:szCs w:val="18"/>
                <w:color w:val="auto"/>
              </w:rPr>
              <w:t>Net investment income with incentive fees</w:t>
            </w: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jc w:val="right"/>
              <w:ind w:right="12"/>
              <w:spacing w:after="0" w:line="210" w:lineRule="exact"/>
              <w:rPr>
                <w:sz w:val="20"/>
                <w:szCs w:val="20"/>
                <w:color w:val="auto"/>
              </w:rPr>
            </w:pPr>
            <w:r>
              <w:rPr>
                <w:rFonts w:ascii="Arial" w:cs="Arial" w:eastAsia="Arial" w:hAnsi="Arial"/>
                <w:sz w:val="15"/>
                <w:szCs w:val="15"/>
                <w:color w:val="auto"/>
              </w:rPr>
              <w:t>9.6%</w:t>
            </w:r>
            <w:r>
              <w:rPr>
                <w:rFonts w:ascii="Arial" w:cs="Arial" w:eastAsia="Arial" w:hAnsi="Arial"/>
                <w:sz w:val="24"/>
                <w:szCs w:val="24"/>
                <w:color w:val="auto"/>
                <w:vertAlign w:val="superscript"/>
              </w:rPr>
              <w:t>(3)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spacing w:after="0" w:line="210" w:lineRule="exact"/>
              <w:rPr>
                <w:sz w:val="20"/>
                <w:szCs w:val="20"/>
                <w:color w:val="auto"/>
              </w:rPr>
            </w:pPr>
            <w:r>
              <w:rPr>
                <w:rFonts w:ascii="Arial" w:cs="Arial" w:eastAsia="Arial" w:hAnsi="Arial"/>
                <w:sz w:val="15"/>
                <w:szCs w:val="15"/>
                <w:color w:val="auto"/>
              </w:rPr>
              <w:t>11.5%</w:t>
            </w:r>
            <w:r>
              <w:rPr>
                <w:rFonts w:ascii="Arial" w:cs="Arial" w:eastAsia="Arial" w:hAnsi="Arial"/>
                <w:sz w:val="24"/>
                <w:szCs w:val="24"/>
                <w:color w:val="auto"/>
                <w:vertAlign w:val="superscript"/>
              </w:rPr>
              <w:t>(3)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assets at the end of the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135,996</w:t>
            </w:r>
          </w:p>
        </w:tc>
        <w:tc>
          <w:tcPr>
            <w:tcW w:w="4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143,669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Average net asset value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352"/>
              <w:spacing w:after="0"/>
              <w:rPr>
                <w:sz w:val="20"/>
                <w:szCs w:val="20"/>
                <w:color w:val="auto"/>
              </w:rPr>
            </w:pPr>
            <w:r>
              <w:rPr>
                <w:rFonts w:ascii="Arial" w:cs="Arial" w:eastAsia="Arial" w:hAnsi="Arial"/>
                <w:sz w:val="18"/>
                <w:szCs w:val="18"/>
                <w:color w:val="auto"/>
              </w:rPr>
              <w:t>137,847</w:t>
            </w: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72"/>
              <w:spacing w:after="0"/>
              <w:rPr>
                <w:sz w:val="20"/>
                <w:szCs w:val="20"/>
                <w:color w:val="auto"/>
              </w:rPr>
            </w:pPr>
            <w:r>
              <w:rPr>
                <w:rFonts w:ascii="Arial" w:cs="Arial" w:eastAsia="Arial" w:hAnsi="Arial"/>
                <w:sz w:val="18"/>
                <w:szCs w:val="18"/>
                <w:color w:val="auto"/>
              </w:rPr>
              <w:t>153,467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5.88</w:t>
            </w:r>
          </w:p>
        </w:tc>
        <w:tc>
          <w:tcPr>
            <w:tcW w:w="4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340" w:type="dxa"/>
            <w:vAlign w:val="bottom"/>
          </w:tcPr>
          <w:p>
            <w:pPr>
              <w:spacing w:after="0"/>
              <w:rPr>
                <w:sz w:val="20"/>
                <w:szCs w:val="20"/>
                <w:color w:val="auto"/>
              </w:rPr>
            </w:pPr>
          </w:p>
        </w:tc>
        <w:tc>
          <w:tcPr>
            <w:tcW w:w="1740" w:type="dxa"/>
            <w:vAlign w:val="bottom"/>
            <w:gridSpan w:val="2"/>
          </w:tcPr>
          <w:p>
            <w:pPr>
              <w:jc w:val="right"/>
              <w:ind w:right="192"/>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gridSpan w:val="2"/>
          </w:tcPr>
          <w:p>
            <w:pPr>
              <w:jc w:val="right"/>
              <w:ind w:right="132"/>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4490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4" w:lineRule="exact"/>
        <w:rPr>
          <w:sz w:val="20"/>
          <w:szCs w:val="20"/>
          <w:color w:val="auto"/>
        </w:rPr>
      </w:pPr>
    </w:p>
    <w:p>
      <w:pPr>
        <w:jc w:val="both"/>
        <w:ind w:left="460" w:hanging="452"/>
        <w:spacing w:after="0" w:line="25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Distributions are determined based on taxable income calculated in accordance with income tax regulations, which may differ from amounts determined under GAAP due to (i) changes in unrealized appreciation and depreciation, (ii) temporary and permanent differences in income and expense recognition, and (iii) the amount of spillover income carried over from a given tax year for distribution in the following tax year. The final determination of taxable income for each tax year, as well as the tax attributes for distributions in such tax year, will be made after the close of the tax year.</w:t>
      </w:r>
    </w:p>
    <w:p>
      <w:pPr>
        <w:spacing w:after="0" w:line="3"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total return equals the change in the ending market value over the beginning of period price per share plus distributions paid per share during the period, divided by the beginning price.</w:t>
      </w: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October 11, 2017, as a result of the underwriters’ full exercise of their option to purchase additional 2022 Notes, the Company issued an additional $4.9 million in aggregate principal amount of the 2022 Notes and received net proceeds of approximately $4.7 million after the payment of fees and offering costs.</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the Redemption Date, the Company redeemed all of the issued and outstanding 2019 Notes in an aggregate principal amount of $33.0 million and paid accrued interest of $0.3 million. The Company utilized available borrowings under the Key Facility to redeem the 2019 Notes. The 2019 Notes were delisted effective on the Redemption Date. The Company incurred interest expense of $0.3 million due to the acceleration of unamortized debt issuance costs related to the 2019 Notes.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In this quarterly report on Form 10-Q, except where the context suggests otherwise, the terms “we,” “us,” “our” and “Horizon Technology Finance” refer to Horizon Technology Finance Corporation and its consolidated subsidiaries. The information contained in this section should be read in conjunction with our consolidated financial statements and related notes thereto appearing elsewhere in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This quarterly report on Form 10-Q,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quarterly report on Form 10-Q involve risks and uncertainties, including statements as to:</w:t>
      </w:r>
    </w:p>
    <w:p>
      <w:pPr>
        <w:spacing w:after="0" w:line="154" w:lineRule="exact"/>
        <w:rPr>
          <w:sz w:val="20"/>
          <w:szCs w:val="20"/>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future operating results, including the performance of our existing debt investments and warrants;</w:t>
      </w:r>
    </w:p>
    <w:p>
      <w:pPr>
        <w:spacing w:after="0" w:line="23" w:lineRule="exact"/>
        <w:rPr>
          <w:rFonts w:ascii="Arial" w:cs="Arial" w:eastAsia="Arial" w:hAnsi="Arial"/>
          <w:sz w:val="18"/>
          <w:szCs w:val="18"/>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introduction, withdrawal, success and timing of business initiatives and strategies;</w:t>
      </w:r>
    </w:p>
    <w:p>
      <w:pPr>
        <w:spacing w:after="0" w:line="9" w:lineRule="exact"/>
        <w:rPr>
          <w:rFonts w:ascii="Arial" w:cs="Arial" w:eastAsia="Arial" w:hAnsi="Arial"/>
          <w:sz w:val="18"/>
          <w:szCs w:val="18"/>
          <w:color w:val="auto"/>
        </w:rPr>
      </w:pPr>
    </w:p>
    <w:p>
      <w:pPr>
        <w:ind w:left="560" w:right="20" w:hanging="187"/>
        <w:spacing w:after="0" w:line="250"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political, economic or industry conditions, the interest rate environment or financial and capital markets, which could result in changes in the value of our assets;</w:t>
      </w:r>
    </w:p>
    <w:p>
      <w:pPr>
        <w:ind w:left="560" w:hanging="187"/>
        <w:spacing w:after="0" w:line="250"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relative and absolute investment performance and operations of our investment advisor, Horizon Technology Finance Management LLC, or the Advisor;</w:t>
      </w: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increased competition;</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investments we intend to make and future acquisitions and divestitures;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unfavorable resolution of legal proceedings;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extent and timing of technological changes and the adequacy of intellectual property protection;</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regulatory structure and tax status;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qualify and maintain qualification as a regulated investment company, or RIC, and as a business development company, or BDC;</w:t>
      </w:r>
    </w:p>
    <w:p>
      <w:pPr>
        <w:spacing w:after="0" w:line="20" w:lineRule="exact"/>
        <w:rPr>
          <w:rFonts w:ascii="Arial" w:cs="Arial" w:eastAsia="Arial" w:hAnsi="Arial"/>
          <w:sz w:val="17"/>
          <w:szCs w:val="17"/>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interest rate volatility on our results, particularly if we use leverage as part of our investment strategy;</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w:t>
      </w:r>
    </w:p>
    <w:p>
      <w:pPr>
        <w:spacing w:after="0" w:line="9" w:lineRule="exact"/>
        <w:rPr>
          <w:rFonts w:ascii="Arial" w:cs="Arial" w:eastAsia="Arial" w:hAnsi="Arial"/>
          <w:sz w:val="18"/>
          <w:szCs w:val="18"/>
          <w:color w:val="auto"/>
        </w:rPr>
      </w:pPr>
    </w:p>
    <w:p>
      <w:pPr>
        <w:ind w:left="560" w:hanging="187"/>
        <w:spacing w:after="0" w:line="250"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legislative and regulatory actions and reforms and regulatory supervisory or enforcement actions of government agencies relating to us or our Advisor;</w:t>
      </w: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access capital and any future financings by us;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Advisor to attract and retain highly talented professionals; and</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changes to tax legislation and, generally, our tax position.</w:t>
      </w:r>
    </w:p>
    <w:p>
      <w:pPr>
        <w:spacing w:after="0" w:line="2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“Risk Factors” and elsewhere in our annual report on Form 10-K for the year ended December 31, 2016, and elsewhere in this quarterly report on Form 10-Q.</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quarterly report on Form 10-Q, whether as a result of new information, future events or otherwise, you are advised to consult any additional disclosures that we may make directly to you or through reports that we in the future may file with the U.S. Securities and Exchange Commission, or the SEC, including periodic reports on Form 10-Q and Form 10-K and current reports on Form 8-K.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are a specialty finance company that lends to and invests in development-stage companies in the technology, life science, healthcare information and services and cleantech industries, which we refer to as our “Target Industries.” Our investment objective is to maximize our investment portfolio’s total return by generating current income from the debt investments we make and capital appreciation from the warrants we receive when making such debt investments. We are focused on making secured debt investments, which we refer to collectively as “Venture Loans,” to venture capital backed companies in our Target Industries, which we refer to as “Venture Lending.” We also selectively provide Venture Loans to publicly traded companies in our Target Industries. Our debt investments are typically secured by first liens or first liens behind a secured revolving line of credit, or Senior Term Loans. As of September 30, 2017, 99.1%, or $159.8 million, of our debt investment portfolio at fair value consisted of Senior Term Loans. Venture Lending is typically characterized by (1) the making of a secured debt investment after a venture capital or equity investment in the portfolio company has been made, which investment provides a source of cash to fund the portfolio company’s debt service obligations under the Venture Loan, (2) the senior priority of the Venture Loan which requires repayment of the Venture Loan prior to the equity investors realizing a return on their capital, (3) the relatively rapid amortization of the Venture Loan and (4) the lender’s receipt of warrants or other success fees with the making of the Venture Loan.</w:t>
      </w:r>
    </w:p>
    <w:p>
      <w:pPr>
        <w:spacing w:after="0" w:line="17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are an externally managed, closed-end, non-diversified management investment company that has elected to be regulated as a BDC under the Investment Company Act of 1940, as amended, or the 1940 Act. In addition, for U.S. federal income tax purposes, we have elected to be treated as a RIC under Subchapter M of the Internal Revenue Code of 1986, as amended, or the Code. As a BDC, we are required to comply with regulatory requirements, including limitations on our use of debt. We are permitted to, and expect to, finance our investments through borrowings. However, as a BDC, we are only generally allowed to borrow amounts such that our asset coverage, as defined in the 1940 Act, equals at least 200% after such borrowing. The amount of leverage that we employ depends on our assessment of market conditions and other factors at the time of any proposed borrowing. As a RIC, we generally are not subject to corporate-level income taxes on our investment company taxable income, determined without regard to any deductions for dividends paid, and our net capital gain that we distribute as dividends for U.S. federal income tax purposes to our stockholders as long as we meet certain source-of-income, distribution, asset diversification and other requirements.</w:t>
      </w:r>
    </w:p>
    <w:p>
      <w:pPr>
        <w:spacing w:after="0" w:line="18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Compass Horizon Funding Company LLC, or Compass Horizon, our predecessor company, commenced operations in March 2008. We were formed in March 2010 for the purpose of acquiring Compass Horizon and continuing its business as a public entity.</w:t>
      </w:r>
    </w:p>
    <w:p>
      <w:pPr>
        <w:spacing w:after="0" w:line="17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Our investment activities, and our day-to-day operations, are managed by our Advisor and supervised by our board of directors, or the Board, of which a majority of the members are independent of us. Under an amended and restated investment management agreement, or the Investment Management Agreement, we have agreed to pay our Advisor a base management fee and an incentive fee for its advisory services to us. We have also entered into an administration agreement, or the Administration Agreement, with our Advisor under which we have agreed to reimburse our Advisor for our allocable portion of overhead and other expenses incurred by our Advisor in performing its obligations under the Administration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composition and investment activity</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our portfolio by type of investment as of September 30, 2017 and December 31,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9"/>
              </w:rPr>
              <w:t>September 30, 2017</w:t>
            </w:r>
          </w:p>
        </w:tc>
        <w:tc>
          <w:tcPr>
            <w:tcW w:w="11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8"/>
              </w:rPr>
              <w:t>December 31, 2016</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Percentage</w:t>
            </w:r>
          </w:p>
        </w:tc>
        <w:tc>
          <w:tcPr>
            <w:tcW w:w="160" w:type="dxa"/>
            <w:vAlign w:val="bottom"/>
          </w:tcPr>
          <w:p>
            <w:pPr>
              <w:spacing w:after="0"/>
              <w:rPr>
                <w:sz w:val="16"/>
                <w:szCs w:val="16"/>
                <w:color w:val="auto"/>
              </w:rPr>
            </w:pPr>
          </w:p>
        </w:tc>
      </w:tr>
      <w:tr>
        <w:trPr>
          <w:trHeight w:val="216"/>
        </w:trPr>
        <w:tc>
          <w:tcPr>
            <w:tcW w:w="33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Number of</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Fair</w:t>
            </w:r>
          </w:p>
        </w:tc>
        <w:tc>
          <w:tcPr>
            <w:tcW w:w="14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9"/>
              </w:rPr>
              <w:t>of Total</w:t>
            </w: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Number of</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Fair</w:t>
            </w:r>
          </w:p>
        </w:tc>
        <w:tc>
          <w:tcPr>
            <w:tcW w:w="13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9"/>
              </w:rPr>
              <w:t>of Total</w:t>
            </w:r>
          </w:p>
        </w:tc>
      </w:tr>
      <w:tr>
        <w:trPr>
          <w:trHeight w:val="234"/>
        </w:trPr>
        <w:tc>
          <w:tcPr>
            <w:tcW w:w="33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Investments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Value</w:t>
            </w:r>
          </w:p>
        </w:tc>
        <w:tc>
          <w:tcPr>
            <w:tcW w:w="140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1"/>
              </w:rPr>
              <w:t>Portfolio</w:t>
            </w: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Investments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Value</w:t>
            </w:r>
          </w:p>
        </w:tc>
        <w:tc>
          <w:tcPr>
            <w:tcW w:w="130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1"/>
              </w:rPr>
              <w:t>Portfolio</w:t>
            </w:r>
          </w:p>
        </w:tc>
      </w:tr>
      <w:tr>
        <w:trPr>
          <w:trHeight w:val="210"/>
        </w:trPr>
        <w:tc>
          <w:tcPr>
            <w:tcW w:w="3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Borders>
              <w:top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(Dollars in thousands)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161,292</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91.3%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186,186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Warrants</w:t>
            </w: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8,101</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color w:val="auto"/>
              </w:rPr>
              <w:t>4.6</w:t>
            </w: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6,362</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3.3</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5,900</w:t>
            </w: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Equity</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1,411</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color w:val="auto"/>
              </w:rPr>
              <w:t>0.8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855</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0.4</w:t>
            </w:r>
          </w:p>
        </w:tc>
      </w:tr>
      <w:tr>
        <w:trPr>
          <w:trHeight w:val="223"/>
        </w:trPr>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3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39</w:t>
            </w: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9" w:name="page40"/>
    <w:bookmarkEnd w:id="39"/>
    <w:p>
      <w:pPr>
        <w:ind w:left="400"/>
        <w:spacing w:after="0"/>
        <w:rPr>
          <w:sz w:val="20"/>
          <w:szCs w:val="20"/>
          <w:color w:val="auto"/>
        </w:rPr>
      </w:pPr>
      <w:r>
        <w:rPr>
          <w:rFonts w:ascii="Arial" w:cs="Arial" w:eastAsia="Arial" w:hAnsi="Arial"/>
          <w:sz w:val="18"/>
          <w:szCs w:val="18"/>
          <w:color w:val="auto"/>
        </w:rPr>
        <w:t>The following table shows total portfolio investment activity as of and for the three and nine months ended September 30,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4"/>
              </w:rPr>
              <w:t>For the Three Months Ended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4"/>
              </w:rPr>
              <w:t>For the Nine Months Ended</w:t>
            </w:r>
          </w:p>
        </w:tc>
      </w:tr>
      <w:tr>
        <w:trPr>
          <w:trHeight w:val="234"/>
        </w:trPr>
        <w:tc>
          <w:tcPr>
            <w:tcW w:w="5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19"/>
                <w:szCs w:val="19"/>
                <w:color w:val="auto"/>
              </w:rPr>
            </w:pPr>
          </w:p>
        </w:tc>
      </w:tr>
      <w:tr>
        <w:trPr>
          <w:trHeight w:val="210"/>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00" w:type="dxa"/>
            <w:vAlign w:val="bottom"/>
            <w:gridSpan w:val="5"/>
          </w:tcPr>
          <w:p>
            <w:pPr>
              <w:jc w:val="right"/>
              <w:ind w:right="73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Beginning portfolio</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179,084</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233,266</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194,003</w:t>
            </w: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250,267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New debt investments</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18,321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13,536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66,311</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45,223</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received on investments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(27,536)</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(35,625)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Early pay-offs</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(12,600)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(16,961)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(52,117)</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(33,690)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Accretion of debt investment fees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New debt investment fees</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(960)</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(714)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New equity</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Proceeds from sale of investments</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(1,572)</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(939)</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gain on investments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(11,098)</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(2,783)</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unrealized (depreciation) appreciation on investments</w:t>
            </w: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(10,023)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8,276</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(14,752)</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portfolio</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176,704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208,177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176,704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receive payments on our debt investments based on scheduled amortization of the outstanding balances. In addition, we receive repayments of some of our debt investments prior to their scheduled maturity date. The frequency or volume of these repayments may fluctuate significantly from period to period.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our debt investments by industry sector as of September 30, 2017 and December 31,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 2017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2016</w:t>
            </w:r>
          </w:p>
        </w:tc>
      </w:tr>
      <w:tr>
        <w:trPr>
          <w:trHeight w:val="191"/>
        </w:trPr>
        <w:tc>
          <w:tcPr>
            <w:tcW w:w="4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4"/>
              </w:rPr>
              <w:t>Debt</w:t>
            </w: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9"/>
              </w:rPr>
              <w:t>Debt</w:t>
            </w: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6"/>
                <w:szCs w:val="16"/>
                <w:color w:val="auto"/>
              </w:rPr>
            </w:pPr>
          </w:p>
        </w:tc>
      </w:tr>
      <w:tr>
        <w:trPr>
          <w:trHeight w:val="216"/>
        </w:trPr>
        <w:tc>
          <w:tcPr>
            <w:tcW w:w="4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Investments at</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of Total</w:t>
            </w:r>
          </w:p>
        </w:tc>
        <w:tc>
          <w:tcPr>
            <w:tcW w:w="6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Investments at</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of Total</w:t>
            </w:r>
          </w:p>
        </w:tc>
      </w:tr>
      <w:tr>
        <w:trPr>
          <w:trHeight w:val="234"/>
        </w:trPr>
        <w:tc>
          <w:tcPr>
            <w:tcW w:w="4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Fair Value</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1"/>
              </w:rPr>
              <w:t>Portfolio</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1"/>
              </w:rPr>
              <w:t>Portfolio</w:t>
            </w:r>
          </w:p>
        </w:tc>
      </w:tr>
      <w:tr>
        <w:trPr>
          <w:trHeight w:val="210"/>
        </w:trPr>
        <w:tc>
          <w:tcPr>
            <w:tcW w:w="4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Borders>
              <w:top w:val="single" w:sz="8" w:color="auto"/>
            </w:tcBorders>
            <w:gridSpan w:val="5"/>
          </w:tcPr>
          <w:p>
            <w:pPr>
              <w:jc w:val="right"/>
              <w:ind w:right="430"/>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Life Science</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rPr>
              <w:t>Biotechnology</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18,049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40,612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21.8%</w:t>
            </w: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Drug Delivery</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rPr>
              <w:t>Medical Device</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6,984</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13,003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7.0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7,797</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Consumer-Related</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17,343</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20,631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11.1</w:t>
            </w: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rPr>
              <w:t>Internet and Media</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36,838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7,933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4.2</w:t>
            </w: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Materials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9,514</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9,874</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5.3</w:t>
            </w: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rPr>
              <w:t>Networking</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3,306</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1.8</w:t>
            </w: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Power Management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rPr>
              <w:t>Semiconductors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3,328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7,528</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4.0</w:t>
            </w: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38,553</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23.9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53,349</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28.7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Cleantech</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 Efficiency</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rPr>
              <w:t>Waste Recycling</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5,986</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5,964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3.2</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Healthcare Information and Services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rPr>
              <w:t>Diagnostics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1,300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4,081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2.2</w:t>
            </w: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2,524</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r>
      <w:tr>
        <w:trPr>
          <w:trHeight w:val="230"/>
        </w:trPr>
        <w:tc>
          <w:tcPr>
            <w:tcW w:w="4120" w:type="dxa"/>
            <w:vAlign w:val="bottom"/>
          </w:tcPr>
          <w:p>
            <w:pPr>
              <w:ind w:left="160"/>
              <w:spacing w:after="0"/>
              <w:rPr>
                <w:sz w:val="20"/>
                <w:szCs w:val="20"/>
                <w:color w:val="auto"/>
              </w:rPr>
            </w:pPr>
            <w:r>
              <w:rPr>
                <w:rFonts w:ascii="Arial" w:cs="Arial" w:eastAsia="Arial" w:hAnsi="Arial"/>
                <w:sz w:val="18"/>
                <w:szCs w:val="18"/>
                <w:color w:val="auto"/>
              </w:rPr>
              <w:t>Software</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4,777</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9,897</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5.3</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4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40" w:name="page41"/>
    <w:bookmarkEnd w:id="40"/>
    <w:p>
      <w:pPr>
        <w:jc w:val="both"/>
        <w:ind w:firstLine="405"/>
        <w:spacing w:after="0" w:line="312" w:lineRule="auto"/>
        <w:rPr>
          <w:sz w:val="20"/>
          <w:szCs w:val="20"/>
          <w:color w:val="auto"/>
        </w:rPr>
      </w:pPr>
      <w:r>
        <w:rPr>
          <w:rFonts w:ascii="Arial" w:cs="Arial" w:eastAsia="Arial" w:hAnsi="Arial"/>
          <w:sz w:val="16"/>
          <w:szCs w:val="16"/>
          <w:color w:val="auto"/>
        </w:rPr>
        <w:t>The largest debt investments in our portfolio may vary from year to year as new debt investments are originated and existing debt investments are repaid. Our five largest debt investments represented 29% and 24% of total debt investments outstanding as of September 30, 2017 and December 31, 2016, respectively. No single debt investment represented more than 10% of our total debt investments as of September 30, 2017 and December 31,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asset quality</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an internal credit rating system which rates each debt investment on a scale of 4 to 1, with 4 being the highest credit quality rating and 3 being the rating for a standard level of risk. A rating of 2 represents an increased level of risk and, while no loss is currently anticipated for a 2-rated debt investment, there is potential for future loss of principal. A rating of 1 represents a deteriorating credit quality and a high degree of risk of loss of principal. Our internal credit rating system is not a national credit rating system. As of September 30, 2017 and December 31, 2016, our debt investments had a weighted average credit rating of 3.0. The following table shows the classification of our debt investment portfolio by credit rating as of September 30, 2017 and December 31, 2016: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89"/>
              </w:rPr>
              <w:t>September 30, 2017</w:t>
            </w:r>
          </w:p>
        </w:tc>
        <w:tc>
          <w:tcPr>
            <w:tcW w:w="1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1"/>
              </w:rPr>
              <w:t>December 31, 2016</w:t>
            </w:r>
          </w:p>
        </w:tc>
        <w:tc>
          <w:tcPr>
            <w:tcW w:w="1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r>
      <w:tr>
        <w:trPr>
          <w:trHeight w:val="191"/>
        </w:trPr>
        <w:tc>
          <w:tcPr>
            <w:tcW w:w="26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4"/>
              </w:rPr>
              <w:t>Debt</w:t>
            </w:r>
          </w:p>
        </w:tc>
        <w:tc>
          <w:tcPr>
            <w:tcW w:w="1400" w:type="dxa"/>
            <w:vAlign w:val="bottom"/>
            <w:gridSpan w:val="2"/>
          </w:tcPr>
          <w:p>
            <w:pPr>
              <w:jc w:val="center"/>
              <w:ind w:right="70"/>
              <w:spacing w:after="0" w:line="191" w:lineRule="exact"/>
              <w:rPr>
                <w:sz w:val="20"/>
                <w:szCs w:val="20"/>
                <w:color w:val="auto"/>
              </w:rPr>
            </w:pPr>
            <w:r>
              <w:rPr>
                <w:rFonts w:ascii="Arial" w:cs="Arial" w:eastAsia="Arial" w:hAnsi="Arial"/>
                <w:sz w:val="18"/>
                <w:szCs w:val="18"/>
                <w:b w:val="1"/>
                <w:bCs w:val="1"/>
                <w:color w:val="auto"/>
                <w:w w:val="86"/>
              </w:rPr>
              <w:t>Percentage</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Debt</w:t>
            </w:r>
          </w:p>
        </w:tc>
        <w:tc>
          <w:tcPr>
            <w:tcW w:w="1400" w:type="dxa"/>
            <w:vAlign w:val="bottom"/>
            <w:gridSpan w:val="3"/>
          </w:tcPr>
          <w:p>
            <w:pPr>
              <w:jc w:val="center"/>
              <w:ind w:right="160"/>
              <w:spacing w:after="0" w:line="191" w:lineRule="exact"/>
              <w:rPr>
                <w:sz w:val="20"/>
                <w:szCs w:val="20"/>
                <w:color w:val="auto"/>
              </w:rPr>
            </w:pPr>
            <w:r>
              <w:rPr>
                <w:rFonts w:ascii="Arial" w:cs="Arial" w:eastAsia="Arial" w:hAnsi="Arial"/>
                <w:sz w:val="18"/>
                <w:szCs w:val="18"/>
                <w:b w:val="1"/>
                <w:bCs w:val="1"/>
                <w:color w:val="auto"/>
                <w:w w:val="86"/>
              </w:rPr>
              <w:t>Percentage</w:t>
            </w:r>
          </w:p>
        </w:tc>
      </w:tr>
      <w:tr>
        <w:trPr>
          <w:trHeight w:val="216"/>
        </w:trPr>
        <w:tc>
          <w:tcPr>
            <w:tcW w:w="26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Investments</w:t>
            </w: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of Debt</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of Debt</w:t>
            </w:r>
          </w:p>
        </w:tc>
      </w:tr>
      <w:tr>
        <w:trPr>
          <w:trHeight w:val="234"/>
        </w:trPr>
        <w:tc>
          <w:tcPr>
            <w:tcW w:w="26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Investments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at Fair Value</w:t>
            </w:r>
          </w:p>
        </w:tc>
        <w:tc>
          <w:tcPr>
            <w:tcW w:w="15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Investments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Investments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at Fair Value</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Investments</w:t>
            </w:r>
          </w:p>
        </w:tc>
      </w:tr>
      <w:tr>
        <w:trPr>
          <w:trHeight w:val="210"/>
        </w:trPr>
        <w:tc>
          <w:tcPr>
            <w:tcW w:w="26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Borders>
              <w:top w:val="single" w:sz="8" w:color="auto"/>
            </w:tcBorders>
            <w:gridSpan w:val="4"/>
          </w:tcPr>
          <w:p>
            <w:pPr>
              <w:ind w:left="580"/>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Credit Rating</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640" w:type="dxa"/>
            <w:vAlign w:val="bottom"/>
          </w:tcPr>
          <w:p>
            <w:pPr>
              <w:jc w:val="right"/>
              <w:ind w:right="2210"/>
              <w:spacing w:after="0"/>
              <w:rPr>
                <w:sz w:val="20"/>
                <w:szCs w:val="20"/>
                <w:color w:val="auto"/>
              </w:rPr>
            </w:pPr>
            <w:r>
              <w:rPr>
                <w:rFonts w:ascii="Arial" w:cs="Arial" w:eastAsia="Arial" w:hAnsi="Arial"/>
                <w:sz w:val="18"/>
                <w:szCs w:val="18"/>
                <w:color w:val="auto"/>
              </w:rPr>
              <w:t>4</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18,434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29,721</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16.0%</w:t>
            </w:r>
          </w:p>
        </w:tc>
      </w:tr>
      <w:tr>
        <w:trPr>
          <w:trHeight w:val="216"/>
        </w:trPr>
        <w:tc>
          <w:tcPr>
            <w:tcW w:w="2640" w:type="dxa"/>
            <w:vAlign w:val="bottom"/>
            <w:shd w:val="clear" w:color="auto" w:fill="CCEEFF"/>
          </w:tcPr>
          <w:p>
            <w:pPr>
              <w:jc w:val="right"/>
              <w:ind w:right="2210"/>
              <w:spacing w:after="0"/>
              <w:rPr>
                <w:sz w:val="20"/>
                <w:szCs w:val="20"/>
                <w:color w:val="auto"/>
              </w:rPr>
            </w:pPr>
            <w:r>
              <w:rPr>
                <w:rFonts w:ascii="Arial" w:cs="Arial" w:eastAsia="Arial" w:hAnsi="Arial"/>
                <w:sz w:val="18"/>
                <w:szCs w:val="18"/>
                <w:color w:val="auto"/>
              </w:rPr>
              <w:t>3</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129,308</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131,605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40" w:type="dxa"/>
            <w:vAlign w:val="bottom"/>
            <w:shd w:val="clear" w:color="auto" w:fill="CCEEFF"/>
          </w:tcPr>
          <w:p>
            <w:pPr>
              <w:spacing w:after="0"/>
              <w:rPr>
                <w:sz w:val="18"/>
                <w:szCs w:val="18"/>
                <w:color w:val="auto"/>
              </w:rPr>
            </w:pPr>
          </w:p>
        </w:tc>
      </w:tr>
      <w:tr>
        <w:trPr>
          <w:trHeight w:val="216"/>
        </w:trPr>
        <w:tc>
          <w:tcPr>
            <w:tcW w:w="2640" w:type="dxa"/>
            <w:vAlign w:val="bottom"/>
          </w:tcPr>
          <w:p>
            <w:pPr>
              <w:jc w:val="right"/>
              <w:ind w:right="2210"/>
              <w:spacing w:after="0"/>
              <w:rPr>
                <w:sz w:val="20"/>
                <w:szCs w:val="20"/>
                <w:color w:val="auto"/>
              </w:rPr>
            </w:pPr>
            <w:r>
              <w:rPr>
                <w:rFonts w:ascii="Arial" w:cs="Arial" w:eastAsia="Arial" w:hAnsi="Arial"/>
                <w:sz w:val="18"/>
                <w:szCs w:val="18"/>
                <w:color w:val="auto"/>
              </w:rPr>
              <w:t>2</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7,450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13,360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r>
      <w:tr>
        <w:trPr>
          <w:trHeight w:val="230"/>
        </w:trPr>
        <w:tc>
          <w:tcPr>
            <w:tcW w:w="2640" w:type="dxa"/>
            <w:vAlign w:val="bottom"/>
            <w:shd w:val="clear" w:color="auto" w:fill="CCEEFF"/>
          </w:tcPr>
          <w:p>
            <w:pPr>
              <w:jc w:val="right"/>
              <w:ind w:right="2210"/>
              <w:spacing w:after="0"/>
              <w:rPr>
                <w:sz w:val="20"/>
                <w:szCs w:val="20"/>
                <w:color w:val="auto"/>
              </w:rPr>
            </w:pPr>
            <w:r>
              <w:rPr>
                <w:rFonts w:ascii="Arial" w:cs="Arial" w:eastAsia="Arial" w:hAnsi="Arial"/>
                <w:sz w:val="18"/>
                <w:szCs w:val="18"/>
                <w:color w:val="auto"/>
              </w:rPr>
              <w:t>1</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9"/>
                <w:szCs w:val="19"/>
                <w:color w:val="auto"/>
              </w:rPr>
            </w:pPr>
          </w:p>
        </w:tc>
      </w:tr>
      <w:tr>
        <w:trPr>
          <w:trHeight w:val="223"/>
        </w:trPr>
        <w:tc>
          <w:tcPr>
            <w:tcW w:w="264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36</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161,292</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186,186</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26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As of September 30, 2017, there were three debt investments with an internal credit rating of 1, with an aggregate cost of $16.1 million and an aggregate fair value of $6.1 million. As of December 31, 2016, there were four debt investments with an internal credit rating of 1, with an aggregate cost of $26.2 million and an aggregate fair value of $11.5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a BDC and a RIC, we are subject to certain constraints on our operations, including limitations imposed by the 1940 Act and the Code. The consolidated results of operations described below may not be indicative of the results we report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months ended September 30, 2017 and 2016</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consolidated results of operations for the three months ended September 30,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1"/>
              </w:rPr>
              <w:t>For the Three Months Ended</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1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expenses</w:t>
            </w:r>
          </w:p>
        </w:tc>
        <w:tc>
          <w:tcPr>
            <w:tcW w:w="29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w:t>
            </w:r>
          </w:p>
        </w:tc>
        <w:tc>
          <w:tcPr>
            <w:tcW w:w="100" w:type="dxa"/>
            <w:vAlign w:val="bottom"/>
            <w:tcBorders>
              <w:bottom w:val="single" w:sz="8" w:color="CCEEFF"/>
            </w:tcBorders>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before excise tax</w:t>
            </w:r>
          </w:p>
        </w:tc>
        <w:tc>
          <w:tcPr>
            <w:tcW w:w="2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1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Credit for excise tax</w:t>
            </w:r>
          </w:p>
        </w:tc>
        <w:tc>
          <w:tcPr>
            <w:tcW w:w="29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1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realized (loss) gain on investments</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(10,023)</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2"/>
                <w:szCs w:val="22"/>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5"/>
              </w:rPr>
              <w:t>Net increase (decrease) in net assets resulting from operations</w:t>
            </w:r>
          </w:p>
        </w:tc>
        <w:tc>
          <w:tcPr>
            <w:tcW w:w="29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2,709</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60" w:type="dxa"/>
            <w:vAlign w:val="bottom"/>
          </w:tcPr>
          <w:p>
            <w:pPr>
              <w:spacing w:after="0"/>
              <w:rPr>
                <w:sz w:val="17"/>
                <w:szCs w:val="17"/>
                <w:color w:val="auto"/>
              </w:rPr>
            </w:pPr>
          </w:p>
        </w:tc>
        <w:tc>
          <w:tcPr>
            <w:tcW w:w="48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Average debt investments, at fair value</w:t>
            </w:r>
          </w:p>
        </w:tc>
        <w:tc>
          <w:tcPr>
            <w:tcW w:w="2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163,797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214,358</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20" w:type="dxa"/>
            <w:vAlign w:val="bottom"/>
            <w:vMerge w:val="restart"/>
          </w:tcPr>
          <w:p>
            <w:pPr>
              <w:spacing w:after="0"/>
              <w:rPr>
                <w:sz w:val="20"/>
                <w:szCs w:val="20"/>
                <w:color w:val="auto"/>
              </w:rPr>
            </w:pPr>
            <w:r>
              <w:rPr>
                <w:rFonts w:ascii="Arial" w:cs="Arial" w:eastAsia="Arial" w:hAnsi="Arial"/>
                <w:sz w:val="18"/>
                <w:szCs w:val="18"/>
                <w:color w:val="auto"/>
              </w:rPr>
              <w:t>Average borrowings outstanding</w:t>
            </w:r>
          </w:p>
        </w:tc>
        <w:tc>
          <w:tcPr>
            <w:tcW w:w="29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 w:type="dxa"/>
            <w:vAlign w:val="bottom"/>
          </w:tcPr>
          <w:p>
            <w:pPr>
              <w:spacing w:after="0"/>
              <w:rPr>
                <w:sz w:val="17"/>
                <w:szCs w:val="17"/>
                <w:color w:val="auto"/>
              </w:rPr>
            </w:pPr>
          </w:p>
        </w:tc>
        <w:tc>
          <w:tcPr>
            <w:tcW w:w="4820" w:type="dxa"/>
            <w:vAlign w:val="bottom"/>
            <w:vMerge w:val="continue"/>
          </w:tcPr>
          <w:p>
            <w:pPr>
              <w:spacing w:after="0"/>
              <w:rPr>
                <w:sz w:val="17"/>
                <w:szCs w:val="17"/>
                <w:color w:val="auto"/>
              </w:rPr>
            </w:pPr>
          </w:p>
        </w:tc>
        <w:tc>
          <w:tcPr>
            <w:tcW w:w="290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60,261</w:t>
            </w:r>
          </w:p>
        </w:tc>
        <w:tc>
          <w:tcPr>
            <w:tcW w:w="12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96,543</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900" w:type="dxa"/>
            <w:vAlign w:val="bottom"/>
            <w:vMerge w:val="restart"/>
          </w:tcPr>
          <w:p>
            <w:pPr>
              <w:jc w:val="right"/>
              <w:ind w:right="227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41" w:name="page42"/>
    <w:bookmarkEnd w:id="41"/>
    <w:p>
      <w:pPr>
        <w:jc w:val="both"/>
        <w:ind w:firstLine="405"/>
        <w:spacing w:after="0" w:line="264" w:lineRule="auto"/>
        <w:rPr>
          <w:sz w:val="20"/>
          <w:szCs w:val="20"/>
          <w:color w:val="auto"/>
        </w:rPr>
      </w:pPr>
      <w:r>
        <w:rPr>
          <w:rFonts w:ascii="Arial" w:cs="Arial" w:eastAsia="Arial" w:hAnsi="Arial"/>
          <w:sz w:val="18"/>
          <w:szCs w:val="18"/>
          <w:color w:val="auto"/>
        </w:rPr>
        <w:t>Net increase (decrease) in net assets resulting from operations can vary substantially from period to period for various reasons, including the recognition of realized gains and losses and unrealized appreciation and depreciation on investments. As a result, quarterly comparisons of net increase in net assets resulting from operations may not be meaningful.</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Total investment income decreased by $0.8 million, or 11.0%, to $6.8 million for the three months ended September 30, 2017 as compared to the three months ended September 30, 2016. For the three months ended September 30, 2017, total investment income consisted primarily of $6.2 million in interest income from investments, which included $1.6 million in income from the accretion of origination fees and end-of-term payments, or ETPs, and $0.5 million in fee income. Interest income on investments decreased by $0.6 million, or 8.4%, for the three months ended September 30, 2017 compared to the three months ended September 30, 2016. Interest income on investments decreased primarily due to a decrease of $50.6 million, or 23.6%, in the average size of our investment portfolio for the three months ended September 30, 2017 as compared to the three months ended September 30, 2016, which was partially offset by an increase in interest rates and an increase in accelerated ETPs related to prepayments. Fee income, which includes success fee and prepayment fee income on debt investments, decreased by $0.3 million, or 33.0%, to $0.5 million primarily due to a decrease in fees earned on lower principal prepayments received during the three months ended September 30, 2017 compared to the three months ended September 30, 2016.</w:t>
      </w:r>
    </w:p>
    <w:p>
      <w:pPr>
        <w:spacing w:after="0" w:line="16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For the three months ended September 30, 2017 and 2016, our dollar-weighted annualized yield on average debt investments was 16.5% and 14.2%, respectively. We calculate the yield on dollar-weighted average debt investments for any period measured as (1) total investment income during the period divided by (2) the average of the fair value of debt investments outstanding on (a) the last day of the calendar month immediately preceding the first day of the period and (b) the last day of each calendar month during the period. The dollar-weighted annualized yield represents the portfolio yield and will be higher than what investors will realize because it does not reflect our expenses or any sales load paid by investors.</w:t>
      </w:r>
    </w:p>
    <w:p>
      <w:pPr>
        <w:spacing w:after="0" w:line="17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For the three months ended September 30, 2017 and 2016, our investment portfolio (including non-income producing investments) had an overall total return of 15.2% and 13.8%, respectively. We calculate the yield on dollar-weighted average investments for any period measured as (1) total investment income during the period divided by (2) the average of the fair value of investments outstanding on (a) the last day of the calendar month immediately preceding the first day of the period and (b) the last day of each calendar month during the period. The dollar-weighted annualized yield represents the portfolio yield and will be higher than what investors will realize because it does not reflect our expenses or any sales load paid by investors.</w:t>
      </w:r>
    </w:p>
    <w:p>
      <w:pPr>
        <w:spacing w:after="0" w:line="15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Investment income, consisting of interest income and fees on debt investments, can fluctuate significantly upon repayment of large debt investments. Interest income from the five largest debt investments in the aggregate accounted for 26% and 18%, respectively, of investment income for the three months ended September 30, 2017 and 2016.</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Total expenses decreased by $0.3 million, or 9.4%, to $3.0 million for the three months ended September 30, 2017 as compared to the three months ended September 30, 2016. Total expenses for each period consisted of interest expense, base management fee, incentive and administrative fees, professional fees and general and administrative expenses.</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Interest expense decreased by $0.3 million, or 19.7%, to $1.1 million for the three months ended September 30, 2017 as compared to the three months ended September 30, 2016. Interest expense, which includes the amortization of debt issuance costs, decreased primarily due to a decrease in average borrowings of $36.3 million, or 37.6%, which was partially offset by an increase in our effective cost of debt for the three months ended September 30, 2017 as compared to the three months ended September 30, 2016.</w:t>
      </w:r>
    </w:p>
    <w:p>
      <w:pPr>
        <w:spacing w:after="0" w:line="18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Base management fee expense decreased by $0.2 million, or 18.9%, to $0.9 million for the three months ended September 30, 2017 as compared to the three months ended September 30, 2016. Base management fee decreased primarily due to a decrease of $50.6 million, or 23.6%, in the average size of our investment portfolio for the three months ended September 30, 2017 as compared to the three months ended September 30, 2016.</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ind w:firstLine="405"/>
        <w:spacing w:after="0" w:line="297" w:lineRule="auto"/>
        <w:rPr>
          <w:sz w:val="20"/>
          <w:szCs w:val="20"/>
          <w:color w:val="auto"/>
        </w:rPr>
      </w:pPr>
      <w:r>
        <w:rPr>
          <w:rFonts w:ascii="Arial" w:cs="Arial" w:eastAsia="Arial" w:hAnsi="Arial"/>
          <w:sz w:val="16"/>
          <w:szCs w:val="16"/>
          <w:color w:val="auto"/>
        </w:rPr>
        <w:t>For the three months ended September 30, 2017 and 2016, the incentive fee expense on pre-incentive fee net investment income was subject to the incentive fee cap and deferral mechanism under our Investment Management Agreement due to the cumulative incentive fees paid exceeding the cumulative pre-incentive fee net return during the applicable three year look back period. Performance based incentive fee expense was $0.3 million for the three months ended September 30, 2017 which resulted in $0.6 million of reduced expense and additional net investment income. For the three months ended September 30, 2016, the incentive fee expense was effectively zero which resulted in $0.9 million of reduced expense and additional net investment income.</w:t>
      </w:r>
    </w:p>
    <w:p>
      <w:pPr>
        <w:spacing w:after="0" w:line="15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Administrative fee expense, professional fees and general and administrative remained flat at $0.7 million for the three months ended September 30, 2017 compared to the three months ended September 30, 2016.</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Net realized gains and losses and net unrealized appreciation and depreciation</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Realized gains or losses on investments are measured by the difference between the net proceeds from the repayment or sale and the cost basis of our investments without regard to unrealized appreciation or depreciation previously recognized. Realized gains or losses on investments include investments charged off during the period, net of recoveries. The net change in unrealized appreciation or depreciation on investments primarily reflects the change in portfolio investment fair values during the reporting period, including the reversal of previously recorded unrealized appreciation or depreciation when gains or losses are realized.</w:t>
      </w:r>
    </w:p>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September 30, 2017, we realized net losses totaling $0.4 million primarily due to the write off of warrants in two portfolio companies. During the three months ended September 30, 2016, we realized net gains totaling less than $0.01 million.</w:t>
      </w:r>
    </w:p>
    <w:p>
      <w:pPr>
        <w:spacing w:after="0" w:line="17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During the three months ended September 30, 2017, net unrealized depreciation on investments totaled $0.7 million which was primarily due to the unrealized depreciation on one debt investment. During the three months ended September 30, 2016, net unrealized depreciation on investments totaled $10.0 million which was primarily due to the unrealized depreciation on three debt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months ended September 30, 2017 and 2016</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consolidated results of operations for the nine months ended September 30, 2017 and 2016:</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0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2"/>
              </w:rPr>
              <w:t>For the Nine Months Ended</w:t>
            </w: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expenses</w:t>
            </w:r>
          </w:p>
        </w:tc>
        <w:tc>
          <w:tcPr>
            <w:tcW w:w="16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before excise tax</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Credit for excise tax</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(11,098)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8,276</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(14,752)</w:t>
            </w:r>
          </w:p>
        </w:tc>
        <w:tc>
          <w:tcPr>
            <w:tcW w:w="0" w:type="dxa"/>
            <w:vAlign w:val="bottom"/>
          </w:tcPr>
          <w:p>
            <w:pPr>
              <w:spacing w:after="0"/>
              <w:rPr>
                <w:sz w:val="1"/>
                <w:szCs w:val="1"/>
                <w:color w:val="auto"/>
              </w:rPr>
            </w:pPr>
          </w:p>
        </w:tc>
      </w:tr>
      <w:tr>
        <w:trPr>
          <w:trHeight w:val="263"/>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60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Average debt investments, at fair value</w:t>
            </w:r>
          </w:p>
        </w:tc>
        <w:tc>
          <w:tcPr>
            <w:tcW w:w="16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168,187</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229,069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Average borrowings outstanding</w:t>
            </w:r>
          </w:p>
        </w:tc>
        <w:tc>
          <w:tcPr>
            <w:tcW w:w="16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67,674</w:t>
            </w:r>
          </w:p>
        </w:tc>
        <w:tc>
          <w:tcPr>
            <w:tcW w:w="2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105,183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increase (decrease) in net assets resulting from operations can vary substantially from period to period for various reasons, including the recognition of realized gains and losses and unrealized appreciation and depreciation on investments. As a result, quarterly comparisons of net increase in net assets resulting from operations may not be meaningful.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left="1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Total investment income decreased by $6.4 million, or 24.6%, to $19.6 million for the nine months ended September 30, 2017 as compared to the nine months ended September 30, 2016. For the nine months ended September 30, 2017, total investment income consisted primarily of $17.9 million in interest income from investments, which included $4.6 million in income from the accretion of origination fees and ETPs, and $1.7 million in fee income. Interest income on investments decreased by $6.7 million, or 27.1%, for the nine months ended September 30, 2017 compared to the nine months ended September 30, 2016. Interest income on investments decreased primarily due to a decrease of $60.9 million, or 26.6%, in the average size of our investment portfolio for the nine months ended September 30, 2017 as compared to the nine months ended September 30, 2016. Fee income, which includes success fee and prepayment fee income on debt investments, increased by $0.3 million, or 20.5%, to $1.7 million primarily due to fees earned on higher principal prepayments received during the nine months ended September 30, 2017 compared to the nine months ended September 30, 2016.</w:t>
      </w:r>
    </w:p>
    <w:p>
      <w:pPr>
        <w:spacing w:after="0" w:line="16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For the nine months ended September 30, 2017 and 2016, our dollar-weighted annualized yield on average debt investments was 15.5% and 15.1%, respectively. We calculate the yield on dollar-weighted average debt investments for any period measured as (1) total investment income during the period divided by (2) the average of the fair value of debt investments outstanding on (a) the last day of the calendar month immediately preceding the first day of the period and (b) the last day of each calendar month during the period. The dollar-weighted annualized yield represents the portfolio yield and will be higher than what investors will realize because it does not reflect our expenses or any sales load paid by investors.</w:t>
      </w:r>
    </w:p>
    <w:p>
      <w:pPr>
        <w:spacing w:after="0" w:line="17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For the nine months ended September 30, 2017 and 2016, our investment portfolio (including non-income producing investments) had an overall total return of 14.5% and 14.7%, respectively. We calculate the yield on dollar-weighted average investments for any period measured as (1) total investment income during the period divided by (2) the average of the fair value of investments outstanding on (a) the last day of the calendar month immediately preceding the first day of the period and (b) the last day of each calendar month during the period. The dollar-weighted annualized yield represents the portfolio yield and will be higher than what investors will realize because it does not reflect our expenses or any sales load paid by investors.</w:t>
      </w:r>
    </w:p>
    <w:p>
      <w:pPr>
        <w:spacing w:after="0" w:line="15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Investment income, consisting of interest income and fees on debt investments, can fluctuate significantly upon repayment of large debt investments. Interest income from the five largest debt investments in the aggregate accounted for 22% and 18%, respectively, of investment income for the nine months ended September 30, 2017 and 2016.</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Total expenses decreased by $3.2 million, or 24.5%, to $9.7 million for the nine months ended September 30, 2017 as compared to the nine months ended September 30, 2016. Total expenses for each period consisted of interest expense, base management fee, incentive and administrative fees, professional fees and general and administrative expenses.</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Interest expense decreased by $0.9 million, or 20.7%, to $3.5 million for the nine months ended September 30, 2017 as compared to the nine months ended September 30, 2016. Interest expense, which includes the amortization of debt issuance costs, decreased primarily due to a decrease in average borrowings of $37.5 million, or 35.7%, which was partially offset by an increase in our effective cost of debt for the nine months ended September 30, 2017 as compared to the nine months ended September 30, 2016.</w:t>
      </w:r>
    </w:p>
    <w:p>
      <w:pPr>
        <w:spacing w:after="0" w:line="18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Base management fee expense decreased by $0.9 million, or 24.1%, to $2.8 million for the nine months ended September 30, 2017 as compared to the nine months ended September 30, 2016. Base management fee expense decreased primarily due to a decrease of $60.9 million, or 26.6%, in the average size of our investment portfolio for the nine months ended September 30, 2017 as compared to the nine months ended September 30, 2016.</w:t>
      </w:r>
    </w:p>
    <w:p>
      <w:pPr>
        <w:spacing w:after="0" w:line="16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Performance based incentive fee expense decreased by $1.0 million, or 48.5%, to $1.0 million for the nine months ended September 30, 2017 as compared to the nine months ended September 30, 2016. Performance based incentive fee expense decreased due to a decrease of $4.4 million, or 28.5%, to $11.0 million in Pre-Incentive Fee Net Investment Income, as well as an increase in the Incentive Fee Cap of $0.3 million for the nine months ended September 30, 2017 as compared to the nine months ended September 30, 2016. The Incentive Fee Cap and Deferral Mechanism resulted in $1.3 million and $0.9 million of reduced expense and thus increased net investment income, for the nine months ended September 30, 2017 and 2016, respectively. The incentive fee on Pre-Incentive Fee Net Investment Income was subject to the Incentive Fee Cap and Deferral Mechanism during the nine months ended September 30, 2017 and 2016 due to the cumulative incentive fees paid to the Advisor exceeding the Cumulative Pre-Incentive Fee Net Return during the Incentive Fee Look-Back Period. (See “Investment Management Agreement” section of Note 3.)</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ind w:firstLine="405"/>
        <w:spacing w:after="0" w:line="286" w:lineRule="auto"/>
        <w:rPr>
          <w:sz w:val="20"/>
          <w:szCs w:val="20"/>
          <w:color w:val="auto"/>
        </w:rPr>
      </w:pPr>
      <w:r>
        <w:rPr>
          <w:rFonts w:ascii="Arial" w:cs="Arial" w:eastAsia="Arial" w:hAnsi="Arial"/>
          <w:sz w:val="17"/>
          <w:szCs w:val="17"/>
          <w:color w:val="auto"/>
        </w:rPr>
        <w:t>Administrative fee expense decreased by $0.2 million, or 23.6%, to $0.6 million for the nine months ended September 30, 2017 as compared to the nine months ended September 30, 2016. Administrative fee expense decreased primarily due to a decrease in our allocated costs of compensation incurred by the Advisor on our behalf for the nine months ended September 30, 2017 as compared to the nine months ended September 30, 2016.</w:t>
      </w:r>
    </w:p>
    <w:p>
      <w:pPr>
        <w:spacing w:after="0" w:line="1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Professional fees and general and administrative expenses primarily include legal and audit fees and insurance premiums. These expenses were $1.7 million and $1.8 million for the nine months ended September 30, 2017 and 2016, respectively.</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Net realized gains and losses and net unrealized appreciation and depreciation</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Realized gains or losses on investments are measured by the difference between the net proceeds from the repayment or sale and the cost basis of our investments without regard to unrealized appreciation or depreciation previously recognized. Realized gains or losses on investments include investments charged off during the period, net of recoveries. The net change in unrealized appreciation or depreciation on investments primarily reflects the change in portfolio investment fair values during the reporting period, including the reversal of previously recorded unrealized appreciation or depreciation when gains or losses are realized.</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nine months ended September 30, 2017, we realized net losses totaling $11.1 million primarily due to the resolution of two debt investments partially offset by realized gains on the sale of equity received upon the exercise of warrants. During the nine months ended September 30, 2016, we realized net losses totaling $2.9 million primarily due to the resolution of two debt investments partially offset by realized gains on the sale of equity received upon the exercise of warrants.</w:t>
      </w:r>
    </w:p>
    <w:p>
      <w:pPr>
        <w:spacing w:after="0" w:line="18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During the nine months ended September 30, 2017, net unrealized appreciation on investments totaled $8.3 million which was primarily due to the reversal of previously recorded unrealized depreciation on two debt investments that were settled during the period, partially offset by the unrealized depreciation on two debt investments. During the nine months ended September 30, 2016, net unrealized depreciation on investments totaled $14.8 million which was primarily due to the unrealized depreciation on four debt investments.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September 30, 2017 and December 31, 2016, we had cash of $22.3 million and $37.1 million, respectively. Cash is available to fund new investments, reduce borrowings, pay expenses, repurchase common stock and pay distributions. Our primary sources of capital have been from our public and private equity offerings, use of our revolving credit facilities, issuance of our 7.375% notes due 2019, or the 2019 Notes, issuance of our 6.25% notes due 2022, or the 2022 Notes, and our fixed-rate asset-backed notes, or the Asset-Backed Notes.</w:t>
      </w:r>
    </w:p>
    <w:p>
      <w:pPr>
        <w:spacing w:after="0" w:line="187"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On April 27, 2017, our Board extended a previously authorized stock repurchase program which allows us to repurchase up to $5.0 million of our common stock at prices below our net asset value per share as reported in our most recent consolidated financial statements. Under the repurchase program, we may, but are not obligated to, repurchase shares of our outstanding common stock in the open market or in privately negotiated transactions from time to time. Any repurchases by us will comply with the requirements of Rule 10b-18 under the Exchange Act and any applicable requirements of the 1940 Act. Unless extended by our Board, the repurchase program will terminate on the earlier of June 30, 2018 or the repurchase of $5.0 million of our common stock. During the three and nine months ended September 30, 2017, we repurchased 5,923 shares of our common stock at an average price of $9.97 on the open market at a total cost of $0.1 million. During the three and nine months ended September 30, 2016, we repurchased 1,319 shares of our common stock at an average price of $11.54 on the open market at a total cost of $0.02 million. From the inception of the stock repurchase program through September 30, 2017, we repurchased 167,465 shares of our common stock at an average price of $11.22 on the open market at a total cost of $1.9 million.</w:t>
      </w:r>
    </w:p>
    <w:p>
      <w:pPr>
        <w:spacing w:after="0" w:line="16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At September 30, 2017, there was no outstanding principal balance under our revolving credit facility, or the Key Facility, with KeyBank National Association, or Key. At December 31, 2016, the outstanding principal balance under the Key Facility $63.0 million. As of September 30, 2017 and December 31, 2016, we had borrowing capacity under the Key Facility of $95.0 million and $32.0 million, respectively. At September 30, 2017 and December 31, 2016, $65.3 million and $4.6 million, respectively, was available, subject to existing terms and advance rates. We intend to utilize available borrowing capacity under the Key Facility to redeem the 2019 Notes on October 30, 2017, or the Redemption Date.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ind w:firstLine="405"/>
        <w:spacing w:after="0" w:line="312" w:lineRule="auto"/>
        <w:rPr>
          <w:sz w:val="20"/>
          <w:szCs w:val="20"/>
          <w:color w:val="auto"/>
        </w:rPr>
      </w:pPr>
      <w:r>
        <w:rPr>
          <w:rFonts w:ascii="Arial" w:cs="Arial" w:eastAsia="Arial" w:hAnsi="Arial"/>
          <w:sz w:val="16"/>
          <w:szCs w:val="16"/>
          <w:color w:val="auto"/>
        </w:rPr>
        <w:t>Our operating activities provided cash of $27.1 million for the nine months ended September 30, 2017, and our financing activities used cash of $41.9 million for the same period. Our operating activities provided cash primarily from principal payments received on our debt investments, partially offset by investments made in portfolio companies. Our financing activities used cash primarily to repay the Key Facility and pay distributions to our stockholders.</w:t>
      </w:r>
    </w:p>
    <w:p>
      <w:pPr>
        <w:spacing w:after="0" w:line="14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operating activities provided cash of $36.9 million for the nine months ended September 30, 2016, and our financing activities used cash of $31.5 million for the same period. Our operating activities provided cash primarily from principal payments received on our debt investments partially offset by investments made in portfolio companies. Our financing activities used cash primarily to pay off our Asset-Backed Notes and pay distributions to our stockholders.</w:t>
      </w:r>
    </w:p>
    <w:p>
      <w:pPr>
        <w:spacing w:after="0" w:line="18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Our primary use of available funds is to make debt investments in portfolio companies and for general corporate purposes. We expect to raise additional equity and debt capital opportunistically as needed and, subject to market conditions, to support our future growth to the extent permitted by the 1940 Act.</w:t>
      </w:r>
    </w:p>
    <w:p>
      <w:pPr>
        <w:spacing w:after="0" w:line="12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 order to remain subject to taxation as a RIC, we intend to distribute to our stockholders all or substantially all of our investment company taxable income. In addition, as a BDC, we are required to maintain asset coverage of at least 200%. This requirement limits the amount that we may borrow.</w:t>
      </w:r>
    </w:p>
    <w:p>
      <w:pPr>
        <w:spacing w:after="0" w:line="14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believe that our current cash, cash generated from operations, and funds available from our Key Facility will be sufficient to meet our working capital and capital expenditure commitments for at least the next 12 months.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Current borrowings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our borrowings as of September 30, 2017 and December 31,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September 30, 2017</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8"/>
          </w:tcPr>
          <w:p>
            <w:pPr>
              <w:jc w:val="center"/>
              <w:ind w:left="550"/>
              <w:spacing w:after="0"/>
              <w:rPr>
                <w:sz w:val="20"/>
                <w:szCs w:val="20"/>
                <w:color w:val="auto"/>
              </w:rPr>
            </w:pPr>
            <w:r>
              <w:rPr>
                <w:rFonts w:ascii="Arial" w:cs="Arial" w:eastAsia="Arial" w:hAnsi="Arial"/>
                <w:sz w:val="18"/>
                <w:szCs w:val="18"/>
                <w:b w:val="1"/>
                <w:bCs w:val="1"/>
                <w:color w:val="auto"/>
                <w:w w:val="90"/>
              </w:rPr>
              <w:t>December 31, 2016</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6"/>
              </w:rPr>
              <w:t>Balance</w:t>
            </w:r>
          </w:p>
        </w:tc>
        <w:tc>
          <w:tcPr>
            <w:tcW w:w="160" w:type="dxa"/>
            <w:vAlign w:val="bottom"/>
          </w:tcPr>
          <w:p>
            <w:pPr>
              <w:spacing w:after="0"/>
              <w:rPr>
                <w:sz w:val="16"/>
                <w:szCs w:val="16"/>
                <w:color w:val="auto"/>
              </w:rPr>
            </w:pPr>
          </w:p>
        </w:tc>
        <w:tc>
          <w:tcPr>
            <w:tcW w:w="88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6"/>
              </w:rPr>
              <w:t>Unused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ind w:left="120"/>
              <w:spacing w:after="0" w:line="191"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6"/>
              </w:rPr>
              <w:t>Balance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3"/>
              </w:rPr>
              <w:t>Unused</w:t>
            </w:r>
          </w:p>
        </w:tc>
        <w:tc>
          <w:tcPr>
            <w:tcW w:w="100" w:type="dxa"/>
            <w:vAlign w:val="bottom"/>
            <w:gridSpan w:val="2"/>
          </w:tcPr>
          <w:p>
            <w:pPr>
              <w:spacing w:after="0"/>
              <w:rPr>
                <w:sz w:val="16"/>
                <w:szCs w:val="16"/>
                <w:color w:val="auto"/>
              </w:rPr>
            </w:pPr>
          </w:p>
        </w:tc>
      </w:t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2"/>
              </w:rPr>
              <w:t>Commitment</w:t>
            </w:r>
          </w:p>
        </w:tc>
        <w:tc>
          <w:tcPr>
            <w:tcW w:w="240" w:type="dxa"/>
            <w:vAlign w:val="bottom"/>
          </w:tcPr>
          <w:p>
            <w:pPr>
              <w:spacing w:after="0"/>
              <w:rPr>
                <w:sz w:val="20"/>
                <w:szCs w:val="20"/>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Commitment</w:t>
            </w:r>
          </w:p>
        </w:tc>
        <w:tc>
          <w:tcPr>
            <w:tcW w:w="122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Commitment</w:t>
            </w:r>
          </w:p>
        </w:tc>
        <w:tc>
          <w:tcPr>
            <w:tcW w:w="120" w:type="dxa"/>
            <w:vAlign w:val="bottom"/>
          </w:tcPr>
          <w:p>
            <w:pPr>
              <w:spacing w:after="0"/>
              <w:rPr>
                <w:sz w:val="20"/>
                <w:szCs w:val="20"/>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120" w:type="dxa"/>
            <w:vAlign w:val="bottom"/>
            <w:gridSpan w:val="5"/>
          </w:tcPr>
          <w:p>
            <w:pPr>
              <w:spacing w:after="0"/>
              <w:rPr>
                <w:sz w:val="20"/>
                <w:szCs w:val="20"/>
                <w:color w:val="auto"/>
              </w:rPr>
            </w:pPr>
            <w:r>
              <w:rPr>
                <w:rFonts w:ascii="Arial" w:cs="Arial" w:eastAsia="Arial" w:hAnsi="Arial"/>
                <w:sz w:val="18"/>
                <w:szCs w:val="18"/>
                <w:b w:val="1"/>
                <w:bCs w:val="1"/>
                <w:color w:val="auto"/>
                <w:w w:val="99"/>
              </w:rPr>
              <w:t>Commitment</w:t>
            </w:r>
          </w:p>
        </w:tc>
      </w:tr>
      <w:tr>
        <w:trPr>
          <w:trHeight w:val="210"/>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Key Facility</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95,000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63,000</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32,000</w:t>
            </w:r>
          </w:p>
        </w:tc>
        <w:tc>
          <w:tcPr>
            <w:tcW w:w="8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2019 Notes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33,000</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2022 Notes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32,500</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before debt issuance costs</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160,500</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65,500</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96,000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82"/>
        </w:trPr>
        <w:tc>
          <w:tcPr>
            <w:tcW w:w="39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Unamortized debt issuance costs attributable to term</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44"/>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(1,399)</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 borrowings outstanding, net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160,500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64,101</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95,597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We entered into the Key Facility with Key effective November 4, 2013. The interest rate on the Key Facility is based upon the one-month London Interbank Offered Rate, or LIBOR, plus a spread of 3.25%, with a LIBOR floor of 0.75%. The LIBOR rate was 1.23% and 0.77%, respectively, as of September 30, 2017 and December 31, 2016. The interest rates in effect are 4.49% and 4.00%, respectively, as of September 30, 2017 and December 31, 2016. The Key Facility requires the payment of an unused line fee in an amount equal to 0.50% of any unborrowed amount available under the facility annually.</w:t>
      </w:r>
    </w:p>
    <w:p>
      <w:pPr>
        <w:spacing w:after="0" w:line="18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Key Facility has an accordion feature which allows for an increase in the total loan commitment to $150 million. The Key Facility is collateralized by debt investments held by Horizon Credit II LLC, or Credit II, and permits an advance rate of up to fifty percent (50%) of eligible debt investments held by Credit II. The Key Facility contains covenants that, among other things, require us to maintain a minimum net worth, to restrict the debt investments securing the Key Facility to certain criteria for qualified debt investments and to comply with portfolio company concentration limits as defined in the related loan agreement. We may request advances under the Key Facility through August 12, 2018, or the Revolving Period. After the Revolving Period, we may not request new advances, and we must repay the outstanding advances under the Key Facility as of such date, at such times and in such amounts as are necessary to maintain compliance with the terms and conditions of the Key Facility, particularly the condition that the principal balance of the Key Facility not exceed fifty percent (50%) of the aggregate principal balance of our eligible debt investments to our portfolio companies. All outstanding advances under the Key Facility are due and payable on August 12, 2020.</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both"/>
        <w:ind w:firstLine="405"/>
        <w:spacing w:after="0" w:line="288" w:lineRule="auto"/>
        <w:rPr>
          <w:sz w:val="20"/>
          <w:szCs w:val="20"/>
          <w:color w:val="auto"/>
        </w:rPr>
      </w:pPr>
      <w:r>
        <w:rPr>
          <w:rFonts w:ascii="Arial" w:cs="Arial" w:eastAsia="Arial" w:hAnsi="Arial"/>
          <w:sz w:val="16"/>
          <w:szCs w:val="16"/>
          <w:color w:val="auto"/>
        </w:rPr>
        <w:t>On March 23, 2012, we issued and sold an aggregate principal amount of $30 million 2019 Notes, and on April 18, 2012, pursuant to the underwriters’ 30-day option to purchase additional notes, we sold an additional $3 million of the 2019 Notes. The 2019 Notes mature on March 15, 2019 and may be redeemed in whole or in part at our option at any time or from time to time at a redemption price of $25 per security plus accrued and unpaid interest. The 2019 Notes bear interest at a rate of 7.375% per year payable quarterly on March 15, June 15, September 15 and December 15 of each year. The 2019 Notes are our direct, unsecured obligations and (1) rank equally in right of payment with our future unsecured indebtedness; (2) are senior in right of payment to any of our future indebtedness that expressly provides it is subordinated to the 2019 Notes; (3) are effectively subordinated to all of our existing and future secured indebtedness (including indebtedness that is initially unsecured to which we subsequently grant security), to the extent of the value of the assets securing such indebtedness and (4) are structurally subordinated to all existing and future indebtedness and other obligations of any of our subsidiaries. As of September 30, 2017, we were in material compliance with the terms of the 2019 Notes. The 2019 Notes are listed on the New York Stock Exchange under the symbol “HTF”. On September 29, 2017, we gave notice of our election to exercise our option to redeem the 2019 Notes, in full, on the Redemption Date.</w:t>
      </w:r>
    </w:p>
    <w:p>
      <w:pPr>
        <w:spacing w:after="0" w:line="16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On September 29, 2017, we issued and sold an aggregate principal amount of $32.5 million 2022 Notes. The 2022 Notes will mature on September 15, 2022 and may be redeemed in whole or in part at our option at any time or from time to time on or after September 15, 2019 at a redemption price of $25 per security plus accrued and unpaid interest. The 2022 Notes bear interest at a rate of 6.25% per year payable quarterly on March 15, June 15, September 15 and December 15 of each year. The 2022 Notes are our direct, unsecured obligations and (1) rank equally in right of payment with our current and future unsecured indebtedness; (2) are senior in right of payment to any of our future indebtedness that expressly provides it is subordinated to the 2022 Notes; (3) are effectively subordinated to all of our existing and future secured indebtedness (including indebtedness that is initially unsecured to which we subsequently grant security), to the extent of the value of the assets securing such indebtedness and (4) are structurally subordinated to all existing and future indebtedness and other obligations of any of our subsidiaries. As of September 30, 2017, we were in material compliance with the terms of the 2022 Notes. The 2022 Notes are listed on the New York Stock Exchange under the symbol “HTFA”.</w:t>
      </w:r>
    </w:p>
    <w:p>
      <w:pPr>
        <w:spacing w:after="0" w:line="16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June 28, 2013, we completed the 2013-1 Securitization. In connection with the 2013-1 Securitization, 2013-1 Trust, a wholly owned subsidiary of ours, issued $90 million in the Asset-Backed Notes, which were rated A1(sf) by Moody’s Investors Service, Inc. The Asset-Backed Notes were issued by 2013-1 Trust and were backed by a pool of loans made to certain portfolio companies of ours and secured by certain assets of such portfolio companies. The Asset-Backed Notes were secured obligations of 2013-1 Trust and non-recourse to us. In connection with the issuance and sale of the Asset-Backed Notes, we made customary representations, warranties and covenants. The Asset-Backed Notes bore interest at a fixed rate of 3.00% per annum and had a stated maturity of May 15, 2018. As of June 13, 2016, the Asset-Backed Notes were repaid in full.</w:t>
      </w:r>
    </w:p>
    <w:p>
      <w:pPr>
        <w:spacing w:after="0" w:line="17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Under the terms of the Asset-Backed Notes, we were required to maintain a reserve cash balance, funded through principal collections from the underlying securitized debt portfolio, which could have been used to make monthly interest and principal payments on the Asset-Backed Notes.</w:t>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2017 and December 31, 2016, other assets were $1.4 million and $2.1 million, respectively, which were primarily comprised of debt issuance costs and prepaid expenses.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ind w:left="140"/>
        <w:spacing w:after="0"/>
        <w:rPr>
          <w:sz w:val="20"/>
          <w:szCs w:val="20"/>
          <w:color w:val="auto"/>
        </w:rPr>
      </w:pPr>
      <w:r>
        <w:rPr>
          <w:rFonts w:ascii="Arial" w:cs="Arial" w:eastAsia="Arial" w:hAnsi="Arial"/>
          <w:sz w:val="18"/>
          <w:szCs w:val="18"/>
          <w:b w:val="1"/>
          <w:bCs w:val="1"/>
          <w:i w:val="1"/>
          <w:iCs w:val="1"/>
          <w:color w:val="auto"/>
        </w:rPr>
        <w:t>Contractual obligations and off-balance sheet arrangements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our significant contractual payment obligations and off-balance sheet arrangements as of September 30,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jc w:val="right"/>
              <w:ind w:right="145"/>
              <w:spacing w:after="0"/>
              <w:rPr>
                <w:sz w:val="20"/>
                <w:szCs w:val="20"/>
                <w:color w:val="auto"/>
              </w:rPr>
            </w:pPr>
            <w:r>
              <w:rPr>
                <w:rFonts w:ascii="Arial" w:cs="Arial" w:eastAsia="Arial" w:hAnsi="Arial"/>
                <w:sz w:val="18"/>
                <w:szCs w:val="18"/>
                <w:b w:val="1"/>
                <w:bCs w:val="1"/>
                <w:color w:val="auto"/>
              </w:rPr>
              <w:t>Payments due by period</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w w:val="95"/>
              </w:rPr>
              <w:t>Less than</w:t>
            </w:r>
          </w:p>
        </w:tc>
        <w:tc>
          <w:tcPr>
            <w:tcW w:w="240" w:type="dxa"/>
            <w:vAlign w:val="bottom"/>
          </w:tcPr>
          <w:p>
            <w:pPr>
              <w:spacing w:after="0"/>
              <w:rPr>
                <w:sz w:val="16"/>
                <w:szCs w:val="16"/>
                <w:color w:val="auto"/>
              </w:rPr>
            </w:pPr>
          </w:p>
        </w:tc>
        <w:tc>
          <w:tcPr>
            <w:tcW w:w="11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1 – 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3 – 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4"/>
              </w:rPr>
              <w:t>After 5</w:t>
            </w:r>
          </w:p>
        </w:tc>
        <w:tc>
          <w:tcPr>
            <w:tcW w:w="100" w:type="dxa"/>
            <w:vAlign w:val="bottom"/>
          </w:tcPr>
          <w:p>
            <w:pPr>
              <w:spacing w:after="0"/>
              <w:rPr>
                <w:sz w:val="16"/>
                <w:szCs w:val="16"/>
                <w:color w:val="auto"/>
              </w:rPr>
            </w:pPr>
          </w:p>
        </w:tc>
      </w:tr>
      <w:tr>
        <w:trPr>
          <w:trHeight w:val="234"/>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 year</w:t>
            </w:r>
          </w:p>
        </w:tc>
        <w:tc>
          <w:tcPr>
            <w:tcW w:w="2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Years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years</w:t>
            </w:r>
          </w:p>
        </w:tc>
      </w:tr>
      <w:tr>
        <w:trPr>
          <w:trHeight w:val="210"/>
        </w:trPr>
        <w:tc>
          <w:tcPr>
            <w:tcW w:w="4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65,500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33,000</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Unfunded commitments</w:t>
            </w:r>
          </w:p>
        </w:tc>
        <w:tc>
          <w:tcPr>
            <w:tcW w:w="2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29,000</w:t>
            </w:r>
          </w:p>
        </w:tc>
        <w:tc>
          <w:tcPr>
            <w:tcW w:w="18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21,500</w:t>
            </w: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In the normal course of business, we are party to financial instruments with off-balance sheet risk. These consist primarily of unfunded commitments to extend credit, in the form of loans, to our portfolio companies. Unfunded commitments to provide funds to portfolio companies are not reflected on our balance sheet. Our unfunded commitments may be significant from time to time. As of September 30, 2017, we had unfunded commitments of $29.0 million. These commitments are subject to the same underwriting and ongoing portfolio maintenance requirements as are the financial instruments that we hold on our balance sheet. In addition, these commitments are often subject to financial or non-financial milestones and other conditions to borrowing that must be achieved before the commitment can be drawn. Since these commitments may expire without being drawn upon, the total commitment amount does not necessarily represent future cash requirements. We regularly monitor our unfunded commitments and anticipated refinancings, maturities and capital raising, to ensure that we have sufficient liquidity to fund such unfunded commitments. As of September 30, 2017, we reasonably believed that our assets would provide adequate financial resources to satisfy all of our unfunded commitments.</w:t>
      </w:r>
    </w:p>
    <w:p>
      <w:pPr>
        <w:spacing w:after="0" w:line="18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addition to the Key Facility, we have certain commitments pursuant to our Investment Management Agreement entered into with our Advisor. We have agreed to pay a fee for investment advisory and management services consisting of two components (1) a base management fee equal to a percentage of the value of our gross assets less cash or cash equivalents, and (2) a two-part incentive fee. We have also entered into a contract with our Advisor to serve as our administrator. Payments under the Administration Agreement are equal to an amount based upon our allocable portion of our Advisor’s overhead in performing its obligations under the agreement, including rent, fees and other expenses inclusive of our allocable portion of the compensation of our Chief Financial Officer and Chief Compliance Officer and their respective staffs. See Note 3 to our consolidated financial statements for additional information regarding our Investment Management Agreement and our Administration Agreement.</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order to qualify and be subject to tax as a RIC, we must meet certain source-of-income, asset diversification and annual distribution requirements. Generally, in order to qualify as a RIC, we must derive at least 90% of our gross income for each tax year from dividends, interest, payments with respect to certain securities, loans, gains from the sale or other disposition of stock, securities or foreign currencies, or other income derived with respect to its business of investing in stock or other securities. We must also meet certain asset diversification requirements at the end of each quarter of each tax year. Failure to meet these diversification requirements on the last day of a quarter may result in us having to dispose of certain investments quickly in order to prevent the loss of RIC status. Any such dispositions could be made at disadvantageous prices or times, and may cause us to incur substantial losses.</w:t>
      </w:r>
    </w:p>
    <w:p>
      <w:pPr>
        <w:spacing w:after="0" w:line="16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addition, in order to be subject to tax as a RIC and to avoid the imposition of corporate-level tax on the income and gains we distribute to our stockholders in respect of any tax year, we are required under the Code to distribute as dividends to our stockholders out of assets legally available for distribution each tax year an amount generally at least equal to 90% of the sum of our net ordinary income and net short-term capital gains in excess of net long-term capital losses, if any. Additionally, in order to avoid the imposition of a U.S. federal excise tax, we are required to distribute, in respect of each calendar year, dividends to our stockholders of an amount at least equal to the sum of 98% of our calendar year net ordinary income (taking into account certain deferrals and elections); 98.2% of our capital gain net income (adjusted for certain ordinary losses) for the one year period ending on October 31 of such calendar year; and any net ordinary income and capital gain net income for preceding calendar years that were not distributed during such calendar years and on which we previously did not incur any U.S. federal income tax. If we fail to qualify as a RIC for any reason and become subject to corporate tax, the resulting corporate taxes could substantially reduce our net assets, the amount of income available for distribution and the amount of our distributions. Such a failure would have a material adverse effect on us and our stockholders. In addition, we could be required to recognize unrealized gains, incur substantial taxes and interest and make substantial distributions in order to re-qualify as a RIC. We cannot assure stockholders that they will receive any distributions.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ind w:firstLine="405"/>
        <w:spacing w:after="0" w:line="302" w:lineRule="auto"/>
        <w:rPr>
          <w:sz w:val="20"/>
          <w:szCs w:val="20"/>
          <w:color w:val="auto"/>
        </w:rPr>
      </w:pPr>
      <w:r>
        <w:rPr>
          <w:rFonts w:ascii="Arial" w:cs="Arial" w:eastAsia="Arial" w:hAnsi="Arial"/>
          <w:sz w:val="16"/>
          <w:szCs w:val="16"/>
          <w:color w:val="auto"/>
        </w:rPr>
        <w:t>To the extent our taxable earnings in a tax year fall below the total amount of our distributions made to stockholders in respect of such tax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review any written disclosure accompanying a distribution payment carefully and should not assume that the source of any distribution is our ordinary income or gains.</w:t>
      </w:r>
    </w:p>
    <w:p>
      <w:pPr>
        <w:spacing w:after="0" w:line="15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have adopted an “opt out” dividend reinvestment plan, or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stockholders participating in our DRIP will not receive any corresponding cash distributions with which to pay any such applicable taxes. If our common stock is trading above net asset value, a stockholder receiving distributions in the form of additional shares of our common stock will be treated as receiving a distribution of an amount equal to the fair market value of such shares of our common stock. We may use newly issued shares to implement the DRIP, or we may purchase shares in the open market in connection with our obligations under the DRIP.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entered into the Investment Management Agreement with the Advisor. The Advisor is registered as an investment adviser under the Investment Advisers Act of 1940, as amended. Our investment activities are managed by the Advisor and supervised by the Board, the majority of whom are independent directors. Under the Investment Management Agreement, we have agreed to pay the Advisor a base management fee as well as an incentive fee. During the three months ended September 30, 2017 and 2016, we paid the Advisor $1.2 million and $1.1 million, respectively, pursuant to the Investment Management Agreement. During the nine months ended September 30, 2017 and 2016, we paid the Advisor $3.9 million and $5.8 million, respectively, pursuant to the Investment Management Agreement.</w:t>
      </w:r>
    </w:p>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Advisor is 60% owned by HTF Holdings LLC, which is 100% owned by Horizon Technology Finance, LLC. By virtue of their ownership interest in Horizon Technology Finance, LLC, our Chief Executive Officer, Robert D. Pomeroy, Jr. and our President, Gerald A. Michaud, may be deemed to control our Advisor.</w:t>
      </w:r>
    </w:p>
    <w:p>
      <w:pPr>
        <w:spacing w:after="0" w:line="18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also entered into the Administration Agreement with the Advisor. Under the Administration Agreement, we have agreed to reimburse the Advisor for our allocable portion of overhead and other expenses incurred by the Advisor in performing its obligations under the Administration Agreement, including rent and our allocable portion of the costs of compensation and related expenses of our Chief Financial Officer and Chief Compliance Officer and their respective staffs. In addition, pursuant to the terms of the Administration Agreement the Advisor provides us with the office facilities and administrative services necessary to conduct our day-to-day operations. During the three months ended September 30, 2017 and 2016, we paid the Advisor $0.2 million pursuant to the Administration Agreement. During the nine months ended September 30, 2017 and 2016, we paid the Advisor $0.6 million and $0.8 million, respectively, pursuant to the Administration Agreement.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predecessor of the Advisor has granted the Company a non-exclusive, royalty-free license to use the name “Horizon Technology Finance.”</w:t>
      </w:r>
    </w:p>
    <w:p>
      <w:pPr>
        <w:spacing w:after="0" w:line="237" w:lineRule="exact"/>
        <w:rPr>
          <w:sz w:val="20"/>
          <w:szCs w:val="20"/>
          <w:color w:val="auto"/>
        </w:rPr>
      </w:pPr>
    </w:p>
    <w:p>
      <w:pPr>
        <w:jc w:val="both"/>
        <w:ind w:left="60" w:firstLine="270"/>
        <w:spacing w:after="0" w:line="257" w:lineRule="auto"/>
        <w:rPr>
          <w:sz w:val="20"/>
          <w:szCs w:val="20"/>
          <w:color w:val="auto"/>
        </w:rPr>
      </w:pPr>
      <w:r>
        <w:rPr>
          <w:rFonts w:ascii="Arial" w:cs="Arial" w:eastAsia="Arial" w:hAnsi="Arial"/>
          <w:sz w:val="18"/>
          <w:szCs w:val="18"/>
          <w:color w:val="auto"/>
        </w:rPr>
        <w:t>We believe that we derive substantial benefits from our relationship with our Advisor. Our Advisor may manage other investment vehicles, or Advisor Funds, with the same investment strategy as us. The Advisor may provide us an opportunity to co-invest with the Advisor Funds. Under the 1940 Act, absent receipt of exemptive relief from the SEC, we and our affiliates are precluded from co-investing in such investments. On January 23, 2017, we filed an application for exemptive relief with the SEC which, if granted, would permit us more flexibility to co-invest with the Advisor funds, subject to certain conditions.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discussion of our financial condition and results of operation is based upon our financial statements, which have been prepared in accordance with U.S. generally accepted accounting principles. The preparation of these consolidated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significant accounting policies in the notes to our consolidated financial statements.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identified the following items as critical accounting policies.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Investments are recorded at fair value. Our Board determines the fair value of our portfolio investments. We apply fair value to substantially all of our investments in accordance with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of the Financial Accounting Standards Board’s Accounting Standards Codification as amended, or ASC, which establishes a framework used to measure fair value and requires disclosures for fair value measurements. We have categorized our investments carried at fair value, based on the priority of the valuation technique, into a three-level fair value hierarchy. Fair value is a market-based measure considered from the perspective of the market participant who holds the financial instrument rather than an entity specific measure. Therefore, when market assumptions are not readily available, our own assumptions are set to reflect those that management believes market participants would use in pricing the financial instrument at the measurement date.</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The three categories within the hierarchy are as follows:</w:t>
      </w:r>
    </w:p>
    <w:p>
      <w:pPr>
        <w:spacing w:after="0" w:line="183"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and liabilities.</w:t>
      </w:r>
    </w:p>
    <w:p>
      <w:pPr>
        <w:spacing w:after="0" w:line="225" w:lineRule="exact"/>
        <w:rPr>
          <w:sz w:val="20"/>
          <w:szCs w:val="20"/>
          <w:color w:val="auto"/>
        </w:rPr>
      </w:pPr>
    </w:p>
    <w:p>
      <w:pPr>
        <w:jc w:val="both"/>
        <w:ind w:left="1380" w:right="20" w:hanging="971"/>
        <w:spacing w:after="0" w:line="264" w:lineRule="auto"/>
        <w:tabs>
          <w:tab w:leader="none" w:pos="136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in active markets, quoted prices in markets that are not active and model-based valuation techniques for which all significant inputs are observable or can be corroborated by observable market data for substantially the full term of the assets or liabilities.</w:t>
      </w:r>
    </w:p>
    <w:p>
      <w:pPr>
        <w:spacing w:after="0" w:line="181" w:lineRule="exact"/>
        <w:rPr>
          <w:sz w:val="20"/>
          <w:szCs w:val="20"/>
          <w:color w:val="auto"/>
        </w:rPr>
      </w:pPr>
    </w:p>
    <w:p>
      <w:pPr>
        <w:jc w:val="both"/>
        <w:ind w:left="1380" w:hanging="971"/>
        <w:spacing w:after="0" w:line="259" w:lineRule="auto"/>
        <w:tabs>
          <w:tab w:leader="none" w:pos="136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9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Board determines the fair value of investments in good faith, based on the input of management, the audit committee and independent valuation firms that have been engaged at the direction of our Board to assist in the valuation of each portfolio investment without a readily available market quotation at least once during a trailing twelve-month period under our valuation policy and a consistently applied valuation process. The Board conducts this valuation process at the end of each fiscal quarter, with at least 25% (based on fair value) of our valuation of portfolio companies that do not have a readily available market quotations subject to review by an independent valuation firm.</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recognition</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we otherwise do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For the three and nine months ended September 30, 2017, we recognized $0.1 million in interest income from debt investments on non-accrual status. For the three and nine months ended September 30, 2016, we did not recognize any interest income from debt investments on non-accrual status.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jc w:val="both"/>
        <w:ind w:firstLine="405"/>
        <w:spacing w:after="0" w:line="255" w:lineRule="auto"/>
        <w:rPr>
          <w:sz w:val="20"/>
          <w:szCs w:val="20"/>
          <w:color w:val="auto"/>
        </w:rPr>
      </w:pPr>
      <w:r>
        <w:rPr>
          <w:rFonts w:ascii="Arial" w:cs="Arial" w:eastAsia="Arial" w:hAnsi="Arial"/>
          <w:sz w:val="18"/>
          <w:szCs w:val="18"/>
          <w:color w:val="auto"/>
        </w:rPr>
        <w:t>We receive a variety of fees from borrowers in the ordinary course of conducting our business, including advisory fees, commitment fees, amendment fees, non-utilization fees, success fees and prepayment fees. In a limited number of cases, we may also receive a non-refundable deposit earned upon the termination of a transaction. Debt investment origination fees, net of certain direct origination costs, are deferred, and along with unearned income, are amortized as a level yield adjustment over the respective term of the debt investment. All other income is recorded into income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1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Certain debt investment agreements also require the borrower to make an ETP that is accrued into income over the life of the debt investment to the extent such amounts are expected to be collected. We will generally cease accruing the income if there is insufficient value to support the accrual or if we do not expect the borrower to be able to pay all principal and interest due.</w:t>
      </w:r>
    </w:p>
    <w:p>
      <w:pPr>
        <w:spacing w:after="0" w:line="18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connection with substantially all lending arrangements, we receive warrants to purchase shares of stock from the borrower. We record the warrants as assets at estimated fair value on the grant date using the Black-Scholes valuation model. We consider the warrants as loan fees and record them as unearned income on the grant date. The unearned income is recognized as interest income over the contractual life of the related debt investment in accordance with our income recognition policy. Subsequent to origination, the warrants are also measured at fair value using the Black-Scholes valuation model. Any adjustment to fair value is recorded through earnings as net unrealized gain or loss on investments. Gains and losses from the disposition of the warrants or stock acquired from the exercise of warrants are recognized as realized gains and losses on investments.</w:t>
      </w:r>
    </w:p>
    <w:p>
      <w:pPr>
        <w:spacing w:after="0" w:line="17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Realized gains or losses on the sale of investments, or upon the determination that an investment balance, or portion thereof, is not recoverable, are calculated using the specific identification method. We measure realized gains or losses by calculating the difference between the net proceeds from the repayment or sale and the amortized cost basis of the investment. Net change in unrealized appreciation or depreciation reflects the change in the fair values of our portfolio investments during the reporting period, including any reversal of previously recorded unrealized appreciation or depreciation, when gains or losses are realized.</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elected to be treated as a RIC under Subchapter M of the Code and operate in a manner so as to qualify for the tax treatment applicable to RICs. In order to qualify as a RIC and to avoid the imposition of corporate-level U.S. federal income tax on the amounts we distribute to our stockholders, among other things, we are required to meet certain source of income and asset diversification requirements, and we must timely distribute dividends to our stockholders out of assets legally available for distribution each tax year of an amount generally at least equal to 90% of our investment company taxable income, as defined by the Code and determined without regard to any deduction for dividends paid. We, among other things, have made and intend to continue to make the requisite distributions to our stockholders, which will generally relieve us from incurring any material liability for U.S. federal income taxes.</w:t>
      </w:r>
    </w:p>
    <w:p>
      <w:pPr>
        <w:spacing w:after="0" w:line="1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Depending on the level of taxable income earned in a tax year, we may choose to carry forward taxable income in excess of current year distributions into the next tax year and incur a 4% excise tax on such income, as required. To the extent that we determine that our estimated current year annual taxable income will be in excess of estimated current year distributions, we will accrue excise tax, if any, on estimated excess taxable income as taxable income is earned.</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evaluate tax positions taken in the course of preparing our tax returns to determine whether the tax positions are “more-likely-than-not” to be sustained by the applicable tax authority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 modified by ASC Topic 946,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 </w:t>
      </w:r>
      <w:r>
        <w:rPr>
          <w:rFonts w:ascii="Arial" w:cs="Arial" w:eastAsia="Arial" w:hAnsi="Arial"/>
          <w:sz w:val="18"/>
          <w:szCs w:val="18"/>
          <w:i w:val="1"/>
          <w:iCs w:val="1"/>
          <w:color w:val="auto"/>
        </w:rPr>
        <w:t>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Companies</w:t>
      </w:r>
      <w:r>
        <w:rPr>
          <w:rFonts w:ascii="Arial" w:cs="Arial" w:eastAsia="Arial" w:hAnsi="Arial"/>
          <w:sz w:val="18"/>
          <w:szCs w:val="18"/>
          <w:color w:val="auto"/>
        </w:rPr>
        <w:t>. Tax benefits of positions not deemed to meet the more-likely-than-not threshold, or uncertain tax positions, are recorded as a tax expense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year. It is our policy to recognize accrued interest and penalties related to uncertain tax benefits in income tax expense. We had no material uncertain tax positions at September 30, 2017 and December 31, 2016.</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ind w:left="1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On October 11, 2017, as a result of the underwriters’ full exercise of their option to purchase additional 2022 Notes, we issued an additional $4.9 million in aggregate principal amount of the 2022 Notes and received net proceeds of approximately $4.7 million after the payment of fees and offering costs.</w:t>
      </w:r>
    </w:p>
    <w:p>
      <w:pPr>
        <w:spacing w:after="0" w:line="12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On the Redemption Date, we redeemed all of the issued and outstanding 2019 Notes in an aggregate principal amount of $33.0 million and paid accrued interest of $0.3 million. We utilized available borrowings under the Key Facility to redeem the 2019 Notes. The 2019 Notes were delisted effective on the Redemption Date. We incurred interest expense of $0.3 million due to the acceleration of unamortized debt issuance costs related to the 2019 Notes.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auto"/>
        </w:rPr>
        <w:t>We are subject to financial market risks, including changes in interest rates. During the periods covered by our financial statements, the interest rates on the debt investments within our portfolio were primarily at floating rates.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that our debt investments in the future will primarily have floating interest rates. As of September 30, 2017 and December 31, 2016, 99% and 96%, respectively, of the outstanding principal amount of our debt investments bore interest at floating rates. The initial commitments to lend to our portfolio companies are usually based on a floating LIBOR index.</w:t>
      </w:r>
    </w:p>
    <w:p>
      <w:pPr>
        <w:spacing w:after="0" w:line="1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Based on our September 30, 2017 consolidated statement of assets and liabilities (without adjustment for potential changes in the credit market, credit quality, size and composition of assets on the consolidated statement of assets and liabilities or other business developments that could affect net income), the following table shows the annual impact on the change in net assets resulting from operations of changes in interest rates, which assumes no changes in our investments and borrowings:</w:t>
      </w:r>
    </w:p>
    <w:p>
      <w:pPr>
        <w:spacing w:after="0" w:line="399" w:lineRule="exact"/>
        <w:rPr>
          <w:sz w:val="20"/>
          <w:szCs w:val="20"/>
          <w:color w:val="auto"/>
        </w:rPr>
      </w:pPr>
    </w:p>
    <w:tbl>
      <w:tblPr>
        <w:tblLayout w:type="fixed"/>
        <w:tblInd w:w="460" w:type="dxa"/>
        <w:tblCellMar>
          <w:top w:w="0" w:type="dxa"/>
          <w:left w:w="0" w:type="dxa"/>
          <w:bottom w:w="0" w:type="dxa"/>
          <w:right w:w="0" w:type="dxa"/>
        </w:tblCellMar>
      </w:tblPr>
      <w:tr>
        <w:trPr>
          <w:trHeight w:val="221"/>
        </w:trPr>
        <w:tc>
          <w:tcPr>
            <w:tcW w:w="38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Interest</w:t>
            </w:r>
          </w:p>
        </w:tc>
        <w:tc>
          <w:tcPr>
            <w:tcW w:w="26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Interest</w:t>
            </w: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Change in</w:t>
            </w:r>
          </w:p>
        </w:tc>
      </w:tr>
      <w:tr>
        <w:trPr>
          <w:trHeight w:val="270"/>
        </w:trPr>
        <w:tc>
          <w:tcPr>
            <w:tcW w:w="3860" w:type="dxa"/>
            <w:vAlign w:val="bottom"/>
          </w:tcPr>
          <w:p>
            <w:pPr>
              <w:spacing w:after="0"/>
              <w:rPr>
                <w:sz w:val="20"/>
                <w:szCs w:val="20"/>
                <w:color w:val="auto"/>
              </w:rPr>
            </w:pPr>
            <w:r>
              <w:rPr>
                <w:rFonts w:ascii="Arial" w:cs="Arial" w:eastAsia="Arial" w:hAnsi="Arial"/>
                <w:sz w:val="18"/>
                <w:szCs w:val="18"/>
                <w:b w:val="1"/>
                <w:bCs w:val="1"/>
                <w:color w:val="auto"/>
              </w:rPr>
              <w:t>Change in basis points</w:t>
            </w:r>
          </w:p>
        </w:tc>
        <w:tc>
          <w:tcPr>
            <w:tcW w:w="2320" w:type="dxa"/>
            <w:vAlign w:val="bottom"/>
          </w:tcPr>
          <w:p>
            <w:pPr>
              <w:spacing w:after="0"/>
              <w:rPr>
                <w:sz w:val="23"/>
                <w:szCs w:val="23"/>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Income</w:t>
            </w:r>
          </w:p>
        </w:tc>
        <w:tc>
          <w:tcPr>
            <w:tcW w:w="260" w:type="dxa"/>
            <w:vAlign w:val="bottom"/>
          </w:tcPr>
          <w:p>
            <w:pPr>
              <w:spacing w:after="0"/>
              <w:rPr>
                <w:sz w:val="23"/>
                <w:szCs w:val="23"/>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Expense</w:t>
            </w:r>
          </w:p>
        </w:tc>
        <w:tc>
          <w:tcPr>
            <w:tcW w:w="1240" w:type="dxa"/>
            <w:vAlign w:val="bottom"/>
            <w:gridSpan w:val="3"/>
          </w:tcPr>
          <w:p>
            <w:pPr>
              <w:jc w:val="right"/>
              <w:ind w:right="140"/>
              <w:spacing w:after="0" w:line="269" w:lineRule="exact"/>
              <w:rPr>
                <w:sz w:val="20"/>
                <w:szCs w:val="20"/>
                <w:color w:val="auto"/>
              </w:rPr>
            </w:pPr>
            <w:r>
              <w:rPr>
                <w:rFonts w:ascii="Arial" w:cs="Arial" w:eastAsia="Arial" w:hAnsi="Arial"/>
                <w:sz w:val="18"/>
                <w:szCs w:val="18"/>
                <w:b w:val="1"/>
                <w:bCs w:val="1"/>
                <w:color w:val="auto"/>
                <w:w w:val="91"/>
              </w:rPr>
              <w:t>Net Assets</w:t>
            </w:r>
            <w:r>
              <w:rPr>
                <w:rFonts w:ascii="Arial" w:cs="Arial" w:eastAsia="Arial" w:hAnsi="Arial"/>
                <w:sz w:val="30"/>
                <w:szCs w:val="30"/>
                <w:b w:val="1"/>
                <w:bCs w:val="1"/>
                <w:color w:val="auto"/>
                <w:w w:val="91"/>
                <w:vertAlign w:val="superscript"/>
              </w:rPr>
              <w:t>(1)</w:t>
            </w:r>
          </w:p>
        </w:tc>
      </w:tr>
      <w:tr>
        <w:trPr>
          <w:trHeight w:val="210"/>
        </w:trPr>
        <w:tc>
          <w:tcPr>
            <w:tcW w:w="386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Up 200 basis points</w:t>
            </w:r>
          </w:p>
        </w:tc>
        <w:tc>
          <w:tcPr>
            <w:tcW w:w="2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3,110</w:t>
            </w:r>
          </w:p>
        </w:tc>
        <w:tc>
          <w:tcPr>
            <w:tcW w:w="8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2,441</w:t>
            </w: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Down 300 basis points</w:t>
            </w:r>
          </w:p>
        </w:tc>
        <w:tc>
          <w:tcPr>
            <w:tcW w:w="2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(1,634)</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(1,471)</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(1,317)</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(1,154)</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Down 100 basis points</w:t>
            </w:r>
          </w:p>
        </w:tc>
        <w:tc>
          <w:tcPr>
            <w:tcW w:w="2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(837)</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Excludes the impact of incentive fees based on pre-incentive fee net investment income.</w:t>
      </w:r>
    </w:p>
    <w:p>
      <w:pPr>
        <w:spacing w:after="0" w:line="225" w:lineRule="exact"/>
        <w:rPr>
          <w:sz w:val="20"/>
          <w:szCs w:val="20"/>
          <w:color w:val="auto"/>
        </w:rPr>
      </w:pPr>
    </w:p>
    <w:p>
      <w:pPr>
        <w:jc w:val="both"/>
        <w:ind w:firstLine="401"/>
        <w:spacing w:after="0" w:line="297" w:lineRule="auto"/>
        <w:rPr>
          <w:sz w:val="20"/>
          <w:szCs w:val="20"/>
          <w:color w:val="auto"/>
        </w:rPr>
      </w:pPr>
      <w:r>
        <w:rPr>
          <w:rFonts w:ascii="Arial" w:cs="Arial" w:eastAsia="Arial" w:hAnsi="Arial"/>
          <w:sz w:val="16"/>
          <w:szCs w:val="16"/>
          <w:color w:val="auto"/>
        </w:rPr>
        <w:t>While our 2019 Notes and 2022 Notes bear interest at a fixed rate, our Key Facility has a floating interest rate provision, subject to a floor of 0.75% per annum, based on a LIBOR index which resets monthly, and any other credit facilities into which we enter in the future may have floating interest rate provisions. We have used hedging instruments in the past to protect us against interest rate fluctuations, and we may use them in the future. Such instruments may include caps, swaps, futures, options and forward contracts. While hedging activities may insulate us against adverse changes in interest rates, they may also limit our ability to participate in the benefits of lower interest rates with respect to the investments in our portfolio with fixed interest rates.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Because we currently fund, and expect to continue to fund, our investments with borrowings, our net income is dependent upon the difference between the rate at which we borrow funds and the rate at which we invest the funds borrowed. Accordingly, there can be no assurance that a significant change in market interest rates will not have a material adverse effect on our net income. In periods of rising interest rates, our cost of funds could increase, which would reduce our net investment income.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2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As of September 30, 2017, we, including our Chief Executive Officer and Chief Financial Officer, evaluated the effectiveness of the design and operation of our disclosure controls and procedures (as defined in Rule 13a-15(e) under the Exchange Act). Based on that evaluation, our management, including our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 Changes in internal controls over financial reporting.</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have been no material changes in our internal control over financial reporting (as defined in Rules 13a-15(f) and 15d-15(f) under the Exchange Act) during our most recently completed fiscal quarter, that have materially affected, or are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Neither we nor our Advisor is currently subject to any material legal proceedings, nor, to our knowledge, is any material legal proceeding threatened against us or against our Advisor.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to other information set forth in this report, you should carefully consider the “Risk Factors” discussed in our annual report on Form 10-K for the year ended December 31, 2016, which could materially affect our business, financial condition and/or operating results. Additional risks and uncertainties not currently known to us or that we currently deem to be immaterial also may materially affect our business, financial condition and/or operating results. There have been no material changes during the nine months ended September 30, 2017 to the risk factors set forth in “Item 1A. Risk Factors” of our annual report on Form 10-K for the year ended December 31,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information regarding our purchases of our common stock for each month in the three month period ended September 30, 2017:</w:t>
      </w:r>
    </w:p>
    <w:p>
      <w:pPr>
        <w:sectPr>
          <w:pgSz w:w="11900" w:h="16838" w:orient="portrait"/>
          <w:cols w:equalWidth="0" w:num="1">
            <w:col w:w="11420"/>
          </w:cols>
          <w:pgMar w:left="240" w:top="905" w:right="239" w:bottom="2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817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23" w:lineRule="exact"/>
        <w:rPr>
          <w:sz w:val="20"/>
          <w:szCs w:val="20"/>
          <w:color w:val="auto"/>
        </w:rPr>
      </w:pPr>
    </w:p>
    <w:p>
      <w:pPr>
        <w:ind w:right="1340"/>
        <w:spacing w:after="0" w:line="264" w:lineRule="auto"/>
        <w:rPr>
          <w:sz w:val="20"/>
          <w:szCs w:val="20"/>
          <w:color w:val="auto"/>
        </w:rPr>
      </w:pPr>
      <w:r>
        <w:rPr>
          <w:rFonts w:ascii="Arial" w:cs="Arial" w:eastAsia="Arial" w:hAnsi="Arial"/>
          <w:sz w:val="18"/>
          <w:szCs w:val="18"/>
          <w:color w:val="auto"/>
        </w:rPr>
        <w:t>July 1, 2017 through July 31, 2017 August 1, 2017 through August 31, 2017 September 1, 2017 through September 30, 2017 Total</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340" w:type="dxa"/>
            <w:vAlign w:val="bottom"/>
          </w:tcPr>
          <w:p>
            <w:pPr>
              <w:spacing w:after="0"/>
              <w:rPr>
                <w:sz w:val="19"/>
                <w:szCs w:val="19"/>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Purchased as</w:t>
            </w:r>
          </w:p>
        </w:tc>
        <w:tc>
          <w:tcPr>
            <w:tcW w:w="158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Part of</w:t>
            </w:r>
          </w:p>
        </w:tc>
        <w:tc>
          <w:tcPr>
            <w:tcW w:w="158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1"/>
              </w:rPr>
              <w:t>Shares that May</w:t>
            </w:r>
          </w:p>
        </w:tc>
      </w:tr>
      <w:tr>
        <w:trPr>
          <w:trHeight w:val="216"/>
        </w:trPr>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Publicly</w:t>
            </w:r>
          </w:p>
        </w:tc>
        <w:tc>
          <w:tcPr>
            <w:tcW w:w="34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Yet Be</w:t>
            </w:r>
          </w:p>
        </w:tc>
      </w:tr>
      <w:tr>
        <w:trPr>
          <w:trHeight w:val="216"/>
        </w:trPr>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58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4"/>
              </w:rPr>
              <w:t>Average Price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c>
          <w:tcPr>
            <w:tcW w:w="34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the Plans or</w:t>
            </w:r>
          </w:p>
        </w:tc>
      </w:tr>
      <w:tr>
        <w:trPr>
          <w:trHeight w:val="270"/>
        </w:trPr>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Purchased</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Paid per Share</w:t>
            </w:r>
          </w:p>
        </w:tc>
        <w:tc>
          <w:tcPr>
            <w:tcW w:w="1240" w:type="dxa"/>
            <w:vAlign w:val="bottom"/>
          </w:tcPr>
          <w:p>
            <w:pPr>
              <w:jc w:val="center"/>
              <w:spacing w:after="0" w:line="269" w:lineRule="exact"/>
              <w:rPr>
                <w:sz w:val="20"/>
                <w:szCs w:val="20"/>
                <w:color w:val="auto"/>
              </w:rPr>
            </w:pPr>
            <w:r>
              <w:rPr>
                <w:rFonts w:ascii="Arial" w:cs="Arial" w:eastAsia="Arial" w:hAnsi="Arial"/>
                <w:sz w:val="18"/>
                <w:szCs w:val="18"/>
                <w:b w:val="1"/>
                <w:bCs w:val="1"/>
                <w:color w:val="auto"/>
                <w:w w:val="84"/>
              </w:rPr>
              <w:t>Programs</w:t>
            </w:r>
            <w:r>
              <w:rPr>
                <w:rFonts w:ascii="Arial" w:cs="Arial" w:eastAsia="Arial" w:hAnsi="Arial"/>
                <w:sz w:val="30"/>
                <w:szCs w:val="30"/>
                <w:b w:val="1"/>
                <w:bCs w:val="1"/>
                <w:color w:val="auto"/>
                <w:w w:val="84"/>
                <w:vertAlign w:val="superscript"/>
              </w:rPr>
              <w:t>(1)</w:t>
            </w:r>
          </w:p>
        </w:tc>
        <w:tc>
          <w:tcPr>
            <w:tcW w:w="340" w:type="dxa"/>
            <w:vAlign w:val="bottom"/>
          </w:tcPr>
          <w:p>
            <w:pPr>
              <w:spacing w:after="0"/>
              <w:rPr>
                <w:sz w:val="23"/>
                <w:szCs w:val="23"/>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Programs</w:t>
            </w:r>
          </w:p>
        </w:tc>
      </w:tr>
      <w:tr>
        <w:trPr>
          <w:trHeight w:val="195"/>
        </w:trPr>
        <w:tc>
          <w:tcPr>
            <w:tcW w:w="5720" w:type="dxa"/>
            <w:vAlign w:val="bottom"/>
            <w:tcBorders>
              <w:top w:val="single" w:sz="8" w:color="auto"/>
            </w:tcBorders>
            <w:gridSpan w:val="8"/>
          </w:tcPr>
          <w:p>
            <w:pPr>
              <w:jc w:val="right"/>
              <w:ind w:right="950"/>
              <w:spacing w:after="0" w:line="195" w:lineRule="exact"/>
              <w:rPr>
                <w:sz w:val="20"/>
                <w:szCs w:val="20"/>
                <w:color w:val="auto"/>
              </w:rPr>
            </w:pPr>
            <w:r>
              <w:rPr>
                <w:rFonts w:ascii="Arial" w:cs="Arial" w:eastAsia="Arial" w:hAnsi="Arial"/>
                <w:sz w:val="18"/>
                <w:szCs w:val="18"/>
                <w:b w:val="1"/>
                <w:bCs w:val="1"/>
                <w:color w:val="auto"/>
              </w:rPr>
              <w:t>(In thousands, except share and per share data)</w:t>
            </w:r>
          </w:p>
        </w:tc>
        <w:tc>
          <w:tcPr>
            <w:tcW w:w="20" w:type="dxa"/>
            <w:vAlign w:val="bottom"/>
          </w:tcPr>
          <w:p>
            <w:pPr>
              <w:spacing w:after="0"/>
              <w:rPr>
                <w:sz w:val="16"/>
                <w:szCs w:val="16"/>
                <w:color w:val="auto"/>
              </w:rPr>
            </w:pPr>
          </w:p>
        </w:tc>
      </w:tr>
      <w:tr>
        <w:trPr>
          <w:trHeight w:val="216"/>
        </w:trPr>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3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3,634</w:t>
            </w:r>
          </w:p>
        </w:tc>
      </w:tr>
      <w:tr>
        <w:trPr>
          <w:trHeight w:val="216"/>
        </w:trPr>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5,923</w:t>
            </w:r>
          </w:p>
        </w:tc>
        <w:tc>
          <w:tcPr>
            <w:tcW w:w="5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9.97</w:t>
            </w:r>
          </w:p>
        </w:tc>
        <w:tc>
          <w:tcPr>
            <w:tcW w:w="1240" w:type="dxa"/>
            <w:vAlign w:val="bottom"/>
          </w:tcPr>
          <w:p>
            <w:pPr>
              <w:jc w:val="right"/>
              <w:spacing w:after="0"/>
              <w:rPr>
                <w:sz w:val="20"/>
                <w:szCs w:val="20"/>
                <w:color w:val="auto"/>
              </w:rPr>
            </w:pPr>
            <w:r>
              <w:rPr>
                <w:rFonts w:ascii="Arial" w:cs="Arial" w:eastAsia="Arial" w:hAnsi="Arial"/>
                <w:sz w:val="18"/>
                <w:szCs w:val="18"/>
                <w:color w:val="auto"/>
              </w:rPr>
              <w:t>5,923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3,121</w:t>
            </w:r>
          </w:p>
        </w:tc>
      </w:tr>
      <w:tr>
        <w:trPr>
          <w:trHeight w:val="244"/>
        </w:trPr>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3,121</w:t>
            </w:r>
          </w:p>
        </w:tc>
      </w:tr>
      <w:tr>
        <w:trPr>
          <w:trHeight w:val="223"/>
        </w:trPr>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5,923</w:t>
            </w: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5,923</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-599440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-325120</wp:posOffset>
            </wp:positionV>
            <wp:extent cx="72466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80" w:space="720"/>
            <w:col w:w="5820"/>
          </w:cols>
          <w:pgMar w:left="240" w:top="905" w:right="239" w:bottom="289" w:gutter="0" w:footer="0" w:header="0"/>
          <w:type w:val="continuous"/>
        </w:sectPr>
      </w:pPr>
    </w:p>
    <w:p>
      <w:pPr>
        <w:spacing w:after="0" w:line="2" w:lineRule="exact"/>
        <w:rPr>
          <w:sz w:val="20"/>
          <w:szCs w:val="20"/>
          <w:color w:val="auto"/>
        </w:rPr>
      </w:pPr>
    </w:p>
    <w:p>
      <w:pPr>
        <w:jc w:val="both"/>
        <w:ind w:left="580" w:hanging="572"/>
        <w:spacing w:after="0" w:line="264" w:lineRule="auto"/>
        <w:tabs>
          <w:tab w:leader="none" w:pos="580" w:val="left"/>
        </w:tabs>
        <w:numPr>
          <w:ilvl w:val="0"/>
          <w:numId w:val="12"/>
        </w:numPr>
        <w:rPr>
          <w:rFonts w:ascii="Arial" w:cs="Arial" w:eastAsia="Arial" w:hAnsi="Arial"/>
          <w:sz w:val="18"/>
          <w:szCs w:val="18"/>
          <w:color w:val="365F91"/>
        </w:rPr>
      </w:pPr>
      <w:r>
        <w:rPr>
          <w:rFonts w:ascii="Arial" w:cs="Arial" w:eastAsia="Arial" w:hAnsi="Arial"/>
          <w:sz w:val="18"/>
          <w:szCs w:val="18"/>
          <w:color w:val="auto"/>
        </w:rPr>
        <w:t>On September 28, 2015, we announced a share repurchase plan which allows us to repurchase up to $5.0 million of our outstanding common stock. The plan was extended by the Board on April 27, 2017 and will expire on the earlier of June 30, 2018 or the repurchase of $5.0 million of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center"/>
        <w:ind w:right="101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9" w:lineRule="exact"/>
        <w:rPr>
          <w:sz w:val="20"/>
          <w:szCs w:val="20"/>
          <w:color w:val="auto"/>
        </w:rPr>
      </w:pPr>
    </w:p>
    <w:p>
      <w:pPr>
        <w:ind w:left="1260" w:right="320" w:hanging="884"/>
        <w:spacing w:after="0" w:line="258" w:lineRule="auto"/>
        <w:tabs>
          <w:tab w:leader="none" w:pos="1240" w:val="left"/>
        </w:tabs>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31.1*</w:t>
        </w:r>
      </w:hyperlink>
      <w:r>
        <w:rPr>
          <w:rFonts w:ascii="Arial" w:cs="Arial" w:eastAsia="Arial" w:hAnsi="Arial"/>
          <w:sz w:val="18"/>
          <w:szCs w:val="18"/>
          <w:u w:val="single" w:color="auto"/>
          <w:color w:val="0000EE"/>
        </w:rPr>
        <w:tab/>
      </w:r>
      <w:hyperlink w:anchor="page56">
        <w:r>
          <w:rPr>
            <w:rFonts w:ascii="Arial" w:cs="Arial" w:eastAsia="Arial" w:hAnsi="Arial"/>
            <w:sz w:val="18"/>
            <w:szCs w:val="18"/>
            <w:u w:val="single" w:color="auto"/>
            <w:color w:val="0000EE"/>
          </w:rPr>
          <w:t>Certifications by Chief Executive Officer pursuant to Exchange Act Rule 13a-14(a), as adopted pursuant to Section 302 of the Sarbanes-</w:t>
        </w:r>
      </w:hyperlink>
      <w:hyperlink w:anchor="page56">
        <w:r>
          <w:rPr>
            <w:rFonts w:ascii="Arial" w:cs="Arial" w:eastAsia="Arial" w:hAnsi="Arial"/>
            <w:sz w:val="18"/>
            <w:szCs w:val="18"/>
            <w:u w:val="single" w:color="auto"/>
            <w:color w:val="0000EE"/>
          </w:rPr>
          <w:t>Oxley Act of 2002, as amended</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60" w:right="380" w:hanging="884"/>
        <w:spacing w:after="0" w:line="250" w:lineRule="auto"/>
        <w:tabs>
          <w:tab w:leader="none" w:pos="1240" w:val="left"/>
        </w:tabs>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31.2*</w:t>
        </w:r>
      </w:hyperlink>
      <w:r>
        <w:rPr>
          <w:rFonts w:ascii="Arial" w:cs="Arial" w:eastAsia="Arial" w:hAnsi="Arial"/>
          <w:sz w:val="18"/>
          <w:szCs w:val="18"/>
          <w:u w:val="single" w:color="auto"/>
          <w:color w:val="0000EE"/>
        </w:rPr>
        <w:tab/>
      </w:r>
      <w:hyperlink w:anchor="page57">
        <w:r>
          <w:rPr>
            <w:rFonts w:ascii="Arial" w:cs="Arial" w:eastAsia="Arial" w:hAnsi="Arial"/>
            <w:sz w:val="18"/>
            <w:szCs w:val="18"/>
            <w:u w:val="single" w:color="auto"/>
            <w:color w:val="0000EE"/>
          </w:rPr>
          <w:t>Certifications by Chief Financial Officer pursuant to Exchange Act Rule 13a-14(a), as adopted pursuant to Section 302 of the Sarbanes-</w:t>
        </w:r>
      </w:hyperlink>
      <w:hyperlink w:anchor="page57">
        <w:r>
          <w:rPr>
            <w:rFonts w:ascii="Arial" w:cs="Arial" w:eastAsia="Arial" w:hAnsi="Arial"/>
            <w:sz w:val="18"/>
            <w:szCs w:val="18"/>
            <w:u w:val="single" w:color="auto"/>
            <w:color w:val="0000EE"/>
          </w:rPr>
          <w:t>Oxley Act of 2002, as amended</w:t>
        </w:r>
      </w:hyperlink>
    </w:p>
    <w:p>
      <w:pPr>
        <w:spacing w:after="0" w:line="1" w:lineRule="exact"/>
        <w:rPr>
          <w:rFonts w:ascii="Arial" w:cs="Arial" w:eastAsia="Arial" w:hAnsi="Arial"/>
          <w:sz w:val="18"/>
          <w:szCs w:val="18"/>
          <w:u w:val="single" w:color="auto"/>
          <w:color w:val="0000EE"/>
        </w:rPr>
      </w:pPr>
    </w:p>
    <w:p>
      <w:pPr>
        <w:ind w:left="1260" w:right="160" w:hanging="884"/>
        <w:spacing w:after="0" w:line="250" w:lineRule="auto"/>
        <w:tabs>
          <w:tab w:leader="none" w:pos="1240" w:val="left"/>
        </w:tabs>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32.1*</w:t>
        </w:r>
      </w:hyperlink>
      <w:r>
        <w:rPr>
          <w:rFonts w:ascii="Arial" w:cs="Arial" w:eastAsia="Arial" w:hAnsi="Arial"/>
          <w:sz w:val="18"/>
          <w:szCs w:val="18"/>
          <w:u w:val="single" w:color="auto"/>
          <w:color w:val="0000EE"/>
        </w:rPr>
        <w:tab/>
      </w:r>
      <w:hyperlink w:anchor="page58">
        <w:r>
          <w:rPr>
            <w:rFonts w:ascii="Arial" w:cs="Arial" w:eastAsia="Arial" w:hAnsi="Arial"/>
            <w:sz w:val="18"/>
            <w:szCs w:val="18"/>
            <w:u w:val="single" w:color="auto"/>
            <w:color w:val="0000EE"/>
          </w:rPr>
          <w:t>Certification of the Chief Executive Officer pursuant to 18 U.S.C. Section 1350, as adopted pursuant to Section 906 of the Sarbanes-Oxley</w:t>
        </w:r>
      </w:hyperlink>
      <w:r>
        <w:rPr>
          <w:rFonts w:ascii="Arial" w:cs="Arial" w:eastAsia="Arial" w:hAnsi="Arial"/>
          <w:sz w:val="18"/>
          <w:szCs w:val="18"/>
          <w:u w:val="single" w:color="auto"/>
          <w:color w:val="0000EE"/>
        </w:rPr>
        <w:t xml:space="preserve"> </w:t>
      </w:r>
      <w:hyperlink w:anchor="page58">
        <w:r>
          <w:rPr>
            <w:rFonts w:ascii="Arial" w:cs="Arial" w:eastAsia="Arial" w:hAnsi="Arial"/>
            <w:sz w:val="18"/>
            <w:szCs w:val="18"/>
            <w:u w:val="single" w:color="auto"/>
            <w:color w:val="0000EE"/>
          </w:rPr>
          <w:t>Act of 2002, as amended</w:t>
        </w:r>
      </w:hyperlink>
    </w:p>
    <w:p>
      <w:pPr>
        <w:spacing w:after="0" w:line="1" w:lineRule="exact"/>
        <w:rPr>
          <w:rFonts w:ascii="Arial" w:cs="Arial" w:eastAsia="Arial" w:hAnsi="Arial"/>
          <w:sz w:val="18"/>
          <w:szCs w:val="18"/>
          <w:u w:val="single" w:color="auto"/>
          <w:color w:val="0000EE"/>
        </w:rPr>
      </w:pPr>
    </w:p>
    <w:p>
      <w:pPr>
        <w:ind w:left="1260" w:right="220" w:hanging="884"/>
        <w:spacing w:after="0" w:line="261" w:lineRule="auto"/>
        <w:tabs>
          <w:tab w:leader="none" w:pos="1240" w:val="left"/>
        </w:tabs>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32.2*</w:t>
        </w:r>
      </w:hyperlink>
      <w:r>
        <w:rPr>
          <w:rFonts w:ascii="Arial" w:cs="Arial" w:eastAsia="Arial" w:hAnsi="Arial"/>
          <w:sz w:val="18"/>
          <w:szCs w:val="18"/>
          <w:u w:val="single" w:color="auto"/>
          <w:color w:val="0000EE"/>
        </w:rPr>
        <w:tab/>
      </w:r>
      <w:hyperlink w:anchor="page59">
        <w:r>
          <w:rPr>
            <w:rFonts w:ascii="Arial" w:cs="Arial" w:eastAsia="Arial" w:hAnsi="Arial"/>
            <w:sz w:val="18"/>
            <w:szCs w:val="18"/>
            <w:u w:val="single" w:color="auto"/>
            <w:color w:val="0000EE"/>
          </w:rPr>
          <w:t>Certification of the Chief Financial Officer pursuant to 18 U.S.C. Section 1350, as adopted pursuant to Section 906 of the Sarbanes-Oxley</w:t>
        </w:r>
      </w:hyperlink>
      <w:r>
        <w:rPr>
          <w:rFonts w:ascii="Arial" w:cs="Arial" w:eastAsia="Arial" w:hAnsi="Arial"/>
          <w:sz w:val="18"/>
          <w:szCs w:val="18"/>
          <w:u w:val="single" w:color="auto"/>
          <w:color w:val="0000EE"/>
        </w:rPr>
        <w:t xml:space="preserve"> </w:t>
      </w:r>
      <w:hyperlink w:anchor="page59">
        <w:r>
          <w:rPr>
            <w:rFonts w:ascii="Arial" w:cs="Arial" w:eastAsia="Arial" w:hAnsi="Arial"/>
            <w:sz w:val="18"/>
            <w:szCs w:val="18"/>
            <w:u w:val="single" w:color="auto"/>
            <w:color w:val="0000EE"/>
          </w:rPr>
          <w:t>Act of 2002, as amended</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4490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1" w:lineRule="exact"/>
        <w:rPr>
          <w:rFonts w:ascii="Arial" w:cs="Arial" w:eastAsia="Arial" w:hAnsi="Arial"/>
          <w:sz w:val="18"/>
          <w:szCs w:val="18"/>
          <w:u w:val="single" w:color="auto"/>
          <w:color w:val="0000EE"/>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289"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9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3"/>
          </w:tcPr>
          <w:p>
            <w:pPr>
              <w:ind w:left="206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ORIZON</w:t>
            </w:r>
            <w:r>
              <w:rPr>
                <w:rFonts w:ascii="Arial" w:cs="Arial" w:eastAsia="Arial" w:hAnsi="Arial"/>
                <w:sz w:val="18"/>
                <w:szCs w:val="18"/>
                <w:color w:val="auto"/>
              </w:rPr>
              <w:t xml:space="preserve"> T</w:t>
            </w:r>
            <w:r>
              <w:rPr>
                <w:rFonts w:ascii="Arial" w:cs="Arial" w:eastAsia="Arial" w:hAnsi="Arial"/>
                <w:sz w:val="12"/>
                <w:szCs w:val="12"/>
                <w:color w:val="auto"/>
              </w:rPr>
              <w:t>ECHNOLOGY</w:t>
            </w:r>
            <w:r>
              <w:rPr>
                <w:rFonts w:ascii="Arial" w:cs="Arial" w:eastAsia="Arial" w:hAnsi="Arial"/>
                <w:sz w:val="18"/>
                <w:szCs w:val="18"/>
                <w:color w:val="auto"/>
              </w:rPr>
              <w:t xml:space="preserve"> F</w:t>
            </w:r>
            <w:r>
              <w:rPr>
                <w:rFonts w:ascii="Arial" w:cs="Arial" w:eastAsia="Arial" w:hAnsi="Arial"/>
                <w:sz w:val="12"/>
                <w:szCs w:val="12"/>
                <w:color w:val="auto"/>
              </w:rPr>
              <w:t>INANCE</w:t>
            </w:r>
            <w:r>
              <w:rPr>
                <w:rFonts w:ascii="Arial" w:cs="Arial" w:eastAsia="Arial" w:hAnsi="Arial"/>
                <w:sz w:val="18"/>
                <w:szCs w:val="18"/>
                <w:color w:val="auto"/>
              </w:rPr>
              <w:t xml:space="preserve"> C</w:t>
            </w:r>
            <w:r>
              <w:rPr>
                <w:rFonts w:ascii="Arial" w:cs="Arial" w:eastAsia="Arial" w:hAnsi="Arial"/>
                <w:sz w:val="12"/>
                <w:szCs w:val="12"/>
                <w:color w:val="auto"/>
              </w:rPr>
              <w:t>ORPORATION</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October 31, 2017</w:t>
            </w:r>
          </w:p>
        </w:tc>
        <w:tc>
          <w:tcPr>
            <w:tcW w:w="2520" w:type="dxa"/>
            <w:vAlign w:val="bottom"/>
          </w:tcPr>
          <w:p>
            <w:pPr>
              <w:ind w:left="206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D. Pomeroy, Jr.</w:t>
            </w:r>
          </w:p>
        </w:tc>
      </w:tr>
      <w:tr>
        <w:trPr>
          <w:trHeight w:val="195"/>
        </w:trPr>
        <w:tc>
          <w:tcPr>
            <w:tcW w:w="3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ind w:left="160"/>
              <w:spacing w:after="0" w:line="195" w:lineRule="exact"/>
              <w:rPr>
                <w:sz w:val="20"/>
                <w:szCs w:val="20"/>
                <w:color w:val="auto"/>
              </w:rPr>
            </w:pPr>
            <w:r>
              <w:rPr>
                <w:rFonts w:ascii="Arial" w:cs="Arial" w:eastAsia="Arial" w:hAnsi="Arial"/>
                <w:sz w:val="18"/>
                <w:szCs w:val="18"/>
                <w:color w:val="auto"/>
              </w:rPr>
              <w:t>Robert D. Pomeroy, Jr.</w:t>
            </w:r>
          </w:p>
        </w:tc>
      </w:tr>
      <w:tr>
        <w:trPr>
          <w:trHeight w:val="230"/>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60"/>
              <w:spacing w:after="0"/>
              <w:rPr>
                <w:sz w:val="20"/>
                <w:szCs w:val="20"/>
                <w:color w:val="auto"/>
              </w:rPr>
            </w:pPr>
            <w:r>
              <w:rPr>
                <w:rFonts w:ascii="Arial" w:cs="Arial" w:eastAsia="Arial" w:hAnsi="Arial"/>
                <w:sz w:val="18"/>
                <w:szCs w:val="18"/>
                <w:color w:val="auto"/>
              </w:rPr>
              <w:t>Chief Executive Officer and Chairman of the Board</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October 31, 2017</w:t>
            </w:r>
          </w:p>
        </w:tc>
        <w:tc>
          <w:tcPr>
            <w:tcW w:w="2520" w:type="dxa"/>
            <w:vAlign w:val="bottom"/>
          </w:tcPr>
          <w:p>
            <w:pPr>
              <w:ind w:left="206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R. Trolio</w:t>
            </w:r>
          </w:p>
        </w:tc>
      </w:tr>
      <w:tr>
        <w:trPr>
          <w:trHeight w:val="195"/>
        </w:trPr>
        <w:tc>
          <w:tcPr>
            <w:tcW w:w="3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ind w:left="160"/>
              <w:spacing w:after="0" w:line="195" w:lineRule="exact"/>
              <w:rPr>
                <w:sz w:val="20"/>
                <w:szCs w:val="20"/>
                <w:color w:val="auto"/>
              </w:rPr>
            </w:pPr>
            <w:r>
              <w:rPr>
                <w:rFonts w:ascii="Arial" w:cs="Arial" w:eastAsia="Arial" w:hAnsi="Arial"/>
                <w:sz w:val="18"/>
                <w:szCs w:val="18"/>
                <w:color w:val="auto"/>
              </w:rPr>
              <w:t>Daniel R. Trolio</w:t>
            </w:r>
          </w:p>
        </w:tc>
      </w:tr>
      <w:tr>
        <w:trPr>
          <w:trHeight w:val="230"/>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r>
        <w:trPr>
          <w:trHeight w:val="648"/>
        </w:trPr>
        <w:tc>
          <w:tcPr>
            <w:tcW w:w="36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55</w:t>
            </w:r>
          </w:p>
        </w:tc>
        <w:tc>
          <w:tcPr>
            <w:tcW w:w="6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EXCHANGE 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 AND 15d-14,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302 OF THE SARBANES-OXLEY ACT OF 2002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D. Pomeroy, Jr., as Chief Executive Officer and Chairman of the Board of Horizon Technology Finance Corporation, certify that:</w:t>
      </w:r>
    </w:p>
    <w:p>
      <w:pPr>
        <w:spacing w:after="0" w:line="225" w:lineRule="exact"/>
        <w:rPr>
          <w:sz w:val="20"/>
          <w:szCs w:val="20"/>
          <w:color w:val="auto"/>
        </w:rPr>
      </w:pPr>
    </w:p>
    <w:p>
      <w:pPr>
        <w:ind w:left="520" w:hanging="188"/>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Horizon Technology Finance Corporation;</w:t>
      </w:r>
    </w:p>
    <w:p>
      <w:pPr>
        <w:spacing w:after="0" w:line="225" w:lineRule="exact"/>
        <w:rPr>
          <w:rFonts w:ascii="Arial" w:cs="Arial" w:eastAsia="Arial" w:hAnsi="Arial"/>
          <w:sz w:val="18"/>
          <w:szCs w:val="18"/>
          <w:color w:val="auto"/>
        </w:rPr>
      </w:pPr>
    </w:p>
    <w:p>
      <w:pPr>
        <w:ind w:firstLine="332"/>
        <w:spacing w:after="0" w:line="342" w:lineRule="auto"/>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332"/>
        <w:spacing w:after="0" w:line="264" w:lineRule="auto"/>
        <w:tabs>
          <w:tab w:leader="none" w:pos="517"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332"/>
        <w:spacing w:after="0" w:line="264" w:lineRule="auto"/>
        <w:tabs>
          <w:tab w:leader="none" w:pos="526"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332"/>
        <w:spacing w:after="0" w:line="277" w:lineRule="auto"/>
        <w:tabs>
          <w:tab w:leader="none" w:pos="5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332"/>
        <w:spacing w:after="0" w:line="308" w:lineRule="auto"/>
        <w:tabs>
          <w:tab w:leader="none" w:pos="5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332"/>
        <w:spacing w:after="0" w:line="277" w:lineRule="auto"/>
        <w:tabs>
          <w:tab w:leader="none" w:pos="5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32"/>
        <w:spacing w:after="0" w:line="277" w:lineRule="auto"/>
        <w:tabs>
          <w:tab w:leader="none" w:pos="52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2017</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D. Pomeroy, Jr.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31902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EXCHANGE 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 AND 15d-14,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302 OF THE SARBANES-OXLEY ACT OF 2002</w:t>
      </w:r>
    </w:p>
    <w:p>
      <w:pPr>
        <w:spacing w:after="0" w:line="20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R. Trolio, as Chief Financial Officer of Horizon Technology Finance Corporation, certify that:</w:t>
      </w:r>
    </w:p>
    <w:p>
      <w:pPr>
        <w:spacing w:after="0" w:line="225" w:lineRule="exact"/>
        <w:rPr>
          <w:sz w:val="20"/>
          <w:szCs w:val="20"/>
          <w:color w:val="auto"/>
        </w:rPr>
      </w:pPr>
    </w:p>
    <w:p>
      <w:pPr>
        <w:ind w:left="520" w:hanging="188"/>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Horizon Technology Finance Corporation;</w:t>
      </w:r>
    </w:p>
    <w:p>
      <w:pPr>
        <w:spacing w:after="0" w:line="225" w:lineRule="exact"/>
        <w:rPr>
          <w:rFonts w:ascii="Arial" w:cs="Arial" w:eastAsia="Arial" w:hAnsi="Arial"/>
          <w:sz w:val="18"/>
          <w:szCs w:val="18"/>
          <w:color w:val="auto"/>
        </w:rPr>
      </w:pPr>
    </w:p>
    <w:p>
      <w:pPr>
        <w:ind w:firstLine="332"/>
        <w:spacing w:after="0" w:line="342" w:lineRule="auto"/>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332"/>
        <w:spacing w:after="0" w:line="264" w:lineRule="auto"/>
        <w:tabs>
          <w:tab w:leader="none" w:pos="517"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332"/>
        <w:spacing w:after="0" w:line="264" w:lineRule="auto"/>
        <w:tabs>
          <w:tab w:leader="none" w:pos="5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332"/>
        <w:spacing w:after="0" w:line="277" w:lineRule="auto"/>
        <w:tabs>
          <w:tab w:leader="none" w:pos="5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332"/>
        <w:spacing w:after="0" w:line="308" w:lineRule="auto"/>
        <w:tabs>
          <w:tab w:leader="none" w:pos="5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332"/>
        <w:spacing w:after="0" w:line="277" w:lineRule="auto"/>
        <w:tabs>
          <w:tab w:leader="none" w:pos="5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32"/>
        <w:spacing w:after="0" w:line="277" w:lineRule="auto"/>
        <w:tabs>
          <w:tab w:leader="none" w:pos="52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2017</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R. Trolio</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Daniel R. Trolio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31902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Quarterly Report on Form 10-Q of Horizon Technology Finance Corporation (the “Company”) for the quarterly period ended September 30, 2017 as filed with the Securities and Exchange Commission on the date hereof (the “Report”), I, Robert D. Pomeroy, Jr., as Chief Executive Officer and Chairman of the Board, certify, pursuant to 18 U.S.C. Section 1350, as adopted pursuant to Section 906 of Sarbanes-Oxley Act of 2002, as amended, that to my knowledge:</w:t>
      </w:r>
    </w:p>
    <w:p>
      <w:pPr>
        <w:spacing w:after="0" w:line="187" w:lineRule="exact"/>
        <w:rPr>
          <w:sz w:val="20"/>
          <w:szCs w:val="20"/>
          <w:color w:val="auto"/>
        </w:rPr>
      </w:pPr>
    </w:p>
    <w:p>
      <w:pPr>
        <w:ind w:left="460" w:hanging="245"/>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60" w:hanging="245"/>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Robert D. Pomeroy, Jr.</w:t>
      </w:r>
    </w:p>
    <w:p>
      <w:pPr>
        <w:spacing w:after="0" w:line="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Robert D. Pomeroy,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 and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Chairman of the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Quarterly Report on Form 10-Q of Horizon Technology Finance Corporation (the “Company”) for the quarterly period ended September 30, 2017 as filed with the Securities and Exchange Commission on the date hereof (the “Report”), I, Daniel R. Trolio, as Chief Financial Officer of the Company, certify, pursuant to 18 U.S.C. Section 1350, as adopted pursuant to Section 906 of Sarbanes-Oxley Act of 2002, as amended, that to my knowledge:</w:t>
      </w:r>
    </w:p>
    <w:p>
      <w:pPr>
        <w:spacing w:after="0" w:line="187" w:lineRule="exact"/>
        <w:rPr>
          <w:sz w:val="20"/>
          <w:szCs w:val="20"/>
          <w:color w:val="auto"/>
        </w:rPr>
      </w:pPr>
    </w:p>
    <w:p>
      <w:pPr>
        <w:ind w:left="460" w:hanging="245"/>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60" w:hanging="245"/>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Daniel R. Trolio</w:t>
      </w:r>
    </w:p>
    <w:p>
      <w:pPr>
        <w:spacing w:after="0" w:line="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Daniel R. Trolio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9"/>
    </w:lvl>
  </w:abstractNum>
  <w:abstractNum w:abstractNumId="5">
    <w:nsid w:val="7FDCC233"/>
    <w:multiLevelType w:val="hybridMultilevel"/>
    <w:lvl w:ilvl="0">
      <w:lvlJc w:val="left"/>
      <w:lvlText w:val="(%1)"/>
      <w:numFmt w:val="lowerRoman"/>
      <w:start w:val="2"/>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lvl w:ilvl="1">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2019-12-29T03:39:24Z</dcterms:created>
  <dcterms:modified xsi:type="dcterms:W3CDTF">2019-12-29T03:39:24Z</dcterms:modified>
</cp:coreProperties>
</file>