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hrzn20260930_10q.htm"/>
      <w:bookmarkStart w:id="1" w:name="kshrzn20260930_10q"/>
      <w:bookmarkEnd w:id="0"/>
      <w:bookmarkEnd w:id="1"/>
      <w:r>
        <w:t xml:space="preserve">  </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w:t>
      </w:r>
      <w:r>
        <w:rPr>
          <w:rFonts w:ascii="Times New Roman" w:hAnsi="Times New Roman"/>
          <w:caps w:val="false"/>
          <w:smallCaps w:val="false"/>
          <w:sz w:val="32"/>
        </w:rPr>
        <w:t> </w:t>
      </w:r>
      <w:r>
        <w:rPr>
          <w:rFonts w:ascii="Times New Roman" w:hAnsi="Times New Roman"/>
          <w:b/>
          <w:caps w:val="false"/>
          <w:smallCaps w:val="false"/>
          <w:sz w:val="32"/>
        </w:rPr>
        <w:t>10-Q</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tbl>
      <w:tblPr>
        <w:tblW w:w="9550" w:type="dxa"/>
        <w:jc w:val="left"/>
        <w:tblInd w:w="0" w:type="dxa"/>
        <w:tblLayout w:type="fixed"/>
        <w:tblCellMar>
          <w:top w:w="0" w:type="dxa"/>
          <w:left w:w="0" w:type="dxa"/>
          <w:bottom w:w="0" w:type="dxa"/>
          <w:right w:w="0" w:type="dxa"/>
        </w:tblCellMar>
      </w:tblPr>
      <w:tblGrid>
        <w:gridCol w:w="245"/>
        <w:gridCol w:w="9305"/>
      </w:tblGrid>
      <w:tr>
        <w:tc>
          <w:tcPr>
            <w:tcW w:w="245" w:type="dxa"/>
            <w:tcBorders/>
            <w:vAlign w:val="center"/>
          </w:tcPr>
          <w:p>
            <w:pPr>
              <w:pStyle w:val="TableContents"/>
              <w:bidi w:val="0"/>
              <w:spacing w:before="0" w:after="0"/>
              <w:ind w:left="18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b/>
                <w:caps w:val="false"/>
                <w:smallCaps w:val="false"/>
                <w:sz w:val="18"/>
              </w:rPr>
              <w:t>QUARTERLY REPORT PURSUANT TO SECTION</w:t>
            </w:r>
            <w:r>
              <w:rPr>
                <w:rFonts w:ascii="Times New Roman;Times;serif" w:hAnsi="Times New Roman;Times;serif"/>
                <w:caps w:val="false"/>
                <w:smallCaps w:val="false"/>
                <w:sz w:val="18"/>
              </w:rPr>
              <w:t> </w:t>
            </w:r>
            <w:r>
              <w:rPr>
                <w:rFonts w:ascii="Times New Roman;Times;serif" w:hAnsi="Times New Roman;Times;serif"/>
                <w:b/>
                <w:caps w:val="false"/>
                <w:smallCaps w:val="false"/>
                <w:sz w:val="18"/>
              </w:rPr>
              <w:t>13 OR 15(d)</w:t>
            </w:r>
            <w:r>
              <w:rPr>
                <w:rFonts w:ascii="Times New Roman;Times;serif" w:hAnsi="Times New Roman;Times;serif"/>
                <w:caps w:val="false"/>
                <w:smallCaps w:val="false"/>
                <w:sz w:val="18"/>
              </w:rPr>
              <w:t> </w:t>
            </w:r>
            <w:r>
              <w:rPr>
                <w:rFonts w:ascii="Times New Roman;Times;serif" w:hAnsi="Times New Roman;Times;serif"/>
                <w:b/>
                <w:caps w:val="false"/>
                <w:smallCaps w:val="false"/>
                <w:sz w:val="18"/>
              </w:rPr>
              <w:t>OF THE SECURITIES EXCHANGE ACT OF 1934</w:t>
            </w:r>
          </w:p>
        </w:tc>
      </w:tr>
      <w:tr>
        <w:tc>
          <w:tcPr>
            <w:tcW w:w="245" w:type="dxa"/>
            <w:tcBorders/>
            <w:vAlign w:val="center"/>
          </w:tcPr>
          <w:p>
            <w:pPr>
              <w:pStyle w:val="TableContents"/>
              <w:bidi w:val="0"/>
              <w:spacing w:before="0" w:after="283"/>
              <w:jc w:val="left"/>
            </w:pPr>
            <w:r>
              <w:t> </w:t>
            </w:r>
          </w:p>
        </w:tc>
        <w:tc>
          <w:tcPr>
            <w:tcW w:w="9305" w:type="dxa"/>
            <w:tcBorders/>
            <w:vAlign w:val="center"/>
          </w:tcPr>
          <w:p>
            <w:pPr>
              <w:pStyle w:val="TableContents"/>
              <w:bidi w:val="0"/>
              <w:spacing w:before="0" w:after="283"/>
              <w:jc w:val="left"/>
            </w:pPr>
            <w:r>
              <w:t> </w:t>
            </w:r>
          </w:p>
        </w:tc>
      </w:tr>
      <w:tr>
        <w:tc>
          <w:tcPr>
            <w:tcW w:w="95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FOR THE QUARTERLY PERIOD ENDED </w:t>
            </w:r>
            <w:r>
              <w:rPr>
                <w:rFonts w:ascii="Times New Roman;Times;serif" w:hAnsi="Times New Roman;Times;serif"/>
                <w:b/>
                <w:caps/>
                <w:sz w:val="18"/>
              </w:rPr>
              <w:t>September 30, 2026</w:t>
            </w:r>
          </w:p>
        </w:tc>
      </w:tr>
      <w:tr>
        <w:tc>
          <w:tcPr>
            <w:tcW w:w="245" w:type="dxa"/>
            <w:tcBorders/>
            <w:vAlign w:val="center"/>
          </w:tcPr>
          <w:p>
            <w:pPr>
              <w:pStyle w:val="TableContents"/>
              <w:bidi w:val="0"/>
              <w:spacing w:before="0" w:after="283"/>
              <w:jc w:val="left"/>
            </w:pPr>
            <w:r>
              <w:t> </w:t>
            </w:r>
          </w:p>
        </w:tc>
        <w:tc>
          <w:tcPr>
            <w:tcW w:w="9305" w:type="dxa"/>
            <w:tcBorders/>
            <w:vAlign w:val="center"/>
          </w:tcPr>
          <w:p>
            <w:pPr>
              <w:pStyle w:val="TableContents"/>
              <w:bidi w:val="0"/>
              <w:spacing w:before="0" w:after="283"/>
              <w:jc w:val="left"/>
            </w:pPr>
            <w:r>
              <w:t> </w:t>
            </w:r>
          </w:p>
        </w:tc>
      </w:tr>
      <w:tr>
        <w:tc>
          <w:tcPr>
            <w:tcW w:w="95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OR</w:t>
            </w:r>
          </w:p>
        </w:tc>
      </w:tr>
      <w:tr>
        <w:tc>
          <w:tcPr>
            <w:tcW w:w="245" w:type="dxa"/>
            <w:tcBorders/>
            <w:vAlign w:val="center"/>
          </w:tcPr>
          <w:p>
            <w:pPr>
              <w:pStyle w:val="TableContents"/>
              <w:bidi w:val="0"/>
              <w:spacing w:before="0" w:after="283"/>
              <w:jc w:val="left"/>
            </w:pPr>
            <w:r>
              <w:t> </w:t>
            </w:r>
          </w:p>
        </w:tc>
        <w:tc>
          <w:tcPr>
            <w:tcW w:w="9305" w:type="dxa"/>
            <w:tcBorders/>
            <w:vAlign w:val="center"/>
          </w:tcPr>
          <w:p>
            <w:pPr>
              <w:pStyle w:val="TableContents"/>
              <w:bidi w:val="0"/>
              <w:spacing w:before="0" w:after="283"/>
              <w:jc w:val="left"/>
            </w:pPr>
            <w:r>
              <w:t> </w:t>
            </w:r>
          </w:p>
        </w:tc>
      </w:tr>
      <w:tr>
        <w:tc>
          <w:tcPr>
            <w:tcW w:w="245" w:type="dxa"/>
            <w:tcBorders/>
            <w:vAlign w:val="center"/>
          </w:tcPr>
          <w:p>
            <w:pPr>
              <w:pStyle w:val="TableContents"/>
              <w:bidi w:val="0"/>
              <w:spacing w:before="0" w:after="0"/>
              <w:ind w:left="18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b/>
                <w:caps w:val="false"/>
                <w:smallCaps w:val="false"/>
                <w:sz w:val="18"/>
              </w:rPr>
              <w:t>TRANSITION REPORT PURSUANT TO SECTION</w:t>
            </w:r>
            <w:r>
              <w:rPr>
                <w:rFonts w:ascii="Times New Roman;Times;serif" w:hAnsi="Times New Roman;Times;serif"/>
                <w:caps w:val="false"/>
                <w:smallCaps w:val="false"/>
                <w:sz w:val="18"/>
              </w:rPr>
              <w:t> </w:t>
            </w:r>
            <w:r>
              <w:rPr>
                <w:rFonts w:ascii="Times New Roman;Times;serif" w:hAnsi="Times New Roman;Times;serif"/>
                <w:b/>
                <w:caps w:val="false"/>
                <w:smallCaps w:val="false"/>
                <w:sz w:val="18"/>
              </w:rPr>
              <w:t>13 OR 15(d)</w:t>
            </w:r>
            <w:r>
              <w:rPr>
                <w:rFonts w:ascii="Times New Roman;Times;serif" w:hAnsi="Times New Roman;Times;serif"/>
                <w:caps w:val="false"/>
                <w:smallCaps w:val="false"/>
                <w:sz w:val="18"/>
              </w:rPr>
              <w:t> </w:t>
            </w:r>
            <w:r>
              <w:rPr>
                <w:rFonts w:ascii="Times New Roman;Times;serif" w:hAnsi="Times New Roman;Times;serif"/>
                <w:b/>
                <w:caps w:val="false"/>
                <w:smallCaps w:val="false"/>
                <w:sz w:val="18"/>
              </w:rPr>
              <w:t>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TRANSITION PERIOD FROM _____TO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COMMISSION FILE NUMBER: 814</w:t>
      </w:r>
      <w:r>
        <w:rPr>
          <w:rFonts w:ascii="Times New Roman" w:hAnsi="Times New Roman"/>
          <w:caps w:val="false"/>
          <w:smallCaps w:val="false"/>
          <w:sz w:val="18"/>
        </w:rPr>
        <w:t>-</w:t>
      </w:r>
      <w:r>
        <w:rPr>
          <w:rFonts w:ascii="Times New Roman" w:hAnsi="Times New Roman"/>
          <w:b/>
          <w:caps w:val="false"/>
          <w:smallCaps w:val="false"/>
          <w:sz w:val="18"/>
        </w:rPr>
        <w:t>00802</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HORIZON TECHNOLOGY FINANCE CORPORATION</w:t>
      </w:r>
    </w:p>
    <w:p>
      <w:pPr>
        <w:pStyle w:val="TextBody"/>
        <w:bidi w:val="0"/>
        <w:spacing w:before="0" w:after="0"/>
        <w:ind w:left="0" w:right="0" w:hanging="0"/>
        <w:jc w:val="center"/>
        <w:rPr>
          <w:rFonts w:ascii="Times New Roman" w:hAnsi="Times New Roman"/>
          <w:i/>
          <w:caps w:val="false"/>
          <w:smallCaps w:val="false"/>
          <w:sz w:val="18"/>
        </w:rPr>
      </w:pPr>
      <w:r>
        <w:rPr>
          <w:rFonts w:ascii="Times New Roman" w:hAnsi="Times New Roman"/>
          <w:i/>
          <w:caps w:val="false"/>
          <w:smallCaps w:val="false"/>
          <w:sz w:val="18"/>
        </w:rPr>
        <w:t>(Exact name of registrant as specified in its charter)</w:t>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5015"/>
        <w:gridCol w:w="60"/>
        <w:gridCol w:w="2885"/>
      </w:tblGrid>
      <w:tr>
        <w:tc>
          <w:tcPr>
            <w:tcW w:w="5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pPr>
            <w:r>
              <w:t> </w:t>
            </w:r>
          </w:p>
        </w:tc>
        <w:tc>
          <w:tcPr>
            <w:tcW w:w="28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27-2114934</w:t>
            </w:r>
          </w:p>
        </w:tc>
      </w:tr>
      <w:tr>
        <w:tc>
          <w:tcPr>
            <w:tcW w:w="501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(State or other jurisdiction of incorporation or organization)</w:t>
            </w:r>
          </w:p>
        </w:tc>
        <w:tc>
          <w:tcPr>
            <w:tcW w:w="60" w:type="dxa"/>
            <w:tcBorders/>
            <w:vAlign w:val="center"/>
          </w:tcPr>
          <w:p>
            <w:pPr>
              <w:pStyle w:val="TableContents"/>
              <w:bidi w:val="0"/>
              <w:spacing w:before="0" w:after="283"/>
              <w:jc w:val="left"/>
            </w:pPr>
            <w:r>
              <w:t> </w:t>
            </w:r>
          </w:p>
        </w:tc>
        <w:tc>
          <w:tcPr>
            <w:tcW w:w="288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(I.R.S. Employer Identification No.)</w:t>
            </w:r>
          </w:p>
        </w:tc>
      </w:tr>
      <w:tr>
        <w:tc>
          <w:tcPr>
            <w:tcW w:w="5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312 Farmington Avenue</w:t>
            </w:r>
          </w:p>
        </w:tc>
        <w:tc>
          <w:tcPr>
            <w:tcW w:w="60" w:type="dxa"/>
            <w:tcBorders/>
            <w:vAlign w:val="center"/>
          </w:tcPr>
          <w:p>
            <w:pPr>
              <w:pStyle w:val="TableContents"/>
              <w:bidi w:val="0"/>
              <w:spacing w:before="0" w:after="283"/>
              <w:jc w:val="left"/>
            </w:pPr>
            <w:r>
              <w:t> </w:t>
            </w:r>
          </w:p>
        </w:tc>
        <w:tc>
          <w:tcPr>
            <w:tcW w:w="2885" w:type="dxa"/>
            <w:tcBorders/>
            <w:vAlign w:val="center"/>
          </w:tcPr>
          <w:p>
            <w:pPr>
              <w:pStyle w:val="TableContents"/>
              <w:bidi w:val="0"/>
              <w:spacing w:before="0" w:after="283"/>
              <w:jc w:val="left"/>
            </w:pPr>
            <w:r>
              <w:t> </w:t>
            </w:r>
          </w:p>
        </w:tc>
      </w:tr>
      <w:tr>
        <w:tc>
          <w:tcPr>
            <w:tcW w:w="5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Farmington, CT</w:t>
            </w:r>
          </w:p>
        </w:tc>
        <w:tc>
          <w:tcPr>
            <w:tcW w:w="60" w:type="dxa"/>
            <w:tcBorders/>
            <w:vAlign w:val="center"/>
          </w:tcPr>
          <w:p>
            <w:pPr>
              <w:pStyle w:val="TableContents"/>
              <w:bidi w:val="0"/>
              <w:spacing w:before="0" w:after="283"/>
              <w:jc w:val="left"/>
            </w:pPr>
            <w:r>
              <w:t> </w:t>
            </w:r>
          </w:p>
        </w:tc>
        <w:tc>
          <w:tcPr>
            <w:tcW w:w="28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06032</w:t>
            </w:r>
          </w:p>
        </w:tc>
      </w:tr>
      <w:tr>
        <w:tc>
          <w:tcPr>
            <w:tcW w:w="501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c>
          <w:tcPr>
            <w:tcW w:w="60" w:type="dxa"/>
            <w:tcBorders/>
            <w:vAlign w:val="center"/>
          </w:tcPr>
          <w:p>
            <w:pPr>
              <w:pStyle w:val="TableContents"/>
              <w:bidi w:val="0"/>
              <w:spacing w:before="0" w:after="283"/>
              <w:jc w:val="left"/>
            </w:pPr>
            <w:r>
              <w:t> </w:t>
            </w:r>
          </w:p>
        </w:tc>
        <w:tc>
          <w:tcPr>
            <w:tcW w:w="288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(860) 676</w:t>
      </w:r>
      <w:r>
        <w:rPr>
          <w:rFonts w:ascii="Times New Roman" w:hAnsi="Times New Roman"/>
          <w:caps w:val="false"/>
          <w:smallCaps w:val="false"/>
          <w:sz w:val="18"/>
        </w:rPr>
        <w:noBreakHyphen/>
      </w:r>
      <w:r>
        <w:rPr>
          <w:rFonts w:ascii="Times New Roman" w:hAnsi="Times New Roman"/>
          <w:b/>
          <w:caps w:val="false"/>
          <w:smallCaps w:val="false"/>
          <w:sz w:val="18"/>
        </w:rPr>
        <w:t>8654</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1955"/>
        <w:gridCol w:w="230"/>
        <w:gridCol w:w="60"/>
        <w:gridCol w:w="1940"/>
        <w:gridCol w:w="230"/>
      </w:tblGrid>
      <w:t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pPr>
            <w: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283"/>
              <w:jc w:val="left"/>
            </w:pPr>
            <w:r>
              <w:t>☒</w:t>
            </w:r>
          </w:p>
        </w:tc>
      </w:tr>
      <w:t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283"/>
              <w:jc w:val="left"/>
            </w:pPr>
            <w:r>
              <w:t>☐</w:t>
            </w:r>
          </w:p>
        </w:tc>
        <w:tc>
          <w:tcPr>
            <w:tcW w:w="60" w:type="dxa"/>
            <w:tcBorders/>
            <w:vAlign w:val="center"/>
          </w:tcPr>
          <w:p>
            <w:pPr>
              <w:pStyle w:val="TableContents"/>
              <w:bidi w:val="0"/>
              <w:spacing w:before="0" w:after="283"/>
              <w:jc w:val="left"/>
            </w:pPr>
            <w: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pPr>
            <w:r>
              <w:t> </w:t>
            </w:r>
          </w:p>
        </w:tc>
        <w:tc>
          <w:tcPr>
            <w:tcW w:w="194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75"/>
        <w:gridCol w:w="230"/>
      </w:tblGrid>
      <w:tr>
        <w:tc>
          <w:tcPr>
            <w:tcW w:w="997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9975" w:type="dxa"/>
            <w:tcBorders/>
            <w:vAlign w:val="center"/>
          </w:tcPr>
          <w:p>
            <w:pPr>
              <w:pStyle w:val="TableContents"/>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3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w:t>
        <w:noBreakHyphen/>
        <w:t>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The number of shares of the registrant’s common stock traded under the symbol “HRZN” on the Nasdaq Global Select Market, $0.001 par value per share, outstanding as of November 5, 2026 was 65,134,487.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3095"/>
        <w:gridCol w:w="60"/>
        <w:gridCol w:w="1235"/>
        <w:gridCol w:w="60"/>
        <w:gridCol w:w="3140"/>
      </w:tblGrid>
      <w:tr>
        <w:tc>
          <w:tcPr>
            <w:tcW w:w="309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Title of each class</w:t>
            </w:r>
          </w:p>
        </w:tc>
        <w:tc>
          <w:tcPr>
            <w:tcW w:w="60" w:type="dxa"/>
            <w:tcBorders/>
            <w:tcMar>
              <w:bottom w:w="0" w:type="dxa"/>
            </w:tcMar>
            <w:vAlign w:val="center"/>
          </w:tcPr>
          <w:p>
            <w:pPr>
              <w:pStyle w:val="TableContents"/>
              <w:bidi w:val="0"/>
              <w:spacing w:before="0" w:after="283"/>
              <w:jc w:val="left"/>
            </w:pPr>
            <w: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Ticker symbol(s)</w:t>
            </w:r>
          </w:p>
        </w:tc>
        <w:tc>
          <w:tcPr>
            <w:tcW w:w="60" w:type="dxa"/>
            <w:tcBorders/>
            <w:tcMar>
              <w:bottom w:w="0" w:type="dxa"/>
            </w:tcMar>
            <w:vAlign w:val="center"/>
          </w:tcPr>
          <w:p>
            <w:pPr>
              <w:pStyle w:val="TableContents"/>
              <w:bidi w:val="0"/>
              <w:spacing w:before="0" w:after="283"/>
              <w:jc w:val="left"/>
            </w:pPr>
            <w:r>
              <w:t> </w:t>
            </w:r>
          </w:p>
        </w:tc>
        <w:tc>
          <w:tcPr>
            <w:tcW w:w="31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Name of each exchange on which registered</w:t>
            </w:r>
          </w:p>
        </w:tc>
      </w:tr>
      <w:tr>
        <w:tc>
          <w:tcPr>
            <w:tcW w:w="30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par value $0.001 per share</w:t>
            </w:r>
          </w:p>
        </w:tc>
        <w:tc>
          <w:tcPr>
            <w:tcW w:w="60" w:type="dxa"/>
            <w:tcBorders/>
            <w:tcMar>
              <w:bottom w:w="0" w:type="dxa"/>
            </w:tcMar>
            <w:vAlign w:val="center"/>
          </w:tcPr>
          <w:p>
            <w:pPr>
              <w:pStyle w:val="TableContents"/>
              <w:bidi w:val="0"/>
              <w:spacing w:before="0" w:after="283"/>
              <w:jc w:val="left"/>
            </w:pPr>
            <w:r>
              <w:t> </w:t>
            </w:r>
          </w:p>
        </w:tc>
        <w:tc>
          <w:tcPr>
            <w:tcW w:w="12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HRZN</w:t>
            </w:r>
          </w:p>
        </w:tc>
        <w:tc>
          <w:tcPr>
            <w:tcW w:w="60" w:type="dxa"/>
            <w:tcBorders/>
            <w:tcMar>
              <w:bottom w:w="0" w:type="dxa"/>
            </w:tcMar>
            <w:vAlign w:val="center"/>
          </w:tcPr>
          <w:p>
            <w:pPr>
              <w:pStyle w:val="TableContents"/>
              <w:bidi w:val="0"/>
              <w:spacing w:before="0" w:after="283"/>
              <w:jc w:val="left"/>
            </w:pPr>
            <w:r>
              <w:t> </w:t>
            </w:r>
          </w:p>
        </w:tc>
        <w:tc>
          <w:tcPr>
            <w:tcW w:w="31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tc>
      </w:tr>
      <w:tr>
        <w:tc>
          <w:tcPr>
            <w:tcW w:w="30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6.25% Notes due 2027</w:t>
            </w:r>
          </w:p>
        </w:tc>
        <w:tc>
          <w:tcPr>
            <w:tcW w:w="60" w:type="dxa"/>
            <w:tcBorders/>
            <w:tcMar>
              <w:bottom w:w="0" w:type="dxa"/>
            </w:tcMar>
            <w:vAlign w:val="center"/>
          </w:tcPr>
          <w:p>
            <w:pPr>
              <w:pStyle w:val="TableContents"/>
              <w:bidi w:val="0"/>
              <w:spacing w:before="0" w:after="283"/>
              <w:jc w:val="left"/>
            </w:pPr>
            <w:r>
              <w:t> </w:t>
            </w:r>
          </w:p>
        </w:tc>
        <w:tc>
          <w:tcPr>
            <w:tcW w:w="12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HTFC</w:t>
            </w:r>
          </w:p>
        </w:tc>
        <w:tc>
          <w:tcPr>
            <w:tcW w:w="60" w:type="dxa"/>
            <w:tcBorders/>
            <w:tcMar>
              <w:bottom w:w="0" w:type="dxa"/>
            </w:tcMar>
            <w:vAlign w:val="center"/>
          </w:tcPr>
          <w:p>
            <w:pPr>
              <w:pStyle w:val="TableContents"/>
              <w:bidi w:val="0"/>
              <w:spacing w:before="0" w:after="283"/>
              <w:jc w:val="left"/>
            </w:pPr>
            <w:r>
              <w:t> </w:t>
            </w:r>
          </w:p>
        </w:tc>
        <w:tc>
          <w:tcPr>
            <w:tcW w:w="31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pPr>
      <w:r>
        <w:t xml:space="preserve">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HORIZON TECHNOLOGY FINANCE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10</w:t>
      </w:r>
      <w:r>
        <w:rPr>
          <w:rFonts w:ascii="Times New Roman" w:hAnsi="Times New Roman"/>
          <w:caps w:val="false"/>
          <w:smallCaps w:val="false"/>
          <w:sz w:val="20"/>
        </w:rPr>
        <w:noBreakHyphen/>
      </w:r>
      <w:r>
        <w:rPr>
          <w:rFonts w:ascii="Times New Roman" w:hAnsi="Times New Roman"/>
          <w:b/>
          <w:caps w:val="false"/>
          <w:smallCaps w:val="false"/>
          <w:sz w:val="20"/>
        </w:rPr>
        <w:t>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1100"/>
        <w:gridCol w:w="8665"/>
        <w:gridCol w:w="440"/>
      </w:tblGrid>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c>
          <w:tcPr>
            <w:tcW w:w="10205" w:type="dxa"/>
            <w:gridSpan w:val="3"/>
            <w:tcBorders/>
            <w:vAlign w:val="center"/>
          </w:tcPr>
          <w:p>
            <w:pPr>
              <w:pStyle w:val="TableContents"/>
              <w:bidi w:val="0"/>
              <w:spacing w:before="0" w:after="0"/>
              <w:ind w:left="0" w:right="0" w:hanging="0"/>
              <w:jc w:val="center"/>
            </w:pPr>
            <w:hyperlink w:anchor="parti">
              <w:r>
                <w:rPr>
                  <w:rStyle w:val="InternetLink"/>
                  <w:rFonts w:ascii="Times New Roman" w:hAnsi="Times New Roman"/>
                  <w:b/>
                  <w:caps w:val="false"/>
                  <w:smallCaps w:val="false"/>
                  <w:sz w:val="20"/>
                </w:rPr>
                <w:t>PART</w:t>
              </w:r>
            </w:hyperlink>
            <w:hyperlink w:anchor="parti">
              <w:r>
                <w:rPr>
                  <w:rStyle w:val="InternetLink"/>
                  <w:rFonts w:ascii="Times New Roman" w:hAnsi="Times New Roman"/>
                  <w:caps w:val="false"/>
                  <w:smallCaps w:val="false"/>
                  <w:sz w:val="20"/>
                </w:rPr>
                <w:t> </w:t>
              </w:r>
            </w:hyperlink>
            <w:hyperlink w:anchor="parti">
              <w:r>
                <w:rPr>
                  <w:rStyle w:val="InternetLink"/>
                  <w:rFonts w:ascii="Times New Roman" w:hAnsi="Times New Roman"/>
                  <w:b/>
                  <w:caps w:val="false"/>
                  <w:smallCaps w:val="false"/>
                  <w:sz w:val="20"/>
                </w:rPr>
                <w:t>I</w:t>
              </w:r>
            </w:hyperlink>
          </w:p>
        </w:tc>
      </w:tr>
      <w:tr>
        <w:tc>
          <w:tcPr>
            <w:tcW w:w="1100" w:type="dxa"/>
            <w:tcBorders/>
            <w:vAlign w:val="center"/>
          </w:tcPr>
          <w:p>
            <w:pPr>
              <w:pStyle w:val="TableContents"/>
              <w:bidi w:val="0"/>
              <w:spacing w:before="0" w:after="0"/>
              <w:ind w:left="0" w:right="0" w:hanging="0"/>
              <w:jc w:val="left"/>
            </w:pPr>
            <w:hyperlink w:anchor="parti">
              <w:r>
                <w:rPr>
                  <w:rStyle w:val="InternetLink"/>
                  <w:rFonts w:ascii="Times New Roman" w:hAnsi="Times New Roman"/>
                  <w:caps w:val="false"/>
                  <w:smallCaps w:val="false"/>
                  <w:sz w:val="20"/>
                </w:rPr>
                <w:t>Item 1</w:t>
              </w:r>
            </w:hyperlink>
          </w:p>
        </w:tc>
        <w:tc>
          <w:tcPr>
            <w:tcW w:w="8665" w:type="dxa"/>
            <w:tcBorders/>
            <w:vAlign w:val="center"/>
          </w:tcPr>
          <w:p>
            <w:pPr>
              <w:pStyle w:val="TableContents"/>
              <w:bidi w:val="0"/>
              <w:spacing w:before="0" w:after="0"/>
              <w:ind w:left="0" w:right="0" w:hanging="0"/>
              <w:jc w:val="left"/>
            </w:pPr>
            <w:hyperlink w:anchor="parti">
              <w:r>
                <w:rPr>
                  <w:rStyle w:val="InternetLink"/>
                  <w:rFonts w:ascii="Times New Roman" w:hAnsi="Times New Roman"/>
                  <w:caps w:val="false"/>
                  <w:smallCaps w:val="false"/>
                  <w:sz w:val="20"/>
                </w:rPr>
                <w:t>Consolidated Financial Statements.</w:t>
              </w:r>
            </w:hyperlink>
          </w:p>
        </w:tc>
        <w:tc>
          <w:tcPr>
            <w:tcW w:w="440" w:type="dxa"/>
            <w:tcBorders/>
            <w:vAlign w:val="center"/>
          </w:tcPr>
          <w:p>
            <w:pPr>
              <w:pStyle w:val="TableContents"/>
              <w:bidi w:val="0"/>
              <w:spacing w:before="0" w:after="0"/>
              <w:ind w:left="0" w:right="0" w:hanging="0"/>
              <w:jc w:val="right"/>
            </w:pPr>
            <w:hyperlink w:anchor="parti">
              <w:r>
                <w:rPr>
                  <w:rStyle w:val="InternetLink"/>
                  <w:rFonts w:ascii="Times New Roman" w:hAnsi="Times New Roman"/>
                  <w:caps w:val="false"/>
                  <w:smallCaps w:val="false"/>
                  <w:sz w:val="20"/>
                </w:rPr>
                <w:t>3</w:t>
              </w:r>
            </w:hyperlink>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0"/>
              <w:ind w:left="0" w:right="0" w:hanging="0"/>
              <w:jc w:val="left"/>
            </w:pPr>
            <w:hyperlink w:anchor="parti">
              <w:r>
                <w:rPr>
                  <w:rStyle w:val="InternetLink"/>
                  <w:rFonts w:ascii="Times New Roman" w:hAnsi="Times New Roman"/>
                  <w:caps w:val="false"/>
                  <w:smallCaps w:val="false"/>
                  <w:sz w:val="20"/>
                </w:rPr>
                <w:t>Consolidated Statements of Assets and Liabilities as of September 30, 2026 (unaudited) and December 31, 2025</w:t>
              </w:r>
            </w:hyperlink>
          </w:p>
        </w:tc>
        <w:tc>
          <w:tcPr>
            <w:tcW w:w="440" w:type="dxa"/>
            <w:tcBorders/>
            <w:vAlign w:val="center"/>
          </w:tcPr>
          <w:p>
            <w:pPr>
              <w:pStyle w:val="TableContents"/>
              <w:bidi w:val="0"/>
              <w:spacing w:before="0" w:after="0"/>
              <w:ind w:left="0" w:right="0" w:hanging="0"/>
              <w:jc w:val="right"/>
            </w:pPr>
            <w:hyperlink w:anchor="parti">
              <w:r>
                <w:rPr>
                  <w:rStyle w:val="InternetLink"/>
                  <w:rFonts w:ascii="Times New Roman" w:hAnsi="Times New Roman"/>
                  <w:caps w:val="false"/>
                  <w:smallCaps w:val="false"/>
                  <w:sz w:val="20"/>
                </w:rPr>
                <w:t>3</w:t>
              </w:r>
            </w:hyperlink>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0"/>
              <w:ind w:left="0" w:right="0" w:hanging="0"/>
              <w:jc w:val="left"/>
            </w:pPr>
            <w:hyperlink w:anchor="income">
              <w:r>
                <w:rPr>
                  <w:rStyle w:val="InternetLink"/>
                  <w:rFonts w:ascii="Times New Roman" w:hAnsi="Times New Roman"/>
                  <w:caps w:val="false"/>
                  <w:smallCaps w:val="false"/>
                  <w:sz w:val="20"/>
                </w:rPr>
                <w:t>Consolidated Statements of Operations for the three and nine months ended September 30, 2026 and 2025 (unaudited)</w:t>
              </w:r>
            </w:hyperlink>
          </w:p>
        </w:tc>
        <w:tc>
          <w:tcPr>
            <w:tcW w:w="440" w:type="dxa"/>
            <w:tcBorders/>
            <w:vAlign w:val="center"/>
          </w:tcPr>
          <w:p>
            <w:pPr>
              <w:pStyle w:val="TableContents"/>
              <w:bidi w:val="0"/>
              <w:spacing w:before="0" w:after="0"/>
              <w:ind w:left="0" w:right="0" w:hanging="0"/>
              <w:jc w:val="right"/>
            </w:pPr>
            <w:hyperlink w:anchor="income">
              <w:r>
                <w:rPr>
                  <w:rStyle w:val="InternetLink"/>
                  <w:rFonts w:ascii="Times New Roman" w:hAnsi="Times New Roman"/>
                  <w:caps w:val="false"/>
                  <w:smallCaps w:val="false"/>
                  <w:sz w:val="20"/>
                </w:rPr>
                <w:t>4</w:t>
              </w:r>
            </w:hyperlink>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0"/>
              <w:ind w:left="0" w:right="0" w:hanging="0"/>
              <w:jc w:val="left"/>
            </w:pPr>
            <w:hyperlink w:anchor="she">
              <w:r>
                <w:rPr>
                  <w:rStyle w:val="InternetLink"/>
                  <w:rFonts w:ascii="Times New Roman" w:hAnsi="Times New Roman"/>
                  <w:caps w:val="false"/>
                  <w:smallCaps w:val="false"/>
                  <w:sz w:val="20"/>
                </w:rPr>
                <w:t>Consolidated Statements of Changes in Net Assets for the three and nine months ended September 30, 2026 and 2025 (unaudited)</w:t>
              </w:r>
            </w:hyperlink>
          </w:p>
        </w:tc>
        <w:tc>
          <w:tcPr>
            <w:tcW w:w="440" w:type="dxa"/>
            <w:tcBorders/>
            <w:vAlign w:val="center"/>
          </w:tcPr>
          <w:p>
            <w:pPr>
              <w:pStyle w:val="TableContents"/>
              <w:bidi w:val="0"/>
              <w:spacing w:before="0" w:after="0"/>
              <w:ind w:left="0" w:right="0" w:hanging="0"/>
              <w:jc w:val="right"/>
            </w:pPr>
            <w:hyperlink w:anchor="she">
              <w:r>
                <w:rPr>
                  <w:rStyle w:val="InternetLink"/>
                  <w:rFonts w:ascii="Times New Roman" w:hAnsi="Times New Roman"/>
                  <w:caps w:val="false"/>
                  <w:smallCaps w:val="false"/>
                  <w:sz w:val="20"/>
                </w:rPr>
                <w:t>5</w:t>
              </w:r>
            </w:hyperlink>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0"/>
              <w:ind w:left="0" w:right="0" w:hanging="0"/>
              <w:jc w:val="left"/>
            </w:pPr>
            <w:hyperlink w:anchor="cf">
              <w:r>
                <w:rPr>
                  <w:rStyle w:val="InternetLink"/>
                  <w:rFonts w:ascii="Times New Roman" w:hAnsi="Times New Roman"/>
                  <w:caps w:val="false"/>
                  <w:smallCaps w:val="false"/>
                  <w:sz w:val="20"/>
                </w:rPr>
                <w:t>Consolidated Statements of Cash Flows for the nine months ended September 30, 2026 and 2025 (unaudited)</w:t>
              </w:r>
            </w:hyperlink>
          </w:p>
        </w:tc>
        <w:tc>
          <w:tcPr>
            <w:tcW w:w="440" w:type="dxa"/>
            <w:tcBorders/>
            <w:vAlign w:val="center"/>
          </w:tcPr>
          <w:p>
            <w:pPr>
              <w:pStyle w:val="TableContents"/>
              <w:bidi w:val="0"/>
              <w:spacing w:before="0" w:after="0"/>
              <w:ind w:left="0" w:right="0" w:hanging="0"/>
              <w:jc w:val="right"/>
            </w:pPr>
            <w:hyperlink w:anchor="cf">
              <w:r>
                <w:rPr>
                  <w:rStyle w:val="InternetLink"/>
                  <w:rFonts w:ascii="Times New Roman" w:hAnsi="Times New Roman"/>
                  <w:caps w:val="false"/>
                  <w:smallCaps w:val="false"/>
                  <w:sz w:val="20"/>
                </w:rPr>
                <w:t>6</w:t>
              </w:r>
            </w:hyperlink>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0"/>
              <w:ind w:left="0" w:right="0" w:hanging="0"/>
              <w:jc w:val="left"/>
            </w:pPr>
            <w:hyperlink w:anchor="invstmt">
              <w:r>
                <w:rPr>
                  <w:rStyle w:val="InternetLink"/>
                  <w:rFonts w:ascii="Times New Roman" w:hAnsi="Times New Roman"/>
                  <w:caps w:val="false"/>
                  <w:smallCaps w:val="false"/>
                  <w:sz w:val="20"/>
                </w:rPr>
                <w:t>Consolidated Schedules of Investments as of September 30, 2026 (unaudited) and December 31, 2025</w:t>
              </w:r>
            </w:hyperlink>
          </w:p>
        </w:tc>
        <w:tc>
          <w:tcPr>
            <w:tcW w:w="440" w:type="dxa"/>
            <w:tcBorders/>
            <w:vAlign w:val="center"/>
          </w:tcPr>
          <w:p>
            <w:pPr>
              <w:pStyle w:val="TableContents"/>
              <w:bidi w:val="0"/>
              <w:spacing w:before="0" w:after="0"/>
              <w:ind w:left="0" w:right="0" w:hanging="0"/>
              <w:jc w:val="right"/>
            </w:pPr>
            <w:hyperlink w:anchor="invstmt">
              <w:r>
                <w:rPr>
                  <w:rStyle w:val="InternetLink"/>
                  <w:rFonts w:ascii="Times New Roman" w:hAnsi="Times New Roman"/>
                  <w:caps w:val="false"/>
                  <w:smallCaps w:val="false"/>
                  <w:sz w:val="20"/>
                </w:rPr>
                <w:t>8</w:t>
              </w:r>
            </w:hyperlink>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0"/>
              <w:ind w:left="0" w:right="0" w:hanging="0"/>
              <w:jc w:val="left"/>
            </w:pPr>
            <w:hyperlink w:anchor="notes">
              <w:r>
                <w:rPr>
                  <w:rStyle w:val="InternetLink"/>
                  <w:rFonts w:ascii="Times New Roman" w:hAnsi="Times New Roman"/>
                  <w:caps w:val="false"/>
                  <w:smallCaps w:val="false"/>
                  <w:sz w:val="20"/>
                </w:rPr>
                <w:t>Notes to the Consolidated Financial Statements (unaudited)</w:t>
              </w:r>
            </w:hyperlink>
          </w:p>
        </w:tc>
        <w:tc>
          <w:tcPr>
            <w:tcW w:w="440" w:type="dxa"/>
            <w:tcBorders/>
            <w:vAlign w:val="center"/>
          </w:tcPr>
          <w:p>
            <w:pPr>
              <w:pStyle w:val="TableContents"/>
              <w:bidi w:val="0"/>
              <w:spacing w:before="0" w:after="0"/>
              <w:ind w:left="0" w:right="0" w:hanging="0"/>
              <w:jc w:val="right"/>
            </w:pPr>
            <w:hyperlink w:anchor="notes">
              <w:r>
                <w:rPr>
                  <w:rStyle w:val="InternetLink"/>
                  <w:rFonts w:ascii="Times New Roman" w:hAnsi="Times New Roman"/>
                  <w:caps w:val="false"/>
                  <w:smallCaps w:val="false"/>
                  <w:sz w:val="20"/>
                </w:rPr>
                <w:t>29</w:t>
              </w:r>
            </w:hyperlink>
          </w:p>
        </w:tc>
      </w:tr>
      <w:tr>
        <w:tc>
          <w:tcPr>
            <w:tcW w:w="1100" w:type="dxa"/>
            <w:tcBorders/>
            <w:vAlign w:val="center"/>
          </w:tcPr>
          <w:p>
            <w:pPr>
              <w:pStyle w:val="TableContents"/>
              <w:bidi w:val="0"/>
              <w:spacing w:before="0" w:after="0"/>
              <w:ind w:left="0" w:right="0" w:hanging="0"/>
              <w:jc w:val="left"/>
            </w:pPr>
            <w:hyperlink w:anchor="mda">
              <w:r>
                <w:rPr>
                  <w:rStyle w:val="InternetLink"/>
                  <w:rFonts w:ascii="Times New Roman" w:hAnsi="Times New Roman"/>
                  <w:caps w:val="false"/>
                  <w:smallCaps w:val="false"/>
                  <w:sz w:val="20"/>
                </w:rPr>
                <w:t>Item 2.</w:t>
              </w:r>
            </w:hyperlink>
          </w:p>
        </w:tc>
        <w:tc>
          <w:tcPr>
            <w:tcW w:w="8665" w:type="dxa"/>
            <w:tcBorders/>
            <w:vAlign w:val="center"/>
          </w:tcPr>
          <w:p>
            <w:pPr>
              <w:pStyle w:val="TableContents"/>
              <w:bidi w:val="0"/>
              <w:spacing w:before="0" w:after="0"/>
              <w:ind w:left="0" w:right="0" w:hanging="0"/>
              <w:jc w:val="left"/>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pPr>
            <w:hyperlink w:anchor="mda">
              <w:r>
                <w:rPr>
                  <w:rStyle w:val="InternetLink"/>
                  <w:rFonts w:ascii="Times New Roman" w:hAnsi="Times New Roman"/>
                  <w:caps w:val="false"/>
                  <w:smallCaps w:val="false"/>
                  <w:sz w:val="20"/>
                </w:rPr>
                <w:t>61</w:t>
              </w:r>
            </w:hyperlink>
          </w:p>
        </w:tc>
      </w:tr>
      <w:tr>
        <w:tc>
          <w:tcPr>
            <w:tcW w:w="1100" w:type="dxa"/>
            <w:tcBorders/>
            <w:vAlign w:val="center"/>
          </w:tcPr>
          <w:p>
            <w:pPr>
              <w:pStyle w:val="TableContents"/>
              <w:bidi w:val="0"/>
              <w:spacing w:before="0" w:after="0"/>
              <w:ind w:left="0" w:right="0" w:hanging="0"/>
              <w:jc w:val="left"/>
            </w:pPr>
            <w:hyperlink w:anchor="qqdmr">
              <w:r>
                <w:rPr>
                  <w:rStyle w:val="InternetLink"/>
                  <w:rFonts w:ascii="Times New Roman" w:hAnsi="Times New Roman"/>
                  <w:caps w:val="false"/>
                  <w:smallCaps w:val="false"/>
                  <w:sz w:val="20"/>
                </w:rPr>
                <w:t>Item 3.</w:t>
              </w:r>
            </w:hyperlink>
          </w:p>
        </w:tc>
        <w:tc>
          <w:tcPr>
            <w:tcW w:w="8665" w:type="dxa"/>
            <w:tcBorders/>
            <w:vAlign w:val="center"/>
          </w:tcPr>
          <w:p>
            <w:pPr>
              <w:pStyle w:val="TableContents"/>
              <w:bidi w:val="0"/>
              <w:spacing w:before="0" w:after="0"/>
              <w:ind w:left="0" w:right="0" w:hanging="0"/>
              <w:jc w:val="left"/>
            </w:pPr>
            <w:hyperlink w:anchor="qqdmr">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pPr>
            <w:hyperlink w:anchor="qqdmr">
              <w:r>
                <w:rPr>
                  <w:rStyle w:val="InternetLink"/>
                  <w:rFonts w:ascii="Times New Roman" w:hAnsi="Times New Roman"/>
                  <w:caps w:val="false"/>
                  <w:smallCaps w:val="false"/>
                  <w:sz w:val="20"/>
                </w:rPr>
                <w:t>82</w:t>
              </w:r>
            </w:hyperlink>
          </w:p>
        </w:tc>
      </w:tr>
      <w:tr>
        <w:tc>
          <w:tcPr>
            <w:tcW w:w="1100" w:type="dxa"/>
            <w:tcBorders/>
            <w:vAlign w:val="center"/>
          </w:tcPr>
          <w:p>
            <w:pPr>
              <w:pStyle w:val="TableContents"/>
              <w:bidi w:val="0"/>
              <w:spacing w:before="0" w:after="0"/>
              <w:ind w:left="0" w:right="0" w:hanging="0"/>
              <w:jc w:val="left"/>
            </w:pPr>
            <w:hyperlink w:anchor="cps">
              <w:r>
                <w:rPr>
                  <w:rStyle w:val="InternetLink"/>
                  <w:rFonts w:ascii="Times New Roman" w:hAnsi="Times New Roman"/>
                  <w:caps w:val="false"/>
                  <w:smallCaps w:val="false"/>
                  <w:sz w:val="20"/>
                </w:rPr>
                <w:t>Item 4.</w:t>
              </w:r>
            </w:hyperlink>
          </w:p>
        </w:tc>
        <w:tc>
          <w:tcPr>
            <w:tcW w:w="8665" w:type="dxa"/>
            <w:tcBorders/>
            <w:vAlign w:val="center"/>
          </w:tcPr>
          <w:p>
            <w:pPr>
              <w:pStyle w:val="TableContents"/>
              <w:bidi w:val="0"/>
              <w:spacing w:before="0" w:after="0"/>
              <w:ind w:left="0" w:right="0" w:hanging="0"/>
              <w:jc w:val="left"/>
            </w:pPr>
            <w:hyperlink w:anchor="cps">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pPr>
            <w:hyperlink w:anchor="cps">
              <w:r>
                <w:rPr>
                  <w:rStyle w:val="InternetLink"/>
                  <w:rFonts w:ascii="Times New Roman" w:hAnsi="Times New Roman"/>
                  <w:caps w:val="false"/>
                  <w:smallCaps w:val="false"/>
                  <w:sz w:val="20"/>
                </w:rPr>
                <w:t>82</w:t>
              </w:r>
            </w:hyperlink>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r>
      <w:tr>
        <w:tc>
          <w:tcPr>
            <w:tcW w:w="10205" w:type="dxa"/>
            <w:gridSpan w:val="3"/>
            <w:tcBorders/>
            <w:vAlign w:val="center"/>
          </w:tcPr>
          <w:p>
            <w:pPr>
              <w:pStyle w:val="TableContents"/>
              <w:bidi w:val="0"/>
              <w:spacing w:before="0" w:after="283"/>
              <w:jc w:val="center"/>
            </w:pPr>
            <w:hyperlink w:anchor="partii">
              <w:r>
                <w:rPr>
                  <w:rStyle w:val="InternetLink"/>
                  <w:b/>
                </w:rPr>
                <w:t>PART</w:t>
              </w:r>
            </w:hyperlink>
            <w:hyperlink w:anchor="partii">
              <w:r>
                <w:rPr>
                  <w:rStyle w:val="InternetLink"/>
                </w:rPr>
                <w:t> </w:t>
              </w:r>
            </w:hyperlink>
            <w:hyperlink w:anchor="partii">
              <w:r>
                <w:rPr>
                  <w:rStyle w:val="InternetLink"/>
                  <w:b/>
                </w:rPr>
                <w:t>II</w:t>
              </w:r>
            </w:hyperlink>
          </w:p>
        </w:tc>
      </w:tr>
      <w:tr>
        <w:tc>
          <w:tcPr>
            <w:tcW w:w="1100" w:type="dxa"/>
            <w:tcBorders/>
            <w:vAlign w:val="center"/>
          </w:tcPr>
          <w:p>
            <w:pPr>
              <w:pStyle w:val="TableContents"/>
              <w:bidi w:val="0"/>
              <w:spacing w:before="0" w:after="0"/>
              <w:ind w:left="0" w:right="0" w:hanging="0"/>
              <w:jc w:val="left"/>
            </w:pPr>
            <w:hyperlink w:anchor="legal">
              <w:r>
                <w:rPr>
                  <w:rStyle w:val="InternetLink"/>
                  <w:rFonts w:ascii="Times New Roman" w:hAnsi="Times New Roman"/>
                  <w:caps w:val="false"/>
                  <w:smallCaps w:val="false"/>
                  <w:sz w:val="20"/>
                </w:rPr>
                <w:t>Item 1.</w:t>
              </w:r>
            </w:hyperlink>
          </w:p>
        </w:tc>
        <w:tc>
          <w:tcPr>
            <w:tcW w:w="8665" w:type="dxa"/>
            <w:tcBorders/>
            <w:vAlign w:val="center"/>
          </w:tcPr>
          <w:p>
            <w:pPr>
              <w:pStyle w:val="TableContents"/>
              <w:bidi w:val="0"/>
              <w:spacing w:before="0" w:after="0"/>
              <w:ind w:left="0" w:right="0" w:hanging="0"/>
              <w:jc w:val="left"/>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pPr>
            <w:hyperlink w:anchor="legal">
              <w:r>
                <w:rPr>
                  <w:rStyle w:val="InternetLink"/>
                  <w:rFonts w:ascii="Times New Roman" w:hAnsi="Times New Roman"/>
                  <w:caps w:val="false"/>
                  <w:smallCaps w:val="false"/>
                  <w:sz w:val="20"/>
                </w:rPr>
                <w:t>83</w:t>
              </w:r>
            </w:hyperlink>
          </w:p>
        </w:tc>
      </w:tr>
      <w:tr>
        <w:tc>
          <w:tcPr>
            <w:tcW w:w="1100" w:type="dxa"/>
            <w:tcBorders/>
            <w:vAlign w:val="center"/>
          </w:tcPr>
          <w:p>
            <w:pPr>
              <w:pStyle w:val="TableContents"/>
              <w:bidi w:val="0"/>
              <w:spacing w:before="0" w:after="0"/>
              <w:ind w:left="0" w:right="0" w:hanging="0"/>
              <w:jc w:val="left"/>
            </w:pPr>
            <w:hyperlink w:anchor="risks">
              <w:r>
                <w:rPr>
                  <w:rStyle w:val="InternetLink"/>
                  <w:rFonts w:ascii="Times New Roman" w:hAnsi="Times New Roman"/>
                  <w:caps w:val="false"/>
                  <w:smallCaps w:val="false"/>
                  <w:sz w:val="20"/>
                </w:rPr>
                <w:t>Item 1A.</w:t>
              </w:r>
            </w:hyperlink>
          </w:p>
        </w:tc>
        <w:tc>
          <w:tcPr>
            <w:tcW w:w="8665" w:type="dxa"/>
            <w:tcBorders/>
            <w:vAlign w:val="center"/>
          </w:tcPr>
          <w:p>
            <w:pPr>
              <w:pStyle w:val="TableContents"/>
              <w:bidi w:val="0"/>
              <w:spacing w:before="0" w:after="0"/>
              <w:ind w:left="0" w:right="0" w:hanging="0"/>
              <w:jc w:val="left"/>
            </w:pPr>
            <w:hyperlink w:anchor="risks">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pPr>
            <w:hyperlink w:anchor="risks">
              <w:r>
                <w:rPr>
                  <w:rStyle w:val="InternetLink"/>
                  <w:rFonts w:ascii="Times New Roman" w:hAnsi="Times New Roman"/>
                  <w:caps w:val="false"/>
                  <w:smallCaps w:val="false"/>
                  <w:sz w:val="20"/>
                </w:rPr>
                <w:t>83</w:t>
              </w:r>
            </w:hyperlink>
          </w:p>
        </w:tc>
      </w:tr>
      <w:tr>
        <w:tc>
          <w:tcPr>
            <w:tcW w:w="1100" w:type="dxa"/>
            <w:tcBorders/>
            <w:vAlign w:val="center"/>
          </w:tcPr>
          <w:p>
            <w:pPr>
              <w:pStyle w:val="TableContents"/>
              <w:bidi w:val="0"/>
              <w:spacing w:before="0" w:after="0"/>
              <w:ind w:left="0" w:right="0" w:hanging="0"/>
              <w:jc w:val="left"/>
            </w:pPr>
            <w:hyperlink w:anchor="uses">
              <w:r>
                <w:rPr>
                  <w:rStyle w:val="InternetLink"/>
                  <w:rFonts w:ascii="Times New Roman" w:hAnsi="Times New Roman"/>
                  <w:caps w:val="false"/>
                  <w:smallCaps w:val="false"/>
                  <w:sz w:val="20"/>
                </w:rPr>
                <w:t>Item 2.</w:t>
              </w:r>
            </w:hyperlink>
          </w:p>
        </w:tc>
        <w:tc>
          <w:tcPr>
            <w:tcW w:w="8665" w:type="dxa"/>
            <w:tcBorders/>
            <w:vAlign w:val="center"/>
          </w:tcPr>
          <w:p>
            <w:pPr>
              <w:pStyle w:val="TableContents"/>
              <w:bidi w:val="0"/>
              <w:spacing w:before="0" w:after="0"/>
              <w:ind w:left="0" w:right="0" w:hanging="0"/>
              <w:jc w:val="left"/>
            </w:pPr>
            <w:hyperlink w:anchor="uses">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pPr>
            <w:hyperlink w:anchor="uses">
              <w:r>
                <w:rPr>
                  <w:rStyle w:val="InternetLink"/>
                  <w:rFonts w:ascii="Times New Roman" w:hAnsi="Times New Roman"/>
                  <w:caps w:val="false"/>
                  <w:smallCaps w:val="false"/>
                  <w:sz w:val="20"/>
                </w:rPr>
                <w:t>84</w:t>
              </w:r>
            </w:hyperlink>
          </w:p>
        </w:tc>
      </w:tr>
      <w:tr>
        <w:tc>
          <w:tcPr>
            <w:tcW w:w="1100" w:type="dxa"/>
            <w:tcBorders/>
            <w:vAlign w:val="center"/>
          </w:tcPr>
          <w:p>
            <w:pPr>
              <w:pStyle w:val="TableContents"/>
              <w:bidi w:val="0"/>
              <w:spacing w:before="0" w:after="0"/>
              <w:ind w:left="0" w:right="0" w:hanging="0"/>
              <w:jc w:val="left"/>
            </w:pPr>
            <w:hyperlink w:anchor="duss">
              <w:r>
                <w:rPr>
                  <w:rStyle w:val="InternetLink"/>
                  <w:rFonts w:ascii="Times New Roman" w:hAnsi="Times New Roman"/>
                  <w:caps w:val="false"/>
                  <w:smallCaps w:val="false"/>
                  <w:sz w:val="20"/>
                </w:rPr>
                <w:t>Item 3.</w:t>
              </w:r>
            </w:hyperlink>
          </w:p>
        </w:tc>
        <w:tc>
          <w:tcPr>
            <w:tcW w:w="8665" w:type="dxa"/>
            <w:tcBorders/>
            <w:vAlign w:val="center"/>
          </w:tcPr>
          <w:p>
            <w:pPr>
              <w:pStyle w:val="TableContents"/>
              <w:bidi w:val="0"/>
              <w:spacing w:before="0" w:after="0"/>
              <w:ind w:left="0" w:right="0" w:hanging="0"/>
              <w:jc w:val="left"/>
            </w:pPr>
            <w:hyperlink w:anchor="dus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pPr>
            <w:hyperlink w:anchor="duss">
              <w:r>
                <w:rPr>
                  <w:rStyle w:val="InternetLink"/>
                  <w:rFonts w:ascii="Times New Roman" w:hAnsi="Times New Roman"/>
                  <w:caps w:val="false"/>
                  <w:smallCaps w:val="false"/>
                  <w:sz w:val="20"/>
                </w:rPr>
                <w:t>84</w:t>
              </w:r>
            </w:hyperlink>
          </w:p>
        </w:tc>
      </w:tr>
      <w:tr>
        <w:tc>
          <w:tcPr>
            <w:tcW w:w="1100" w:type="dxa"/>
            <w:tcBorders/>
            <w:vAlign w:val="center"/>
          </w:tcPr>
          <w:p>
            <w:pPr>
              <w:pStyle w:val="TableContents"/>
              <w:bidi w:val="0"/>
              <w:spacing w:before="0" w:after="0"/>
              <w:ind w:left="0" w:right="0" w:hanging="0"/>
              <w:jc w:val="left"/>
            </w:pPr>
            <w:hyperlink w:anchor="msd">
              <w:r>
                <w:rPr>
                  <w:rStyle w:val="InternetLink"/>
                  <w:rFonts w:ascii="Times New Roman" w:hAnsi="Times New Roman"/>
                  <w:caps w:val="false"/>
                  <w:smallCaps w:val="false"/>
                  <w:sz w:val="20"/>
                </w:rPr>
                <w:t>Item 4.</w:t>
              </w:r>
            </w:hyperlink>
          </w:p>
        </w:tc>
        <w:tc>
          <w:tcPr>
            <w:tcW w:w="8665" w:type="dxa"/>
            <w:tcBorders/>
            <w:vAlign w:val="center"/>
          </w:tcPr>
          <w:p>
            <w:pPr>
              <w:pStyle w:val="TableContents"/>
              <w:bidi w:val="0"/>
              <w:spacing w:before="0" w:after="0"/>
              <w:ind w:left="0" w:right="0" w:hanging="0"/>
              <w:jc w:val="left"/>
            </w:pPr>
            <w:hyperlink w:anchor="msd">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pPr>
            <w:hyperlink w:anchor="msd">
              <w:r>
                <w:rPr>
                  <w:rStyle w:val="InternetLink"/>
                  <w:rFonts w:ascii="Times New Roman" w:hAnsi="Times New Roman"/>
                  <w:caps w:val="false"/>
                  <w:smallCaps w:val="false"/>
                  <w:sz w:val="20"/>
                </w:rPr>
                <w:t>84</w:t>
              </w:r>
            </w:hyperlink>
          </w:p>
        </w:tc>
      </w:tr>
      <w:tr>
        <w:tc>
          <w:tcPr>
            <w:tcW w:w="1100" w:type="dxa"/>
            <w:tcBorders/>
            <w:vAlign w:val="center"/>
          </w:tcPr>
          <w:p>
            <w:pPr>
              <w:pStyle w:val="TableContents"/>
              <w:bidi w:val="0"/>
              <w:spacing w:before="0" w:after="0"/>
              <w:ind w:left="0" w:right="0" w:hanging="0"/>
              <w:jc w:val="left"/>
            </w:pPr>
            <w:hyperlink w:anchor="oi">
              <w:r>
                <w:rPr>
                  <w:rStyle w:val="InternetLink"/>
                  <w:rFonts w:ascii="Times New Roman" w:hAnsi="Times New Roman"/>
                  <w:caps w:val="false"/>
                  <w:smallCaps w:val="false"/>
                  <w:sz w:val="20"/>
                </w:rPr>
                <w:t>Item 5.</w:t>
              </w:r>
            </w:hyperlink>
          </w:p>
        </w:tc>
        <w:tc>
          <w:tcPr>
            <w:tcW w:w="8665" w:type="dxa"/>
            <w:tcBorders/>
            <w:vAlign w:val="center"/>
          </w:tcPr>
          <w:p>
            <w:pPr>
              <w:pStyle w:val="TableContents"/>
              <w:bidi w:val="0"/>
              <w:spacing w:before="0" w:after="0"/>
              <w:ind w:left="0" w:right="0" w:hanging="0"/>
              <w:jc w:val="left"/>
            </w:pPr>
            <w:hyperlink w:anchor="oi">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pPr>
            <w:hyperlink w:anchor="oi">
              <w:r>
                <w:rPr>
                  <w:rStyle w:val="InternetLink"/>
                  <w:rFonts w:ascii="Times New Roman" w:hAnsi="Times New Roman"/>
                  <w:caps w:val="false"/>
                  <w:smallCaps w:val="false"/>
                  <w:sz w:val="20"/>
                </w:rPr>
                <w:t>84</w:t>
              </w:r>
            </w:hyperlink>
          </w:p>
        </w:tc>
      </w:tr>
      <w:tr>
        <w:tc>
          <w:tcPr>
            <w:tcW w:w="1100" w:type="dxa"/>
            <w:tcBorders/>
            <w:vAlign w:val="center"/>
          </w:tcPr>
          <w:p>
            <w:pPr>
              <w:pStyle w:val="TableContents"/>
              <w:bidi w:val="0"/>
              <w:spacing w:before="0" w:after="0"/>
              <w:ind w:left="0" w:right="0" w:hanging="0"/>
              <w:jc w:val="left"/>
            </w:pPr>
            <w:hyperlink w:anchor="exs">
              <w:r>
                <w:rPr>
                  <w:rStyle w:val="InternetLink"/>
                  <w:rFonts w:ascii="Times New Roman" w:hAnsi="Times New Roman"/>
                  <w:caps w:val="false"/>
                  <w:smallCaps w:val="false"/>
                  <w:sz w:val="20"/>
                </w:rPr>
                <w:t>Item 6.</w:t>
              </w:r>
            </w:hyperlink>
          </w:p>
        </w:tc>
        <w:tc>
          <w:tcPr>
            <w:tcW w:w="8665" w:type="dxa"/>
            <w:tcBorders/>
            <w:vAlign w:val="center"/>
          </w:tcPr>
          <w:p>
            <w:pPr>
              <w:pStyle w:val="TableContents"/>
              <w:bidi w:val="0"/>
              <w:spacing w:before="0" w:after="0"/>
              <w:ind w:left="0" w:right="0" w:hanging="0"/>
              <w:jc w:val="left"/>
            </w:pPr>
            <w:hyperlink w:anchor="ex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pPr>
            <w:hyperlink w:anchor="exs">
              <w:r>
                <w:rPr>
                  <w:rStyle w:val="InternetLink"/>
                  <w:rFonts w:ascii="Times New Roman" w:hAnsi="Times New Roman"/>
                  <w:caps w:val="false"/>
                  <w:smallCaps w:val="false"/>
                  <w:sz w:val="20"/>
                </w:rPr>
                <w:t>84</w:t>
              </w:r>
            </w:hyperlink>
          </w:p>
        </w:tc>
      </w:tr>
      <w:tr>
        <w:tc>
          <w:tcPr>
            <w:tcW w:w="1100" w:type="dxa"/>
            <w:tcBorders/>
            <w:vAlign w:val="center"/>
          </w:tcPr>
          <w:p>
            <w:pPr>
              <w:pStyle w:val="TableContents"/>
              <w:bidi w:val="0"/>
              <w:spacing w:before="0" w:after="283"/>
              <w:jc w:val="left"/>
            </w:pPr>
            <w:r>
              <w:t> </w:t>
            </w:r>
          </w:p>
        </w:tc>
        <w:tc>
          <w:tcPr>
            <w:tcW w:w="8665" w:type="dxa"/>
            <w:tcBorders/>
            <w:vAlign w:val="center"/>
          </w:tcPr>
          <w:p>
            <w:pPr>
              <w:pStyle w:val="TableContents"/>
              <w:bidi w:val="0"/>
              <w:spacing w:before="0" w:after="0"/>
              <w:ind w:left="0" w:right="0" w:hanging="0"/>
              <w:jc w:val="left"/>
            </w:pPr>
            <w:hyperlink w:anchor="sigs">
              <w:r>
                <w:rPr>
                  <w:rStyle w:val="InternetLink"/>
                  <w:rFonts w:ascii="Times New Roman" w:hAnsi="Times New Roman"/>
                  <w:caps w:val="false"/>
                  <w:smallCaps w:val="false"/>
                  <w:sz w:val="20"/>
                </w:rPr>
                <w:t>Signatures</w:t>
              </w:r>
            </w:hyperlink>
          </w:p>
        </w:tc>
        <w:tc>
          <w:tcPr>
            <w:tcW w:w="440" w:type="dxa"/>
            <w:tcBorders/>
            <w:vAlign w:val="center"/>
          </w:tcPr>
          <w:p>
            <w:pPr>
              <w:pStyle w:val="TableContents"/>
              <w:bidi w:val="0"/>
              <w:spacing w:before="0" w:after="0"/>
              <w:ind w:left="0" w:right="0" w:hanging="0"/>
              <w:jc w:val="right"/>
            </w:pPr>
            <w:hyperlink w:anchor="sigs">
              <w:r>
                <w:rPr>
                  <w:rStyle w:val="InternetLink"/>
                  <w:rFonts w:ascii="Times New Roman" w:hAnsi="Times New Roman"/>
                  <w:caps w:val="false"/>
                  <w:smallCaps w:val="false"/>
                  <w:sz w:val="20"/>
                </w:rPr>
                <w:t>85</w:t>
              </w:r>
            </w:hyperlink>
          </w:p>
        </w:tc>
      </w:tr>
      <w:tr>
        <w:tc>
          <w:tcPr>
            <w:tcW w:w="1100" w:type="dxa"/>
            <w:tcBorders/>
            <w:vAlign w:val="center"/>
          </w:tcPr>
          <w:p>
            <w:pPr>
              <w:pStyle w:val="TableContents"/>
              <w:bidi w:val="0"/>
              <w:spacing w:before="0" w:after="283"/>
              <w:jc w:val="left"/>
            </w:pPr>
            <w:r>
              <w:t>EX</w:t>
              <w:noBreakHyphen/>
              <w:t>14</w:t>
            </w:r>
          </w:p>
        </w:tc>
        <w:tc>
          <w:tcPr>
            <w:tcW w:w="8665"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r>
      <w:tr>
        <w:tc>
          <w:tcPr>
            <w:tcW w:w="1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w:t>
              <w:noBreakHyphen/>
              <w:t>31.1         </w:t>
            </w:r>
          </w:p>
        </w:tc>
        <w:tc>
          <w:tcPr>
            <w:tcW w:w="8665"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r>
      <w:tr>
        <w:tc>
          <w:tcPr>
            <w:tcW w:w="1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w:t>
              <w:noBreakHyphen/>
              <w:t>31.2         </w:t>
            </w:r>
          </w:p>
        </w:tc>
        <w:tc>
          <w:tcPr>
            <w:tcW w:w="8665"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r>
      <w:tr>
        <w:tc>
          <w:tcPr>
            <w:tcW w:w="1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w:t>
              <w:noBreakHyphen/>
              <w:t>32.1         </w:t>
            </w:r>
          </w:p>
        </w:tc>
        <w:tc>
          <w:tcPr>
            <w:tcW w:w="8665"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r>
      <w:tr>
        <w:tc>
          <w:tcPr>
            <w:tcW w:w="1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w:t>
              <w:noBreakHyphen/>
              <w:t>32.2         </w:t>
            </w:r>
          </w:p>
        </w:tc>
        <w:tc>
          <w:tcPr>
            <w:tcW w:w="8665"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r>
    </w:tbl>
    <w:p>
      <w:pPr>
        <w:pStyle w:val="TextBody"/>
        <w:bidi w:val="0"/>
        <w:spacing w:before="0" w:after="283"/>
        <w:jc w:val="left"/>
      </w:pPr>
      <w: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caps w:val="false"/>
          <w:smallCaps w:val="false"/>
          <w:sz w:val="20"/>
        </w:rPr>
      </w:pPr>
      <w:bookmarkStart w:id="3" w:name="parti"/>
      <w:bookmarkEnd w:id="3"/>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Horizon Technology Finance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Assets and Liabilities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04"/>
        <w:gridCol w:w="60"/>
        <w:gridCol w:w="168"/>
        <w:gridCol w:w="872"/>
        <w:gridCol w:w="80"/>
        <w:gridCol w:w="60"/>
        <w:gridCol w:w="138"/>
        <w:gridCol w:w="840"/>
        <w:gridCol w:w="83"/>
      </w:tblGrid>
      <w:tr>
        <w:tc>
          <w:tcPr>
            <w:tcW w:w="790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4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83" w:type="dxa"/>
            <w:tcBorders/>
            <w:shd w:fill="FFFF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840" w:type="dxa"/>
            <w:tcBorders/>
            <w:shd w:fill="FFFFFF" w:val="clear"/>
            <w:vAlign w:val="center"/>
          </w:tcPr>
          <w:p>
            <w:pPr>
              <w:pStyle w:val="TableContents"/>
              <w:bidi w:val="0"/>
              <w:spacing w:before="0" w:after="283"/>
              <w:jc w:val="center"/>
            </w:pPr>
            <w:r>
              <w:t> </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840"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Non-affiliate investments at fair value (cost of $699,244 and $616,236, respectively)</w:t>
            </w:r>
          </w:p>
        </w:tc>
        <w:tc>
          <w:tcPr>
            <w:tcW w:w="60" w:type="dxa"/>
            <w:tcBorders/>
            <w:shd w:fill="FFFFFF" w:val="clear"/>
            <w:vAlign w:val="center"/>
          </w:tcPr>
          <w:p>
            <w:pPr>
              <w:pStyle w:val="TableContents"/>
              <w:bidi w:val="0"/>
              <w:spacing w:before="0" w:after="283"/>
              <w:ind w:left="0" w:right="0" w:hanging="0"/>
              <w:jc w:val="left"/>
            </w:pPr>
            <w: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630,466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584,100</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Non-controlled affiliate investments at fair value (cost of $73,162 and $89,033, respectively) (Note 5)</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63,144</w:t>
            </w:r>
          </w:p>
        </w:tc>
        <w:tc>
          <w:tcPr>
            <w:tcW w:w="83" w:type="dxa"/>
            <w:tcBorders/>
            <w:shd w:fill="CCEEFF" w:val="clear"/>
            <w:vAlign w:val="center"/>
          </w:tcPr>
          <w:p>
            <w:pPr>
              <w:pStyle w:val="TableContents"/>
              <w:bidi w:val="0"/>
              <w:spacing w:before="0" w:after="283"/>
              <w:ind w:left="0" w:right="0" w:hanging="0"/>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Controlled affiliate investments at fair value (cost of $8,264 and $0, respectively) (Note 5)</w:t>
            </w:r>
          </w:p>
        </w:tc>
        <w:tc>
          <w:tcPr>
            <w:tcW w:w="60" w:type="dxa"/>
            <w:tcBorders/>
            <w:shd w:fill="FFFFFF" w:val="clear"/>
            <w:vAlign w:val="center"/>
          </w:tcPr>
          <w:p>
            <w:pPr>
              <w:pStyle w:val="TableContents"/>
              <w:bidi w:val="0"/>
              <w:spacing w:before="0" w:after="0"/>
              <w:ind w:left="0" w:right="0" w:hanging="0"/>
              <w:jc w:val="left"/>
            </w:pPr>
            <w: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3"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investments at fair value (cost of $780,670 and $705,269, respectively) (Note 4)</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650,323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647,244</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105,519</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money market funds</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85,146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34,711</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investments in money market funds</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2,463</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receivable</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12,086</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pPr>
            <w: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pPr>
            <w: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778,733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811,104</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jc w:val="left"/>
            </w:pPr>
            <w:r>
              <w:t> </w:t>
            </w:r>
          </w:p>
        </w:tc>
        <w:tc>
          <w:tcPr>
            <w:tcW w:w="87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840"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840"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(Note 7)</w:t>
            </w:r>
          </w:p>
        </w:tc>
        <w:tc>
          <w:tcPr>
            <w:tcW w:w="60" w:type="dxa"/>
            <w:tcBorders/>
            <w:shd w:fill="FFFFFF" w:val="clear"/>
            <w:vAlign w:val="center"/>
          </w:tcPr>
          <w:p>
            <w:pPr>
              <w:pStyle w:val="TableContents"/>
              <w:bidi w:val="0"/>
              <w:spacing w:before="0" w:after="283"/>
              <w:ind w:left="0" w:right="0" w:hanging="0"/>
              <w:jc w:val="left"/>
            </w:pPr>
            <w: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473,027</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payable</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15,053</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 management fee payable (Note 3)</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expenses</w:t>
            </w:r>
          </w:p>
        </w:tc>
        <w:tc>
          <w:tcPr>
            <w:tcW w:w="60" w:type="dxa"/>
            <w:tcBorders/>
            <w:shd w:fill="CCEEFF" w:val="clear"/>
            <w:vAlign w:val="center"/>
          </w:tcPr>
          <w:p>
            <w:pPr>
              <w:pStyle w:val="TableContents"/>
              <w:bidi w:val="0"/>
              <w:spacing w:before="0" w:after="283"/>
              <w:jc w:val="left"/>
            </w:pPr>
            <w: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pPr>
            <w: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492,602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840"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(Notes 3 and 8)</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jc w:val="left"/>
            </w:pPr>
            <w:r>
              <w:t> </w:t>
            </w:r>
          </w:p>
        </w:tc>
        <w:tc>
          <w:tcPr>
            <w:tcW w:w="87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840"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840"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jc w:val="left"/>
            </w:pPr>
            <w:r>
              <w:t> </w:t>
            </w:r>
          </w:p>
        </w:tc>
        <w:tc>
          <w:tcPr>
            <w:tcW w:w="87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840"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$0.001 per share, 1,000,000 shares authorized, zero shares issued and outstanding as of September 30, 2026 and December 31, 2025</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pPr>
            <w:r>
              <w:t>—</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$0.001 per share, 100,000,000 shares authorized, 68,669,287 and 45,781,280 shares issued and 65,102,609 and 45,613,815 shares outstanding as of September 30, 2026 and December 31, 2025, respectively</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3" w:type="dxa"/>
            <w:tcBorders/>
            <w:shd w:fill="FFFFFF" w:val="cle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Paid-in capital in excess of par</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701,033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559,355</w:t>
            </w:r>
          </w:p>
        </w:tc>
        <w:tc>
          <w:tcPr>
            <w:tcW w:w="83" w:type="dxa"/>
            <w:tcBorders/>
            <w:shd w:fill="CCEEFF" w:val="cle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Distributable loss</w:t>
            </w:r>
          </w:p>
        </w:tc>
        <w:tc>
          <w:tcPr>
            <w:tcW w:w="60" w:type="dxa"/>
            <w:tcBorders/>
            <w:shd w:fill="FFFFFF" w:val="clear"/>
            <w:vAlign w:val="center"/>
          </w:tcPr>
          <w:p>
            <w:pPr>
              <w:pStyle w:val="TableContents"/>
              <w:bidi w:val="0"/>
              <w:spacing w:before="0" w:after="283"/>
              <w:jc w:val="left"/>
            </w:pPr>
            <w: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(240,904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assets</w:t>
            </w:r>
          </w:p>
        </w:tc>
        <w:tc>
          <w:tcPr>
            <w:tcW w:w="60" w:type="dxa"/>
            <w:tcBorders/>
            <w:shd w:fill="CCEEFF" w:val="clear"/>
            <w:vAlign w:val="center"/>
          </w:tcPr>
          <w:p>
            <w:pPr>
              <w:pStyle w:val="TableContents"/>
              <w:bidi w:val="0"/>
              <w:spacing w:before="0" w:after="283"/>
              <w:jc w:val="left"/>
            </w:pPr>
            <w: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318,502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90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net assets</w:t>
            </w:r>
          </w:p>
        </w:tc>
        <w:tc>
          <w:tcPr>
            <w:tcW w:w="60" w:type="dxa"/>
            <w:tcBorders/>
            <w:shd w:fill="FFFFFF" w:val="clear"/>
            <w:vAlign w:val="center"/>
          </w:tcPr>
          <w:p>
            <w:pPr>
              <w:pStyle w:val="TableContents"/>
              <w:bidi w:val="0"/>
              <w:spacing w:before="0" w:after="283"/>
              <w:ind w:left="0" w:right="0" w:hanging="0"/>
              <w:jc w:val="left"/>
            </w:pPr>
            <w: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778,733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811,104</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790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 value per common share</w:t>
            </w:r>
          </w:p>
        </w:tc>
        <w:tc>
          <w:tcPr>
            <w:tcW w:w="60" w:type="dxa"/>
            <w:tcBorders/>
            <w:shd w:fill="CCEEFF" w:val="clear"/>
            <w:vAlign w:val="center"/>
          </w:tcPr>
          <w:p>
            <w:pPr>
              <w:pStyle w:val="TableContents"/>
              <w:bidi w:val="0"/>
              <w:spacing w:before="0" w:after="283"/>
              <w:ind w:left="0" w:right="0" w:hanging="0"/>
              <w:jc w:val="left"/>
            </w:pPr>
            <w: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283"/>
        <w:jc w:val="left"/>
      </w:pPr>
      <w: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caps w:val="false"/>
          <w:smallCaps w:val="false"/>
          <w:sz w:val="20"/>
        </w:rPr>
      </w:pPr>
      <w:bookmarkStart w:id="4" w:name="income"/>
      <w:bookmarkEnd w:id="4"/>
      <w:r>
        <w:rPr>
          <w:rFonts w:ascii="Times New Roman" w:hAnsi="Times New Roman"/>
          <w:b/>
          <w:caps w:val="false"/>
          <w:smallCaps w:val="false"/>
          <w:sz w:val="20"/>
        </w:rPr>
        <w:t>Consolidated Statements of Operations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7"/>
        <w:gridCol w:w="60"/>
        <w:gridCol w:w="129"/>
        <w:gridCol w:w="982"/>
        <w:gridCol w:w="82"/>
        <w:gridCol w:w="61"/>
        <w:gridCol w:w="129"/>
        <w:gridCol w:w="982"/>
        <w:gridCol w:w="80"/>
        <w:gridCol w:w="60"/>
        <w:gridCol w:w="128"/>
        <w:gridCol w:w="975"/>
        <w:gridCol w:w="81"/>
        <w:gridCol w:w="61"/>
        <w:gridCol w:w="128"/>
        <w:gridCol w:w="975"/>
        <w:gridCol w:w="85"/>
      </w:tblGrid>
      <w:tr>
        <w:tc>
          <w:tcPr>
            <w:tcW w:w="520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65"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48"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For The Nine Months Ended</w:t>
            </w:r>
          </w:p>
        </w:tc>
        <w:tc>
          <w:tcPr>
            <w:tcW w:w="85" w:type="dxa"/>
            <w:tcBorders/>
            <w:shd w:fill="FFFF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1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 income</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From non-affiliate investments:</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9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98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975"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97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pPr>
            <w:r>
              <w:t> </w:t>
            </w:r>
          </w:p>
        </w:tc>
        <w:tc>
          <w:tcPr>
            <w:tcW w:w="129" w:type="dxa"/>
            <w:tcBorders/>
            <w:shd w:fill="CCEEFF" w:val="clear"/>
            <w:vAlign w:val="center"/>
          </w:tcPr>
          <w:p>
            <w:pPr>
              <w:pStyle w:val="TableContents"/>
              <w:bidi w:val="0"/>
              <w:spacing w:before="0" w:after="283"/>
              <w:ind w:left="0" w:right="0" w:hanging="0"/>
              <w:jc w:val="left"/>
              <w:rPr>
                <w:sz w:val="20"/>
              </w:rPr>
            </w:pPr>
            <w:r>
              <w:rPr>
                <w:sz w:val="20"/>
              </w:rPr>
              <w:t>$</w:t>
            </w:r>
          </w:p>
        </w:tc>
        <w:tc>
          <w:tcPr>
            <w:tcW w:w="982" w:type="dxa"/>
            <w:tcBorders/>
            <w:shd w:fill="CCEEFF" w:val="clear"/>
            <w:vAlign w:val="center"/>
          </w:tcPr>
          <w:p>
            <w:pPr>
              <w:pStyle w:val="TableContents"/>
              <w:bidi w:val="0"/>
              <w:spacing w:before="0" w:after="283"/>
              <w:ind w:left="0" w:right="0" w:hanging="0"/>
              <w:jc w:val="right"/>
              <w:rPr>
                <w:sz w:val="20"/>
              </w:rPr>
            </w:pPr>
            <w:r>
              <w:rPr>
                <w:sz w:val="20"/>
              </w:rPr>
              <w:t>21,066</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ind w:left="0" w:right="0" w:hanging="0"/>
              <w:jc w:val="left"/>
            </w:pPr>
            <w:r>
              <w:t> </w:t>
            </w:r>
          </w:p>
        </w:tc>
        <w:tc>
          <w:tcPr>
            <w:tcW w:w="129" w:type="dxa"/>
            <w:tcBorders/>
            <w:shd w:fill="CCEEFF" w:val="clear"/>
            <w:vAlign w:val="center"/>
          </w:tcPr>
          <w:p>
            <w:pPr>
              <w:pStyle w:val="TableContents"/>
              <w:bidi w:val="0"/>
              <w:spacing w:before="0" w:after="283"/>
              <w:ind w:left="0" w:right="0" w:hanging="0"/>
              <w:jc w:val="left"/>
              <w:rPr>
                <w:sz w:val="20"/>
              </w:rPr>
            </w:pPr>
            <w:r>
              <w:rPr>
                <w:sz w:val="20"/>
              </w:rPr>
              <w:t>$</w:t>
            </w:r>
          </w:p>
        </w:tc>
        <w:tc>
          <w:tcPr>
            <w:tcW w:w="982" w:type="dxa"/>
            <w:tcBorders/>
            <w:shd w:fill="CCEEFF" w:val="clear"/>
            <w:vAlign w:val="center"/>
          </w:tcPr>
          <w:p>
            <w:pPr>
              <w:pStyle w:val="TableContents"/>
              <w:bidi w:val="0"/>
              <w:spacing w:before="0" w:after="283"/>
              <w:ind w:left="0" w:right="0" w:hanging="0"/>
              <w:jc w:val="right"/>
              <w:rPr>
                <w:sz w:val="20"/>
              </w:rPr>
            </w:pPr>
            <w:r>
              <w:rPr>
                <w:sz w:val="20"/>
              </w:rPr>
              <w:t>23,506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8" w:type="dxa"/>
            <w:tcBorders/>
            <w:shd w:fill="CCEEFF" w:val="clear"/>
            <w:vAlign w:val="center"/>
          </w:tcPr>
          <w:p>
            <w:pPr>
              <w:pStyle w:val="TableContents"/>
              <w:bidi w:val="0"/>
              <w:spacing w:before="0" w:after="283"/>
              <w:ind w:left="0" w:right="0" w:hanging="0"/>
              <w:jc w:val="left"/>
              <w:rPr>
                <w:sz w:val="20"/>
              </w:rPr>
            </w:pPr>
            <w:r>
              <w:rPr>
                <w:sz w:val="20"/>
              </w:rPr>
              <w:t>$</w:t>
            </w:r>
          </w:p>
        </w:tc>
        <w:tc>
          <w:tcPr>
            <w:tcW w:w="975" w:type="dxa"/>
            <w:tcBorders/>
            <w:shd w:fill="CCEEFF" w:val="clear"/>
            <w:vAlign w:val="center"/>
          </w:tcPr>
          <w:p>
            <w:pPr>
              <w:pStyle w:val="TableContents"/>
              <w:bidi w:val="0"/>
              <w:spacing w:before="0" w:after="283"/>
              <w:ind w:left="0" w:right="0" w:hanging="0"/>
              <w:jc w:val="right"/>
              <w:rPr>
                <w:sz w:val="20"/>
              </w:rPr>
            </w:pPr>
            <w:r>
              <w:rPr>
                <w:sz w:val="20"/>
              </w:rPr>
              <w:t>64,606</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ind w:left="0" w:right="0" w:hanging="0"/>
              <w:jc w:val="left"/>
            </w:pPr>
            <w:r>
              <w:t> </w:t>
            </w:r>
          </w:p>
        </w:tc>
        <w:tc>
          <w:tcPr>
            <w:tcW w:w="128" w:type="dxa"/>
            <w:tcBorders/>
            <w:shd w:fill="CCEEFF" w:val="clear"/>
            <w:vAlign w:val="center"/>
          </w:tcPr>
          <w:p>
            <w:pPr>
              <w:pStyle w:val="TableContents"/>
              <w:bidi w:val="0"/>
              <w:spacing w:before="0" w:after="283"/>
              <w:ind w:left="0" w:right="0" w:hanging="0"/>
              <w:jc w:val="left"/>
              <w:rPr>
                <w:sz w:val="20"/>
              </w:rPr>
            </w:pPr>
            <w:r>
              <w:rPr>
                <w:sz w:val="20"/>
              </w:rPr>
              <w:t>$</w:t>
            </w:r>
          </w:p>
        </w:tc>
        <w:tc>
          <w:tcPr>
            <w:tcW w:w="975" w:type="dxa"/>
            <w:tcBorders/>
            <w:shd w:fill="CCEEFF" w:val="clear"/>
            <w:vAlign w:val="center"/>
          </w:tcPr>
          <w:p>
            <w:pPr>
              <w:pStyle w:val="TableContents"/>
              <w:bidi w:val="0"/>
              <w:spacing w:before="0" w:after="283"/>
              <w:ind w:left="0" w:right="0" w:hanging="0"/>
              <w:jc w:val="right"/>
              <w:rPr>
                <w:sz w:val="20"/>
              </w:rPr>
            </w:pPr>
            <w:r>
              <w:rPr>
                <w:sz w:val="20"/>
              </w:rPr>
              <w:t>69,289</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Payment-in-kind (“PIK”) interest income</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982" w:type="dxa"/>
            <w:tcBorders/>
            <w:shd w:fill="FFFFFF" w:val="clear"/>
            <w:vAlign w:val="center"/>
          </w:tcPr>
          <w:p>
            <w:pPr>
              <w:pStyle w:val="TableContents"/>
              <w:bidi w:val="0"/>
              <w:spacing w:before="0" w:after="283"/>
              <w:jc w:val="right"/>
              <w:rPr>
                <w:sz w:val="20"/>
              </w:rPr>
            </w:pPr>
            <w:r>
              <w:rPr>
                <w:sz w:val="20"/>
              </w:rPr>
              <w:t>829</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982" w:type="dxa"/>
            <w:tcBorders/>
            <w:shd w:fill="FFFFFF" w:val="clear"/>
            <w:vAlign w:val="center"/>
          </w:tcPr>
          <w:p>
            <w:pPr>
              <w:pStyle w:val="TableContents"/>
              <w:bidi w:val="0"/>
              <w:spacing w:before="0" w:after="283"/>
              <w:jc w:val="right"/>
              <w:rPr>
                <w:sz w:val="20"/>
              </w:rPr>
            </w:pPr>
            <w:r>
              <w:rPr>
                <w:sz w:val="20"/>
              </w:rPr>
              <w:t>297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975" w:type="dxa"/>
            <w:tcBorders/>
            <w:shd w:fill="FFFFFF" w:val="clear"/>
            <w:vAlign w:val="center"/>
          </w:tcPr>
          <w:p>
            <w:pPr>
              <w:pStyle w:val="TableContents"/>
              <w:bidi w:val="0"/>
              <w:spacing w:before="0" w:after="283"/>
              <w:jc w:val="right"/>
              <w:rPr>
                <w:sz w:val="20"/>
              </w:rPr>
            </w:pPr>
            <w:r>
              <w:rPr>
                <w:sz w:val="20"/>
              </w:rPr>
              <w:t>2,393</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975" w:type="dxa"/>
            <w:tcBorders/>
            <w:shd w:fill="FFFFFF" w:val="clear"/>
            <w:vAlign w:val="center"/>
          </w:tcPr>
          <w:p>
            <w:pPr>
              <w:pStyle w:val="TableContents"/>
              <w:bidi w:val="0"/>
              <w:spacing w:before="0" w:after="283"/>
              <w:jc w:val="right"/>
              <w:rPr>
                <w:sz w:val="20"/>
              </w:rPr>
            </w:pPr>
            <w:r>
              <w:rPr>
                <w:sz w:val="20"/>
              </w:rPr>
              <w:t>617</w:t>
            </w:r>
          </w:p>
        </w:tc>
        <w:tc>
          <w:tcPr>
            <w:tcW w:w="85" w:type="dxa"/>
            <w:tcBorders/>
            <w:shd w:fill="FFFFFF" w:val="cle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fee income</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right"/>
              <w:rPr>
                <w:sz w:val="20"/>
              </w:rPr>
            </w:pPr>
            <w:r>
              <w:rPr>
                <w:sz w:val="20"/>
              </w:rPr>
              <w:t>1,635</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right"/>
              <w:rPr>
                <w:sz w:val="20"/>
              </w:rPr>
            </w:pPr>
            <w:r>
              <w:rPr>
                <w:sz w:val="20"/>
              </w:rPr>
              <w:t>971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right"/>
              <w:rPr>
                <w:sz w:val="20"/>
              </w:rPr>
            </w:pPr>
            <w:r>
              <w:rPr>
                <w:sz w:val="20"/>
              </w:rPr>
              <w:t>3,553</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right"/>
              <w:rPr>
                <w:sz w:val="20"/>
              </w:rPr>
            </w:pPr>
            <w:r>
              <w:rPr>
                <w:sz w:val="20"/>
              </w:rPr>
              <w:t>3,470</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income</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702</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1,057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921</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1,532</w:t>
            </w:r>
          </w:p>
        </w:tc>
        <w:tc>
          <w:tcPr>
            <w:tcW w:w="85" w:type="dxa"/>
            <w:tcBorders/>
            <w:shd w:fill="FFFFFF" w:val="cle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From non-controlled affiliate investments:</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PIK interest income</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pPr>
            <w:r>
              <w:t>—</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367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1,281</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367</w:t>
            </w:r>
          </w:p>
        </w:tc>
        <w:tc>
          <w:tcPr>
            <w:tcW w:w="85" w:type="dxa"/>
            <w:tcBorders/>
            <w:shd w:fill="FFFFFF" w:val="cle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right"/>
              <w:rPr>
                <w:sz w:val="20"/>
              </w:rPr>
            </w:pPr>
            <w:r>
              <w:rPr>
                <w:sz w:val="20"/>
              </w:rPr>
              <w:t>74</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right"/>
              <w:rPr>
                <w:sz w:val="20"/>
              </w:rPr>
            </w:pPr>
            <w:r>
              <w:rPr>
                <w:sz w:val="20"/>
              </w:rPr>
              <w:t>95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right"/>
              <w:rPr>
                <w:sz w:val="20"/>
              </w:rPr>
            </w:pPr>
            <w:r>
              <w:rPr>
                <w:sz w:val="20"/>
              </w:rPr>
              <w:t>676</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right"/>
              <w:rPr>
                <w:sz w:val="20"/>
              </w:rPr>
            </w:pPr>
            <w:r>
              <w:rPr>
                <w:sz w:val="20"/>
              </w:rPr>
              <w:t>95</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From controlled affiliate investments:</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9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98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975"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97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ind w:left="0" w:right="0" w:hanging="0"/>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PIK interest income</w:t>
            </w:r>
          </w:p>
        </w:tc>
        <w:tc>
          <w:tcPr>
            <w:tcW w:w="60" w:type="dxa"/>
            <w:tcBorders/>
            <w:shd w:fill="CCEEFF" w:val="clear"/>
            <w:vAlign w:val="center"/>
          </w:tcPr>
          <w:p>
            <w:pPr>
              <w:pStyle w:val="TableContents"/>
              <w:bidi w:val="0"/>
              <w:spacing w:before="0" w:after="0"/>
              <w:ind w:left="0" w:right="0" w:hanging="0"/>
              <w:jc w:val="left"/>
            </w:pPr>
            <w:r>
              <w:t> </w:t>
            </w:r>
          </w:p>
        </w:tc>
        <w:tc>
          <w:tcPr>
            <w:tcW w:w="129" w:type="dxa"/>
            <w:tcBorders/>
            <w:shd w:fill="CCEEFF" w:val="clear"/>
            <w:vAlign w:val="center"/>
          </w:tcPr>
          <w:p>
            <w:pPr>
              <w:pStyle w:val="TableContents"/>
              <w:bidi w:val="0"/>
              <w:spacing w:before="0" w:after="0"/>
              <w:ind w:left="0" w:right="0" w:hanging="0"/>
              <w:jc w:val="left"/>
            </w:pPr>
            <w:r>
              <w:t> </w:t>
            </w:r>
          </w:p>
        </w:tc>
        <w:tc>
          <w:tcPr>
            <w:tcW w:w="982" w:type="dxa"/>
            <w:tcBorders/>
            <w:shd w:fill="CCEEFF" w:val="clear"/>
            <w:vAlign w:val="center"/>
          </w:tcPr>
          <w:p>
            <w:pPr>
              <w:pStyle w:val="TableContents"/>
              <w:bidi w:val="0"/>
              <w:spacing w:before="0" w:after="0"/>
              <w:ind w:left="0" w:right="0" w:hanging="0"/>
              <w:jc w:val="right"/>
            </w:pPr>
            <w:r>
              <w:t>—</w:t>
            </w:r>
          </w:p>
        </w:tc>
        <w:tc>
          <w:tcPr>
            <w:tcW w:w="82" w:type="dxa"/>
            <w:tcBorders/>
            <w:shd w:fill="CCEEFF" w:val="clear"/>
            <w:vAlign w:val="center"/>
          </w:tcPr>
          <w:p>
            <w:pPr>
              <w:pStyle w:val="TableContents"/>
              <w:bidi w:val="0"/>
              <w:spacing w:before="0" w:after="0"/>
              <w:ind w:left="0" w:right="0" w:hanging="0"/>
              <w:jc w:val="left"/>
            </w:pPr>
            <w:r>
              <w:t> </w:t>
            </w:r>
          </w:p>
        </w:tc>
        <w:tc>
          <w:tcPr>
            <w:tcW w:w="61" w:type="dxa"/>
            <w:tcBorders/>
            <w:shd w:fill="CCEEFF" w:val="clear"/>
            <w:vAlign w:val="center"/>
          </w:tcPr>
          <w:p>
            <w:pPr>
              <w:pStyle w:val="TableContents"/>
              <w:bidi w:val="0"/>
              <w:spacing w:before="0" w:after="0"/>
              <w:ind w:left="0" w:right="0" w:hanging="0"/>
              <w:jc w:val="left"/>
            </w:pPr>
            <w:r>
              <w:t> </w:t>
            </w:r>
          </w:p>
        </w:tc>
        <w:tc>
          <w:tcPr>
            <w:tcW w:w="129" w:type="dxa"/>
            <w:tcBorders/>
            <w:shd w:fill="CCEEFF" w:val="clear"/>
            <w:vAlign w:val="center"/>
          </w:tcPr>
          <w:p>
            <w:pPr>
              <w:pStyle w:val="TableContents"/>
              <w:bidi w:val="0"/>
              <w:spacing w:before="0" w:after="0"/>
              <w:ind w:left="0" w:right="0" w:hanging="0"/>
              <w:jc w:val="left"/>
            </w:pPr>
            <w:r>
              <w:t> </w:t>
            </w:r>
          </w:p>
        </w:tc>
        <w:tc>
          <w:tcPr>
            <w:tcW w:w="982" w:type="dxa"/>
            <w:tcBorders/>
            <w:shd w:fill="CCEEFF" w:val="clear"/>
            <w:vAlign w:val="center"/>
          </w:tcPr>
          <w:p>
            <w:pPr>
              <w:pStyle w:val="TableContents"/>
              <w:bidi w:val="0"/>
              <w:spacing w:before="0" w:after="0"/>
              <w:ind w:left="0" w:right="0" w:hanging="0"/>
              <w:jc w:val="right"/>
            </w:pPr>
            <w:r>
              <w:t>—</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8" w:type="dxa"/>
            <w:tcBorders/>
            <w:shd w:fill="CCEEFF" w:val="clear"/>
            <w:vAlign w:val="center"/>
          </w:tcPr>
          <w:p>
            <w:pPr>
              <w:pStyle w:val="TableContents"/>
              <w:bidi w:val="0"/>
              <w:spacing w:before="0" w:after="0"/>
              <w:ind w:left="0" w:right="0" w:hanging="0"/>
              <w:jc w:val="left"/>
            </w:pPr>
            <w:r>
              <w:t> </w:t>
            </w:r>
          </w:p>
        </w:tc>
        <w:tc>
          <w:tcPr>
            <w:tcW w:w="975" w:type="dxa"/>
            <w:tcBorders/>
            <w:shd w:fill="CCEEFF" w:val="clear"/>
            <w:vAlign w:val="center"/>
          </w:tcPr>
          <w:p>
            <w:pPr>
              <w:pStyle w:val="TableContents"/>
              <w:bidi w:val="0"/>
              <w:spacing w:before="0" w:after="0"/>
              <w:ind w:left="0" w:right="0" w:hanging="0"/>
              <w:jc w:val="right"/>
            </w:pPr>
            <w:r>
              <w:t>—</w:t>
            </w:r>
          </w:p>
        </w:tc>
        <w:tc>
          <w:tcPr>
            <w:tcW w:w="81" w:type="dxa"/>
            <w:tcBorders/>
            <w:shd w:fill="CCEEFF" w:val="clear"/>
            <w:vAlign w:val="center"/>
          </w:tcPr>
          <w:p>
            <w:pPr>
              <w:pStyle w:val="TableContents"/>
              <w:bidi w:val="0"/>
              <w:spacing w:before="0" w:after="0"/>
              <w:ind w:left="0" w:right="0" w:hanging="0"/>
              <w:jc w:val="left"/>
            </w:pPr>
            <w:r>
              <w:t> </w:t>
            </w:r>
          </w:p>
        </w:tc>
        <w:tc>
          <w:tcPr>
            <w:tcW w:w="61" w:type="dxa"/>
            <w:tcBorders/>
            <w:shd w:fill="CCEEFF" w:val="clear"/>
            <w:vAlign w:val="center"/>
          </w:tcPr>
          <w:p>
            <w:pPr>
              <w:pStyle w:val="TableContents"/>
              <w:bidi w:val="0"/>
              <w:spacing w:before="0" w:after="0"/>
              <w:ind w:left="0" w:right="0" w:hanging="0"/>
              <w:jc w:val="left"/>
            </w:pPr>
            <w:r>
              <w:t> </w:t>
            </w:r>
          </w:p>
        </w:tc>
        <w:tc>
          <w:tcPr>
            <w:tcW w:w="128" w:type="dxa"/>
            <w:tcBorders/>
            <w:shd w:fill="CCEEFF" w:val="clear"/>
            <w:vAlign w:val="center"/>
          </w:tcPr>
          <w:p>
            <w:pPr>
              <w:pStyle w:val="TableContents"/>
              <w:bidi w:val="0"/>
              <w:spacing w:before="0" w:after="0"/>
              <w:ind w:left="0" w:right="0" w:hanging="0"/>
              <w:jc w:val="left"/>
            </w:pPr>
            <w:r>
              <w:t> </w:t>
            </w:r>
          </w:p>
        </w:tc>
        <w:tc>
          <w:tcPr>
            <w:tcW w:w="975" w:type="dxa"/>
            <w:tcBorders/>
            <w:shd w:fill="CCEEFF" w:val="clear"/>
            <w:vAlign w:val="center"/>
          </w:tcPr>
          <w:p>
            <w:pPr>
              <w:pStyle w:val="TableContents"/>
              <w:bidi w:val="0"/>
              <w:spacing w:before="0" w:after="0"/>
              <w:ind w:left="0" w:right="0" w:hanging="0"/>
              <w:jc w:val="right"/>
              <w:rPr>
                <w:sz w:val="20"/>
              </w:rPr>
            </w:pPr>
            <w:r>
              <w:rPr>
                <w:sz w:val="20"/>
              </w:rPr>
              <w:t>208</w:t>
            </w:r>
          </w:p>
        </w:tc>
        <w:tc>
          <w:tcPr>
            <w:tcW w:w="85" w:type="dxa"/>
            <w:tcBorders/>
            <w:shd w:fill="CCEEFF" w:val="clear"/>
            <w:vAlign w:val="center"/>
          </w:tcPr>
          <w:p>
            <w:pPr>
              <w:pStyle w:val="TableContents"/>
              <w:bidi w:val="0"/>
              <w:spacing w:before="0" w:after="0"/>
              <w:jc w:val="left"/>
            </w:pPr>
            <w:r>
              <w:t> </w:t>
            </w:r>
          </w:p>
        </w:tc>
      </w:tr>
      <w:tr>
        <w:tc>
          <w:tcPr>
            <w:tcW w:w="520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(reversal)</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pPr>
            <w:r>
              <w:t>—</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pPr>
            <w:r>
              <w:t>—</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(224</w:t>
            </w:r>
          </w:p>
        </w:tc>
        <w:tc>
          <w:tcPr>
            <w:tcW w:w="85" w:type="dxa"/>
            <w:tcBorders/>
            <w:shd w:fill="FFFFFF" w:val="clear"/>
            <w:vAlign w:val="center"/>
          </w:tcPr>
          <w:p>
            <w:pPr>
              <w:pStyle w:val="TableContents"/>
              <w:bidi w:val="0"/>
              <w:spacing w:before="0" w:after="283"/>
              <w:jc w:val="left"/>
              <w:rPr>
                <w:sz w:val="20"/>
              </w:rPr>
            </w:pPr>
            <w:r>
              <w:rPr>
                <w:sz w:val="20"/>
              </w:rPr>
              <w:t>)</w:t>
            </w:r>
          </w:p>
        </w:tc>
      </w:tr>
      <w:tr>
        <w:tc>
          <w:tcPr>
            <w:tcW w:w="520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loss from RoHo Joint Venture</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(246</w:t>
            </w:r>
          </w:p>
        </w:tc>
        <w:tc>
          <w:tcPr>
            <w:tcW w:w="82"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(246</w:t>
            </w:r>
          </w:p>
        </w:tc>
        <w:tc>
          <w:tcPr>
            <w:tcW w:w="81"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pPr>
            <w:r>
              <w:t>—</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investment income</w:t>
            </w:r>
          </w:p>
        </w:tc>
        <w:tc>
          <w:tcPr>
            <w:tcW w:w="60" w:type="dxa"/>
            <w:tcBorders/>
            <w:shd w:fill="FFFFFF" w:val="clear"/>
            <w:vAlign w:val="center"/>
          </w:tcPr>
          <w:p>
            <w:pPr>
              <w:pStyle w:val="TableContents"/>
              <w:bidi w:val="0"/>
              <w:spacing w:before="0" w:after="283"/>
              <w:jc w:val="left"/>
            </w:pPr>
            <w:r>
              <w:t> </w:t>
            </w:r>
          </w:p>
        </w:tc>
        <w:tc>
          <w:tcPr>
            <w:tcW w:w="12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8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24,060</w:t>
            </w:r>
          </w:p>
        </w:tc>
        <w:tc>
          <w:tcPr>
            <w:tcW w:w="8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8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26,318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7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73,184</w:t>
            </w:r>
          </w:p>
        </w:tc>
        <w:tc>
          <w:tcPr>
            <w:tcW w:w="8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7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75,354</w:t>
            </w:r>
          </w:p>
        </w:tc>
        <w:tc>
          <w:tcPr>
            <w:tcW w:w="8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Expenses</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7,810</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7,897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23,785</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24,780</w:t>
            </w:r>
          </w:p>
        </w:tc>
        <w:tc>
          <w:tcPr>
            <w:tcW w:w="85" w:type="dxa"/>
            <w:tcBorders/>
            <w:shd w:fill="FFFFFF" w:val="cle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 management fee (Note 3)</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3,014</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2,748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9,281</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8,887</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based incentive fee (Note 3)</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pPr>
            <w:r>
              <w:t>—</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1,765</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pPr>
            <w:r>
              <w:t>—</w:t>
            </w:r>
          </w:p>
        </w:tc>
        <w:tc>
          <w:tcPr>
            <w:tcW w:w="85" w:type="dxa"/>
            <w:tcBorders/>
            <w:shd w:fill="FFFFFF" w:val="cle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fee (Note 3)</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406</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377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1,471</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1,203</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753</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493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2,510</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1,722</w:t>
            </w:r>
          </w:p>
        </w:tc>
        <w:tc>
          <w:tcPr>
            <w:tcW w:w="85" w:type="dxa"/>
            <w:tcBorders/>
            <w:shd w:fill="FFFFFF" w:val="cle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489</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437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1,447</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1,477</w:t>
            </w:r>
          </w:p>
        </w:tc>
        <w:tc>
          <w:tcPr>
            <w:tcW w:w="85" w:type="dxa"/>
            <w:tcBorders/>
            <w:shd w:fill="CCEEFF" w:val="clear"/>
            <w:vAlign w:val="center"/>
          </w:tcPr>
          <w:p>
            <w:pPr>
              <w:pStyle w:val="TableContents"/>
              <w:bidi w:val="0"/>
              <w:spacing w:before="0" w:after="283"/>
              <w:ind w:left="0" w:right="0" w:hanging="0"/>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Merger expenses</w:t>
            </w:r>
          </w:p>
        </w:tc>
        <w:tc>
          <w:tcPr>
            <w:tcW w:w="60"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46</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1"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4,487</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1" w:type="dxa"/>
            <w:tcBorders/>
            <w:shd w:fill="FFFFFF" w:val="clear"/>
            <w:vAlign w:val="center"/>
          </w:tcPr>
          <w:p>
            <w:pPr>
              <w:pStyle w:val="TableContents"/>
              <w:bidi w:val="0"/>
              <w:spacing w:before="0" w:after="0"/>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5"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expenses</w:t>
            </w:r>
          </w:p>
        </w:tc>
        <w:tc>
          <w:tcPr>
            <w:tcW w:w="60"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12,518</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11,952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44,746</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38,069</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 waived (Note 3)</w:t>
            </w:r>
          </w:p>
        </w:tc>
        <w:tc>
          <w:tcPr>
            <w:tcW w:w="60"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(1,000</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sz w:val="20"/>
              </w:rPr>
            </w:pPr>
            <w:r>
              <w:rPr>
                <w:sz w:val="20"/>
              </w:rPr>
              <w:t>)</w:t>
            </w:r>
          </w:p>
        </w:tc>
        <w:tc>
          <w:tcPr>
            <w:tcW w:w="61"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(1,000</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sz w:val="20"/>
              </w:rPr>
            </w:pPr>
            <w:r>
              <w:rPr>
                <w:sz w:val="20"/>
              </w:rPr>
              <w:t>)</w:t>
            </w:r>
          </w:p>
        </w:tc>
        <w:tc>
          <w:tcPr>
            <w:tcW w:w="61" w:type="dxa"/>
            <w:tcBorders/>
            <w:shd w:fill="FFFFFF" w:val="clear"/>
            <w:vAlign w:val="center"/>
          </w:tcPr>
          <w:p>
            <w:pPr>
              <w:pStyle w:val="TableContents"/>
              <w:bidi w:val="0"/>
              <w:spacing w:before="0" w:after="0"/>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5"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5207" w:type="dxa"/>
            <w:tcBorders/>
            <w:shd w:fill="CCEEFF" w:val="clear"/>
            <w:vAlign w:val="center"/>
          </w:tcPr>
          <w:p>
            <w:pPr>
              <w:pStyle w:val="TableContents"/>
              <w:bidi w:val="0"/>
              <w:spacing w:before="0" w:after="0"/>
              <w:ind w:left="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expenses</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right"/>
              <w:rPr>
                <w:sz w:val="20"/>
              </w:rPr>
            </w:pPr>
            <w:r>
              <w:rPr>
                <w:sz w:val="20"/>
              </w:rPr>
              <w:t>11,518</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right"/>
              <w:rPr>
                <w:sz w:val="20"/>
              </w:rPr>
            </w:pPr>
            <w:r>
              <w:rPr>
                <w:sz w:val="20"/>
              </w:rPr>
              <w:t>11,952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right"/>
              <w:rPr>
                <w:sz w:val="20"/>
              </w:rPr>
            </w:pPr>
            <w:r>
              <w:rPr>
                <w:sz w:val="20"/>
              </w:rPr>
              <w:t>43,746</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right"/>
              <w:rPr>
                <w:sz w:val="20"/>
              </w:rPr>
            </w:pPr>
            <w:r>
              <w:rPr>
                <w:sz w:val="20"/>
              </w:rPr>
              <w:t>38,069</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investment income before excise tax</w:t>
            </w:r>
          </w:p>
        </w:tc>
        <w:tc>
          <w:tcPr>
            <w:tcW w:w="60" w:type="dxa"/>
            <w:tcBorders/>
            <w:shd w:fill="FFFFFF" w:val="clear"/>
            <w:vAlign w:val="center"/>
          </w:tcPr>
          <w:p>
            <w:pPr>
              <w:pStyle w:val="TableContents"/>
              <w:bidi w:val="0"/>
              <w:spacing w:before="0" w:after="283"/>
              <w:jc w:val="left"/>
            </w:pPr>
            <w:r>
              <w:t> </w:t>
            </w:r>
          </w:p>
        </w:tc>
        <w:tc>
          <w:tcPr>
            <w:tcW w:w="12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8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12,542</w:t>
            </w:r>
          </w:p>
        </w:tc>
        <w:tc>
          <w:tcPr>
            <w:tcW w:w="8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8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14,366</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7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29,438</w:t>
            </w:r>
          </w:p>
        </w:tc>
        <w:tc>
          <w:tcPr>
            <w:tcW w:w="8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7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37,285</w:t>
            </w:r>
          </w:p>
        </w:tc>
        <w:tc>
          <w:tcPr>
            <w:tcW w:w="8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excise tax</w:t>
            </w:r>
          </w:p>
        </w:tc>
        <w:tc>
          <w:tcPr>
            <w:tcW w:w="60"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265</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797</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1,123</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investment income</w:t>
            </w:r>
          </w:p>
        </w:tc>
        <w:tc>
          <w:tcPr>
            <w:tcW w:w="60" w:type="dxa"/>
            <w:tcBorders/>
            <w:shd w:fill="FFFFFF" w:val="clear"/>
            <w:vAlign w:val="center"/>
          </w:tcPr>
          <w:p>
            <w:pPr>
              <w:pStyle w:val="TableContents"/>
              <w:bidi w:val="0"/>
              <w:spacing w:before="0" w:after="283"/>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12,277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13,993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28,641</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36,162</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realized and unrealized (loss) gain</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gain (loss) on non-affiliate investments</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3,179</w:t>
            </w:r>
          </w:p>
        </w:tc>
        <w:tc>
          <w:tcPr>
            <w:tcW w:w="82"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2,590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(3,104</w:t>
            </w:r>
          </w:p>
        </w:tc>
        <w:tc>
          <w:tcPr>
            <w:tcW w:w="81" w:type="dxa"/>
            <w:tcBorders/>
            <w:shd w:fill="FFFFFF" w:val="cle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(6,703</w:t>
            </w:r>
          </w:p>
        </w:tc>
        <w:tc>
          <w:tcPr>
            <w:tcW w:w="85" w:type="dxa"/>
            <w:tcBorders/>
            <w:shd w:fill="FFFFFF" w:val="clear"/>
            <w:vAlign w:val="center"/>
          </w:tcPr>
          <w:p>
            <w:pPr>
              <w:pStyle w:val="TableContents"/>
              <w:bidi w:val="0"/>
              <w:spacing w:before="0" w:after="283"/>
              <w:jc w:val="left"/>
              <w:rPr>
                <w:sz w:val="20"/>
              </w:rPr>
            </w:pPr>
            <w:r>
              <w:rPr>
                <w:sz w:val="20"/>
              </w:rPr>
              <w:t>)</w:t>
            </w:r>
          </w:p>
        </w:tc>
      </w:tr>
      <w:tr>
        <w:tc>
          <w:tcPr>
            <w:tcW w:w="520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non-controlled affiliate investments</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right"/>
              <w:rPr>
                <w:sz w:val="20"/>
              </w:rPr>
            </w:pPr>
            <w:r>
              <w:rPr>
                <w:sz w:val="20"/>
              </w:rPr>
              <w:t>(14,501</w:t>
            </w:r>
          </w:p>
        </w:tc>
        <w:tc>
          <w:tcPr>
            <w:tcW w:w="82"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82"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right"/>
              <w:rPr>
                <w:sz w:val="20"/>
              </w:rPr>
            </w:pPr>
            <w:r>
              <w:rPr>
                <w:sz w:val="20"/>
              </w:rPr>
              <w:t>(14,501</w:t>
            </w:r>
          </w:p>
        </w:tc>
        <w:tc>
          <w:tcPr>
            <w:tcW w:w="81"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975" w:type="dxa"/>
            <w:tcBorders/>
            <w:shd w:fill="CCEEFF" w:val="clear"/>
            <w:vAlign w:val="center"/>
          </w:tcPr>
          <w:p>
            <w:pPr>
              <w:pStyle w:val="TableContents"/>
              <w:bidi w:val="0"/>
              <w:spacing w:before="0" w:after="283"/>
              <w:jc w:val="right"/>
            </w:pPr>
            <w:r>
              <w:t>—</w:t>
            </w:r>
          </w:p>
        </w:tc>
        <w:tc>
          <w:tcPr>
            <w:tcW w:w="85" w:type="dxa"/>
            <w:tcBorders/>
            <w:shd w:fill="CCEEFF" w:val="clear"/>
            <w:vAlign w:val="center"/>
          </w:tcPr>
          <w:p>
            <w:pPr>
              <w:pStyle w:val="TableContents"/>
              <w:bidi w:val="0"/>
              <w:spacing w:before="0" w:after="283"/>
              <w:ind w:left="0" w:right="0" w:hanging="0"/>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controlled affiliate investments</w:t>
            </w:r>
          </w:p>
        </w:tc>
        <w:tc>
          <w:tcPr>
            <w:tcW w:w="60"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1"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(25,117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sz w:val="20"/>
              </w:rPr>
            </w:pPr>
            <w:r>
              <w:rPr>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1" w:type="dxa"/>
            <w:tcBorders/>
            <w:shd w:fill="FFFFFF" w:val="clear"/>
            <w:vAlign w:val="center"/>
          </w:tcPr>
          <w:p>
            <w:pPr>
              <w:pStyle w:val="TableContents"/>
              <w:bidi w:val="0"/>
              <w:spacing w:before="0" w:after="0"/>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(25,117</w:t>
            </w:r>
          </w:p>
        </w:tc>
        <w:tc>
          <w:tcPr>
            <w:tcW w:w="85" w:type="dxa"/>
            <w:tcBorders>
              <w:bottom w:val="single" w:sz="2" w:space="0" w:color="000000"/>
            </w:tcBorders>
            <w:shd w:fill="FFFFFF" w:val="clear"/>
            <w:tcMar>
              <w:bottom w:w="28" w:type="dxa"/>
            </w:tcMar>
            <w:vAlign w:val="center"/>
          </w:tcPr>
          <w:p>
            <w:pPr>
              <w:pStyle w:val="TableContents"/>
              <w:bidi w:val="0"/>
              <w:spacing w:before="0" w:after="0"/>
              <w:jc w:val="left"/>
              <w:rPr>
                <w:sz w:val="20"/>
              </w:rPr>
            </w:pPr>
            <w:r>
              <w:rPr>
                <w:sz w:val="20"/>
              </w:rPr>
              <w:t>)</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realized loss on investments</w:t>
            </w:r>
          </w:p>
        </w:tc>
        <w:tc>
          <w:tcPr>
            <w:tcW w:w="60"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(11,322</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(22,527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(17,605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(31,820</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extinguishment of debt</w:t>
            </w:r>
          </w:p>
        </w:tc>
        <w:tc>
          <w:tcPr>
            <w:tcW w:w="60" w:type="dxa"/>
            <w:tcBorders/>
            <w:shd w:fill="FFFFFF" w:val="clear"/>
            <w:vAlign w:val="center"/>
          </w:tcPr>
          <w:p>
            <w:pPr>
              <w:pStyle w:val="TableContents"/>
              <w:bidi w:val="0"/>
              <w:spacing w:before="0" w:after="283"/>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(1,432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(2,037</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realized loss</w:t>
            </w:r>
          </w:p>
        </w:tc>
        <w:tc>
          <w:tcPr>
            <w:tcW w:w="60"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(11,322</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(23,788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(19,037</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(33,857</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appreciation on non-affiliate investments</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(32,756</w:t>
            </w:r>
          </w:p>
        </w:tc>
        <w:tc>
          <w:tcPr>
            <w:tcW w:w="82" w:type="dxa"/>
            <w:tcBorders/>
            <w:shd w:fill="FFFFFF" w:val="cle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sz w:val="20"/>
              </w:rPr>
            </w:pPr>
            <w:r>
              <w:rPr>
                <w:sz w:val="20"/>
              </w:rPr>
              <w:t>25,659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(36,644</w:t>
            </w:r>
          </w:p>
        </w:tc>
        <w:tc>
          <w:tcPr>
            <w:tcW w:w="81" w:type="dxa"/>
            <w:tcBorders/>
            <w:shd w:fill="FFFFFF" w:val="cle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975" w:type="dxa"/>
            <w:tcBorders/>
            <w:shd w:fill="FFFFFF" w:val="clear"/>
            <w:vAlign w:val="center"/>
          </w:tcPr>
          <w:p>
            <w:pPr>
              <w:pStyle w:val="TableContents"/>
              <w:bidi w:val="0"/>
              <w:spacing w:before="0" w:after="283"/>
              <w:ind w:left="0" w:right="0" w:hanging="0"/>
              <w:jc w:val="right"/>
              <w:rPr>
                <w:sz w:val="20"/>
              </w:rPr>
            </w:pPr>
            <w:r>
              <w:rPr>
                <w:sz w:val="20"/>
              </w:rPr>
              <w:t>(1,266</w:t>
            </w:r>
          </w:p>
        </w:tc>
        <w:tc>
          <w:tcPr>
            <w:tcW w:w="85" w:type="dxa"/>
            <w:tcBorders/>
            <w:shd w:fill="FFFFFF" w:val="clear"/>
            <w:vAlign w:val="center"/>
          </w:tcPr>
          <w:p>
            <w:pPr>
              <w:pStyle w:val="TableContents"/>
              <w:bidi w:val="0"/>
              <w:spacing w:before="0" w:after="283"/>
              <w:jc w:val="left"/>
              <w:rPr>
                <w:sz w:val="20"/>
              </w:rPr>
            </w:pPr>
            <w:r>
              <w:rPr>
                <w:sz w:val="20"/>
              </w:rPr>
              <w:t>)</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appreciation (depreciation) on non-controlled affiliate investments</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4,064</w:t>
            </w:r>
          </w:p>
        </w:tc>
        <w:tc>
          <w:tcPr>
            <w:tcW w:w="82"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sz w:val="20"/>
              </w:rPr>
            </w:pPr>
            <w:r>
              <w:rPr>
                <w:sz w:val="20"/>
              </w:rPr>
              <w:t>1,812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(35,181</w:t>
            </w:r>
          </w:p>
        </w:tc>
        <w:tc>
          <w:tcPr>
            <w:tcW w:w="81"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975" w:type="dxa"/>
            <w:tcBorders/>
            <w:shd w:fill="CCEEFF" w:val="clear"/>
            <w:vAlign w:val="center"/>
          </w:tcPr>
          <w:p>
            <w:pPr>
              <w:pStyle w:val="TableContents"/>
              <w:bidi w:val="0"/>
              <w:spacing w:before="0" w:after="283"/>
              <w:ind w:left="0" w:right="0" w:hanging="0"/>
              <w:jc w:val="right"/>
              <w:rPr>
                <w:sz w:val="20"/>
              </w:rPr>
            </w:pPr>
            <w:r>
              <w:rPr>
                <w:sz w:val="20"/>
              </w:rPr>
              <w:t>210</w:t>
            </w:r>
          </w:p>
        </w:tc>
        <w:tc>
          <w:tcPr>
            <w:tcW w:w="85" w:type="dxa"/>
            <w:tcBorders/>
            <w:shd w:fill="CCEEFF" w:val="clear"/>
            <w:vAlign w:val="center"/>
          </w:tcPr>
          <w:p>
            <w:pPr>
              <w:pStyle w:val="TableContents"/>
              <w:bidi w:val="0"/>
              <w:spacing w:before="0" w:after="283"/>
              <w:ind w:left="0" w:right="0" w:hanging="0"/>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appreciation on controlled affiliate investments</w:t>
            </w:r>
          </w:p>
        </w:tc>
        <w:tc>
          <w:tcPr>
            <w:tcW w:w="60"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(499</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sz w:val="20"/>
              </w:rPr>
            </w:pPr>
            <w:r>
              <w:rPr>
                <w:sz w:val="20"/>
              </w:rPr>
              <w:t>)</w:t>
            </w:r>
          </w:p>
        </w:tc>
        <w:tc>
          <w:tcPr>
            <w:tcW w:w="61"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13,046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(499</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sz w:val="20"/>
              </w:rPr>
            </w:pPr>
            <w:r>
              <w:rPr>
                <w:sz w:val="20"/>
              </w:rPr>
              <w:t>)</w:t>
            </w:r>
          </w:p>
        </w:tc>
        <w:tc>
          <w:tcPr>
            <w:tcW w:w="61" w:type="dxa"/>
            <w:tcBorders/>
            <w:shd w:fill="FFFFFF" w:val="clear"/>
            <w:vAlign w:val="center"/>
          </w:tcPr>
          <w:p>
            <w:pPr>
              <w:pStyle w:val="TableContents"/>
              <w:bidi w:val="0"/>
              <w:spacing w:before="0" w:after="0"/>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(12,740</w:t>
            </w:r>
          </w:p>
        </w:tc>
        <w:tc>
          <w:tcPr>
            <w:tcW w:w="85" w:type="dxa"/>
            <w:tcBorders>
              <w:bottom w:val="single" w:sz="2" w:space="0" w:color="000000"/>
            </w:tcBorders>
            <w:shd w:fill="FFFFFF" w:val="clear"/>
            <w:tcMar>
              <w:bottom w:w="28" w:type="dxa"/>
            </w:tcMar>
            <w:vAlign w:val="center"/>
          </w:tcPr>
          <w:p>
            <w:pPr>
              <w:pStyle w:val="TableContents"/>
              <w:bidi w:val="0"/>
              <w:spacing w:before="0" w:after="0"/>
              <w:jc w:val="left"/>
              <w:rPr>
                <w:sz w:val="20"/>
              </w:rPr>
            </w:pPr>
            <w:r>
              <w:rPr>
                <w:sz w:val="20"/>
              </w:rPr>
              <w:t>)</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unrealized (depreciation) appreciation on investments</w:t>
            </w:r>
          </w:p>
        </w:tc>
        <w:tc>
          <w:tcPr>
            <w:tcW w:w="60"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(29,191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40,517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(72,324</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(13,796</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realized and unrealized (loss) gain</w:t>
            </w:r>
          </w:p>
        </w:tc>
        <w:tc>
          <w:tcPr>
            <w:tcW w:w="60" w:type="dxa"/>
            <w:tcBorders/>
            <w:shd w:fill="FFFFFF" w:val="clear"/>
            <w:vAlign w:val="center"/>
          </w:tcPr>
          <w:p>
            <w:pPr>
              <w:pStyle w:val="TableContents"/>
              <w:bidi w:val="0"/>
              <w:spacing w:before="0" w:after="283"/>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(40,513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16,729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(91,361</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(47,653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(decrease) increase in net assets resulting from operations</w:t>
            </w:r>
          </w:p>
        </w:tc>
        <w:tc>
          <w:tcPr>
            <w:tcW w:w="60" w:type="dxa"/>
            <w:tcBorders/>
            <w:shd w:fill="CCEE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(28,236</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30,722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(62,720</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(11,491</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net assets resulting from operations per common share - basic</w:t>
            </w:r>
          </w:p>
        </w:tc>
        <w:tc>
          <w:tcPr>
            <w:tcW w:w="60" w:type="dxa"/>
            <w:tcBorders/>
            <w:shd w:fill="FFFF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(0.43</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0.71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(1.05</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(0.28</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c>
          <w:tcPr>
            <w:tcW w:w="5207"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net assets resulting from operations per common share - diluted (1)</w:t>
            </w:r>
          </w:p>
        </w:tc>
        <w:tc>
          <w:tcPr>
            <w:tcW w:w="60" w:type="dxa"/>
            <w:tcBorders/>
            <w:shd w:fill="CCEE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(0.43</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(1.05</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(0.28</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66,313,471</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43,101,307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59,604,481</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41,525,869</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52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CCEEFF" w:val="clear"/>
            <w:vAlign w:val="center"/>
          </w:tcPr>
          <w:p>
            <w:pPr>
              <w:pStyle w:val="TableContents"/>
              <w:bidi w:val="0"/>
              <w:spacing w:before="0" w:after="283"/>
              <w:jc w:val="left"/>
            </w:pPr>
            <w: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66,313,471</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45,838,142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59,604,481</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41,525,869</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5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declared per share</w:t>
            </w:r>
          </w:p>
        </w:tc>
        <w:tc>
          <w:tcPr>
            <w:tcW w:w="60" w:type="dxa"/>
            <w:tcBorders/>
            <w:shd w:fill="FFFF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0.27</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0.72</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0.99</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199"/>
        <w:gridCol w:w="10006"/>
      </w:tblGrid>
      <w:tr>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10006" w:type="dxa"/>
            <w:tcBorders/>
            <w:vAlign w:val="center"/>
          </w:tcPr>
          <w:p>
            <w:pPr>
              <w:pStyle w:val="TableContents"/>
              <w:bidi w:val="0"/>
              <w:spacing w:before="0" w:after="283"/>
              <w:jc w:val="both"/>
              <w:rPr>
                <w:sz w:val="16"/>
              </w:rPr>
            </w:pPr>
            <w:r>
              <w:rPr>
                <w:sz w:val="16"/>
              </w:rPr>
              <w:t>For the three and nine months ended September 30, 2026 and the nine months ended September 30, 2025, the impact of the hypothetical conversion of Convertible Notes would have been antidilutive to decrease in net assets resulting from operations per common share (Note 11).</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she"/>
      <w:bookmarkEnd w:id="5"/>
      <w:r>
        <w:rPr>
          <w:rFonts w:ascii="Times New Roman" w:hAnsi="Times New Roman"/>
          <w:b/>
          <w:caps w:val="false"/>
          <w:smallCaps w:val="false"/>
          <w:sz w:val="20"/>
        </w:rPr>
        <w:t>Consolidated Statements of Changes in Net Assets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3"/>
        <w:gridCol w:w="60"/>
        <w:gridCol w:w="60"/>
        <w:gridCol w:w="950"/>
        <w:gridCol w:w="80"/>
        <w:gridCol w:w="60"/>
        <w:gridCol w:w="220"/>
        <w:gridCol w:w="460"/>
        <w:gridCol w:w="60"/>
        <w:gridCol w:w="60"/>
        <w:gridCol w:w="181"/>
        <w:gridCol w:w="1014"/>
        <w:gridCol w:w="80"/>
        <w:gridCol w:w="60"/>
        <w:gridCol w:w="158"/>
        <w:gridCol w:w="957"/>
        <w:gridCol w:w="80"/>
        <w:gridCol w:w="60"/>
        <w:gridCol w:w="125"/>
        <w:gridCol w:w="695"/>
        <w:gridCol w:w="82"/>
      </w:tblGrid>
      <w:tr>
        <w:tc>
          <w:tcPr>
            <w:tcW w:w="470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Paid-In Capital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82" w:type="dxa"/>
            <w:tcBorders/>
            <w:shd w:fill="FFFF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 Excess of</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Distributable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 Net</w:t>
            </w:r>
          </w:p>
        </w:tc>
        <w:tc>
          <w:tcPr>
            <w:tcW w:w="82" w:type="dxa"/>
            <w:tcBorders/>
            <w:shd w:fill="FFFF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Par</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Assets</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42,027,567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535,423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(251,675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283,795</w:t>
            </w:r>
          </w:p>
        </w:tc>
        <w:tc>
          <w:tcPr>
            <w:tcW w:w="82" w:type="dxa"/>
            <w:tcBorders/>
            <w:shd w:fill="CCEE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of offering costs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1,570,248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10,621</w:t>
            </w:r>
          </w:p>
        </w:tc>
        <w:tc>
          <w:tcPr>
            <w:tcW w:w="82" w:type="dxa"/>
            <w:tcBorders/>
            <w:shd w:fill="FFFFFF" w:val="clear"/>
            <w:vAlign w:val="center"/>
          </w:tcPr>
          <w:p>
            <w:pPr>
              <w:pStyle w:val="TableContents"/>
              <w:bidi w:val="0"/>
              <w:spacing w:before="0" w:after="283"/>
              <w:jc w:val="left"/>
            </w:pPr>
            <w:r>
              <w:t> </w:t>
            </w:r>
          </w:p>
        </w:tc>
      </w:tr>
      <w:tr>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net assets resulting from operations, net of excise tax:</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pPr>
            <w:r>
              <w:t> </w:t>
            </w:r>
          </w:p>
        </w:tc>
        <w:tc>
          <w:tcPr>
            <w:tcW w:w="4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pPr>
            <w:r>
              <w:t> </w:t>
            </w:r>
          </w:p>
        </w:tc>
        <w:tc>
          <w:tcPr>
            <w:tcW w:w="101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95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 net of excise tax</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1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13,993</w:t>
            </w:r>
          </w:p>
        </w:tc>
        <w:tc>
          <w:tcPr>
            <w:tcW w:w="82" w:type="dxa"/>
            <w:tcBorders/>
            <w:shd w:fill="FFFFFF" w:val="clear"/>
            <w:vAlign w:val="center"/>
          </w:tcPr>
          <w:p>
            <w:pPr>
              <w:pStyle w:val="TableContents"/>
              <w:bidi w:val="0"/>
              <w:spacing w:before="0" w:after="283"/>
              <w:jc w:val="left"/>
            </w:pPr>
            <w:r>
              <w:t> </w:t>
            </w:r>
          </w:p>
        </w:tc>
      </w:tr>
      <w:tr>
        <w:tc>
          <w:tcPr>
            <w:tcW w:w="47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investments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1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3"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extinguishment of debt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appreciation on investments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1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40,517</w:t>
            </w:r>
          </w:p>
        </w:tc>
        <w:tc>
          <w:tcPr>
            <w:tcW w:w="82" w:type="dxa"/>
            <w:tcBorders/>
            <w:shd w:fill="CCEE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under dividend reinvestment plan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2" w:type="dxa"/>
            <w:tcBorders/>
            <w:shd w:fill="FFFFFF" w:val="clear"/>
            <w:vAlign w:val="center"/>
          </w:tcPr>
          <w:p>
            <w:pPr>
              <w:pStyle w:val="TableContents"/>
              <w:bidi w:val="0"/>
              <w:spacing w:before="0" w:after="283"/>
              <w:jc w:val="left"/>
            </w:pPr>
            <w:r>
              <w:t> </w:t>
            </w:r>
          </w:p>
        </w:tc>
      </w:tr>
      <w:tr>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extinguishment of debt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643,043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pPr>
            <w:r>
              <w:t> </w:t>
            </w:r>
          </w:p>
        </w:tc>
        <w:tc>
          <w:tcPr>
            <w:tcW w:w="4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pPr>
            <w:r>
              <w:t> </w:t>
            </w:r>
          </w:p>
        </w:tc>
        <w:tc>
          <w:tcPr>
            <w:tcW w:w="10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957"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4,770</w:t>
            </w:r>
          </w:p>
        </w:tc>
        <w:tc>
          <w:tcPr>
            <w:tcW w:w="82" w:type="dxa"/>
            <w:tcBorders/>
            <w:shd w:fill="CCEE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declared</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September 30, 2025</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44,315,005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551,358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315,701</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r>
      <w:tr>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66,978,865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710,266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(292,839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417,500</w:t>
            </w:r>
          </w:p>
        </w:tc>
        <w:tc>
          <w:tcPr>
            <w:tcW w:w="82" w:type="dxa"/>
            <w:tcBorders/>
            <w:shd w:fill="CCEE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pursuant to Merger Agreement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net assets resulting from operations, net of excise tax:</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pPr>
            <w:r>
              <w:t> </w:t>
            </w:r>
          </w:p>
        </w:tc>
        <w:tc>
          <w:tcPr>
            <w:tcW w:w="4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pPr>
            <w:r>
              <w:t> </w:t>
            </w:r>
          </w:p>
        </w:tc>
        <w:tc>
          <w:tcPr>
            <w:tcW w:w="101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95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 net of excise tax</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1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12,277</w:t>
            </w:r>
          </w:p>
        </w:tc>
        <w:tc>
          <w:tcPr>
            <w:tcW w:w="82" w:type="dxa"/>
            <w:tcBorders/>
            <w:shd w:fill="FFFFFF" w:val="clear"/>
            <w:vAlign w:val="center"/>
          </w:tcPr>
          <w:p>
            <w:pPr>
              <w:pStyle w:val="TableContents"/>
              <w:bidi w:val="0"/>
              <w:spacing w:before="0" w:after="283"/>
              <w:jc w:val="left"/>
            </w:pPr>
            <w:r>
              <w:t> </w:t>
            </w:r>
          </w:p>
        </w:tc>
      </w:tr>
      <w:tr>
        <w:tc>
          <w:tcPr>
            <w:tcW w:w="47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investments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1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on investments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1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under dividend reinvestment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157,735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2" w:type="dxa"/>
            <w:tcBorders/>
            <w:shd w:fill="CCEEFF" w:val="clear"/>
            <w:vAlign w:val="center"/>
          </w:tcPr>
          <w:p>
            <w:pPr>
              <w:pStyle w:val="TableContents"/>
              <w:bidi w:val="0"/>
              <w:spacing w:before="0" w:after="283"/>
              <w:jc w:val="left"/>
            </w:pPr>
            <w:r>
              <w:t> </w:t>
            </w:r>
          </w:p>
        </w:tc>
      </w:tr>
      <w:tr>
        <w:tc>
          <w:tcPr>
            <w:tcW w:w="47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(2,033,991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declared</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(17,888</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September 30, 2026</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65,102,609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701,033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362,143</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4"/>
        <w:gridCol w:w="60"/>
        <w:gridCol w:w="60"/>
        <w:gridCol w:w="950"/>
        <w:gridCol w:w="80"/>
        <w:gridCol w:w="60"/>
        <w:gridCol w:w="220"/>
        <w:gridCol w:w="460"/>
        <w:gridCol w:w="60"/>
        <w:gridCol w:w="60"/>
        <w:gridCol w:w="184"/>
        <w:gridCol w:w="1030"/>
        <w:gridCol w:w="80"/>
        <w:gridCol w:w="60"/>
        <w:gridCol w:w="158"/>
        <w:gridCol w:w="957"/>
        <w:gridCol w:w="80"/>
        <w:gridCol w:w="60"/>
        <w:gridCol w:w="125"/>
        <w:gridCol w:w="695"/>
        <w:gridCol w:w="82"/>
      </w:tblGrid>
      <w:tr>
        <w:tc>
          <w:tcPr>
            <w:tcW w:w="468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Paid-In Capital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82" w:type="dxa"/>
            <w:tcBorders/>
            <w:shd w:fill="FFFF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 Excess of</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Distributable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 Net</w:t>
            </w:r>
          </w:p>
        </w:tc>
        <w:tc>
          <w:tcPr>
            <w:tcW w:w="82" w:type="dxa"/>
            <w:tcBorders/>
            <w:shd w:fill="FFFF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Par</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Assets</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39,875,847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(182,061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336,183</w:t>
            </w:r>
          </w:p>
        </w:tc>
        <w:tc>
          <w:tcPr>
            <w:tcW w:w="82" w:type="dxa"/>
            <w:tcBorders/>
            <w:shd w:fill="CCEE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of offering costs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1,974,553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14,182</w:t>
            </w:r>
          </w:p>
        </w:tc>
        <w:tc>
          <w:tcPr>
            <w:tcW w:w="82" w:type="dxa"/>
            <w:tcBorders/>
            <w:shd w:fill="FFFFFF" w:val="clear"/>
            <w:vAlign w:val="center"/>
          </w:tcPr>
          <w:p>
            <w:pPr>
              <w:pStyle w:val="TableContents"/>
              <w:bidi w:val="0"/>
              <w:spacing w:before="0" w:after="283"/>
              <w:jc w:val="left"/>
            </w:pPr>
            <w:r>
              <w:t> </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net assets resulting from operations, net of excise tax:</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pPr>
            <w:r>
              <w:t> </w:t>
            </w:r>
          </w:p>
        </w:tc>
        <w:tc>
          <w:tcPr>
            <w:tcW w:w="4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 </w:t>
            </w:r>
          </w:p>
        </w:tc>
        <w:tc>
          <w:tcPr>
            <w:tcW w:w="103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95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 net of excise tax</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3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36,162</w:t>
            </w:r>
          </w:p>
        </w:tc>
        <w:tc>
          <w:tcPr>
            <w:tcW w:w="82" w:type="dxa"/>
            <w:tcBorders/>
            <w:shd w:fill="FFFFFF" w:val="clear"/>
            <w:vAlign w:val="center"/>
          </w:tcPr>
          <w:p>
            <w:pPr>
              <w:pStyle w:val="TableContents"/>
              <w:bidi w:val="0"/>
              <w:spacing w:before="0" w:after="283"/>
              <w:jc w:val="left"/>
            </w:pPr>
            <w:r>
              <w:t> </w:t>
            </w:r>
          </w:p>
        </w:tc>
      </w:tr>
      <w:tr>
        <w:tc>
          <w:tcPr>
            <w:tcW w:w="4684"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investments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3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(31,820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extinguishment of debt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3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on investments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3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under dividend reinvestment plan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200,059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w:t>
            </w:r>
          </w:p>
        </w:tc>
        <w:tc>
          <w:tcPr>
            <w:tcW w:w="82" w:type="dxa"/>
            <w:tcBorders/>
            <w:shd w:fill="FFFFFF" w:val="clear"/>
            <w:vAlign w:val="center"/>
          </w:tcPr>
          <w:p>
            <w:pPr>
              <w:pStyle w:val="TableContents"/>
              <w:bidi w:val="0"/>
              <w:spacing w:before="0" w:after="283"/>
              <w:jc w:val="left"/>
            </w:pPr>
            <w:r>
              <w:t> </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extinguishment of debt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2,264,546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17,375</w:t>
            </w:r>
          </w:p>
        </w:tc>
        <w:tc>
          <w:tcPr>
            <w:tcW w:w="82" w:type="dxa"/>
            <w:tcBorders/>
            <w:shd w:fill="CCEE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declared</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September 30, 2025</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44,315,005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551,358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315,701</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03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45,613,815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559,355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(240,904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318,502</w:t>
            </w:r>
          </w:p>
        </w:tc>
        <w:tc>
          <w:tcPr>
            <w:tcW w:w="82" w:type="dxa"/>
            <w:tcBorders/>
            <w:shd w:fill="CCEE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of offering costs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2" w:type="dxa"/>
            <w:tcBorders/>
            <w:shd w:fill="FFFFFF" w:val="clear"/>
            <w:vAlign w:val="center"/>
          </w:tcPr>
          <w:p>
            <w:pPr>
              <w:pStyle w:val="TableContents"/>
              <w:bidi w:val="0"/>
              <w:spacing w:before="0" w:after="283"/>
              <w:jc w:val="left"/>
            </w:pPr>
            <w:r>
              <w:t> </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pursuant to Merger Agreement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20,370,645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140,815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140,835</w:t>
            </w:r>
          </w:p>
        </w:tc>
        <w:tc>
          <w:tcPr>
            <w:tcW w:w="82" w:type="dxa"/>
            <w:tcBorders/>
            <w:shd w:fill="CCEE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net assets resulting from operations, net of excise tax:</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03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r>
      <w:tr>
        <w:tc>
          <w:tcPr>
            <w:tcW w:w="4684"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 net of excise tax</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3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28,641</w:t>
            </w:r>
          </w:p>
        </w:tc>
        <w:tc>
          <w:tcPr>
            <w:tcW w:w="82" w:type="dxa"/>
            <w:tcBorders/>
            <w:shd w:fill="CCEE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investments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3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extinguishment of debt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3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on investments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3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(72,324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under dividend reinvestment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399,112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w:t>
            </w:r>
          </w:p>
        </w:tc>
        <w:tc>
          <w:tcPr>
            <w:tcW w:w="82" w:type="dxa"/>
            <w:tcBorders/>
            <w:shd w:fill="CCEEFF" w:val="clear"/>
            <w:vAlign w:val="center"/>
          </w:tcPr>
          <w:p>
            <w:pPr>
              <w:pStyle w:val="TableContents"/>
              <w:bidi w:val="0"/>
              <w:spacing w:before="0" w:after="283"/>
              <w:jc w:val="left"/>
            </w:pPr>
            <w:r>
              <w:t> </w:t>
            </w:r>
          </w:p>
        </w:tc>
      </w:tr>
      <w:tr>
        <w:tc>
          <w:tcPr>
            <w:tcW w:w="4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extinguishment of debt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2,118,250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15,083</w:t>
            </w:r>
          </w:p>
        </w:tc>
        <w:tc>
          <w:tcPr>
            <w:tcW w:w="82" w:type="dxa"/>
            <w:tcBorders/>
            <w:shd w:fill="FFFFFF" w:val="clear"/>
            <w:vAlign w:val="center"/>
          </w:tcPr>
          <w:p>
            <w:pPr>
              <w:pStyle w:val="TableContents"/>
              <w:bidi w:val="0"/>
              <w:spacing w:before="0" w:after="283"/>
              <w:jc w:val="left"/>
            </w:pPr>
            <w:r>
              <w:t> </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declared</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September 30, 2026</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65,102,609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701,033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362,143</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caps w:val="false"/>
          <w:smallCaps w:val="false"/>
          <w:sz w:val="20"/>
        </w:rPr>
      </w:pPr>
      <w:bookmarkStart w:id="6" w:name="cf"/>
      <w:bookmarkEnd w:id="6"/>
      <w:r>
        <w:rPr>
          <w:rFonts w:ascii="Times New Roman" w:hAnsi="Times New Roman"/>
          <w:b/>
          <w:caps w:val="false"/>
          <w:smallCaps w:val="false"/>
          <w:sz w:val="20"/>
        </w:rPr>
        <w:t>Consolidated Statements of Cash Flows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5"/>
        <w:gridCol w:w="60"/>
        <w:gridCol w:w="194"/>
        <w:gridCol w:w="1172"/>
        <w:gridCol w:w="123"/>
        <w:gridCol w:w="92"/>
        <w:gridCol w:w="194"/>
        <w:gridCol w:w="1172"/>
        <w:gridCol w:w="83"/>
      </w:tblGrid>
      <w:tr>
        <w:tc>
          <w:tcPr>
            <w:tcW w:w="7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For the nine months ended September 30,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ind w:left="0" w:right="0" w:hanging="0"/>
              <w:jc w:val="left"/>
            </w:pPr>
            <w:r>
              <w:t> </w:t>
            </w:r>
          </w:p>
        </w:tc>
        <w:tc>
          <w:tcPr>
            <w:tcW w:w="13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net assets resulting from operations</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(62,720</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decrease in net assets resulting from operations to net cash provided by operating activities: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investments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17,605</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31,820</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realized loss on extinguishment of debt</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2,037</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on investments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72,324</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13,796</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(252,398</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(153,805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received on investments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169,102</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204,604</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PIK interest on investments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(3,674</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investments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RoHo Joint Venture</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(8,510</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right"/>
            </w:pPr>
            <w:r>
              <w:t>—</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loss from controlled affiliate investment</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right"/>
            </w:pPr>
            <w:r>
              <w:t>—</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received in settlement of interest and fee income</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(3,209</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received in settlement of fee income</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pPr>
            <w:r>
              <w:t>—</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converted to common stock</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3" w:type="dxa"/>
            <w:tcBorders/>
            <w:shd w:fill="FFFFFF" w:val="clear"/>
            <w:vAlign w:val="center"/>
          </w:tcPr>
          <w:p>
            <w:pPr>
              <w:pStyle w:val="TableContents"/>
              <w:bidi w:val="0"/>
              <w:spacing w:before="0" w:after="283"/>
              <w:ind w:left="0" w:right="0" w:hanging="0"/>
              <w:jc w:val="left"/>
            </w:pPr>
            <w:r>
              <w:t> </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money market funds acquired in Merger</w:t>
            </w:r>
          </w:p>
        </w:tc>
        <w:tc>
          <w:tcPr>
            <w:tcW w:w="60" w:type="dxa"/>
            <w:tcBorders/>
            <w:shd w:fill="CCEEFF" w:val="clear"/>
            <w:vAlign w:val="center"/>
          </w:tcPr>
          <w:p>
            <w:pPr>
              <w:pStyle w:val="TableContents"/>
              <w:bidi w:val="0"/>
              <w:spacing w:before="0" w:after="0"/>
              <w:ind w:left="0" w:right="0" w:hanging="0"/>
              <w:jc w:val="left"/>
            </w:pPr>
            <w:r>
              <w:t> </w:t>
            </w:r>
          </w:p>
        </w:tc>
        <w:tc>
          <w:tcPr>
            <w:tcW w:w="194" w:type="dxa"/>
            <w:tcBorders/>
            <w:shd w:fill="CCEEFF" w:val="clear"/>
            <w:vAlign w:val="center"/>
          </w:tcPr>
          <w:p>
            <w:pPr>
              <w:pStyle w:val="TableContents"/>
              <w:bidi w:val="0"/>
              <w:spacing w:before="0" w:after="0"/>
              <w:ind w:left="0" w:right="0" w:hanging="0"/>
              <w:jc w:val="left"/>
            </w:pPr>
            <w:r>
              <w:t> </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141,264</w:t>
            </w:r>
          </w:p>
        </w:tc>
        <w:tc>
          <w:tcPr>
            <w:tcW w:w="123" w:type="dxa"/>
            <w:tcBorders/>
            <w:shd w:fill="CCEEFF" w:val="clear"/>
            <w:vAlign w:val="center"/>
          </w:tcPr>
          <w:p>
            <w:pPr>
              <w:pStyle w:val="TableContents"/>
              <w:bidi w:val="0"/>
              <w:spacing w:before="0" w:after="0"/>
              <w:ind w:left="0" w:right="0" w:hanging="0"/>
              <w:jc w:val="left"/>
            </w:pPr>
            <w:r>
              <w:t> </w:t>
            </w:r>
          </w:p>
        </w:tc>
        <w:tc>
          <w:tcPr>
            <w:tcW w:w="92" w:type="dxa"/>
            <w:tcBorders/>
            <w:shd w:fill="CCEEFF" w:val="clear"/>
            <w:vAlign w:val="center"/>
          </w:tcPr>
          <w:p>
            <w:pPr>
              <w:pStyle w:val="TableContents"/>
              <w:bidi w:val="0"/>
              <w:spacing w:before="0" w:after="0"/>
              <w:ind w:left="0" w:right="0" w:hanging="0"/>
              <w:jc w:val="left"/>
            </w:pPr>
            <w:r>
              <w:t> </w:t>
            </w:r>
          </w:p>
        </w:tc>
        <w:tc>
          <w:tcPr>
            <w:tcW w:w="194" w:type="dxa"/>
            <w:tcBorders/>
            <w:shd w:fill="CCEEFF" w:val="clear"/>
            <w:vAlign w:val="center"/>
          </w:tcPr>
          <w:p>
            <w:pPr>
              <w:pStyle w:val="TableContents"/>
              <w:bidi w:val="0"/>
              <w:spacing w:before="0" w:after="0"/>
              <w:ind w:left="0" w:right="0" w:hanging="0"/>
              <w:jc w:val="left"/>
            </w:pPr>
            <w:r>
              <w:t> </w:t>
            </w:r>
          </w:p>
        </w:tc>
        <w:tc>
          <w:tcPr>
            <w:tcW w:w="1172" w:type="dxa"/>
            <w:tcBorders/>
            <w:shd w:fill="CCEEFF" w:val="clear"/>
            <w:vAlign w:val="center"/>
          </w:tcPr>
          <w:p>
            <w:pPr>
              <w:pStyle w:val="TableContents"/>
              <w:bidi w:val="0"/>
              <w:spacing w:before="0" w:after="0"/>
              <w:ind w:left="0" w:right="0" w:hanging="0"/>
              <w:jc w:val="right"/>
            </w:pPr>
            <w:r>
              <w:t>—</w:t>
            </w:r>
          </w:p>
        </w:tc>
        <w:tc>
          <w:tcPr>
            <w:tcW w:w="83" w:type="dxa"/>
            <w:tcBorders/>
            <w:shd w:fill="CCEEFF" w:val="clear"/>
            <w:vAlign w:val="center"/>
          </w:tcPr>
          <w:p>
            <w:pPr>
              <w:pStyle w:val="TableContents"/>
              <w:bidi w:val="0"/>
              <w:spacing w:before="0" w:after="0"/>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interest receivable</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end-of-term payments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unearned income</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other assets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other accrued expenses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base management fee payable</w:t>
            </w:r>
          </w:p>
        </w:tc>
        <w:tc>
          <w:tcPr>
            <w:tcW w:w="60"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2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82,559</w:t>
            </w:r>
          </w:p>
        </w:tc>
        <w:tc>
          <w:tcPr>
            <w:tcW w:w="12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87,055</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2030 Convertible Notes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right"/>
            </w:pPr>
            <w:r>
              <w:t>—</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2022 Asset-Backed Notes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pPr>
            <w:r>
              <w:t>—</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(81,078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2026 Notes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(57,500</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pPr>
            <w:r>
              <w:t>—</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net of offering costs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14,182</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on Credit Facilities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3" w:type="dxa"/>
            <w:tcBorders/>
            <w:shd w:fill="CCEEFF" w:val="clear"/>
            <w:vAlign w:val="center"/>
          </w:tcPr>
          <w:p>
            <w:pPr>
              <w:pStyle w:val="TableContents"/>
              <w:bidi w:val="0"/>
              <w:spacing w:before="0" w:after="283"/>
              <w:ind w:left="0" w:right="0" w:hanging="0"/>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Credit Facilities</w:t>
            </w:r>
          </w:p>
        </w:tc>
        <w:tc>
          <w:tcPr>
            <w:tcW w:w="60" w:type="dxa"/>
            <w:tcBorders/>
            <w:shd w:fill="FFFFFF" w:val="clear"/>
            <w:vAlign w:val="center"/>
          </w:tcPr>
          <w:p>
            <w:pPr>
              <w:pStyle w:val="TableContents"/>
              <w:bidi w:val="0"/>
              <w:spacing w:before="0" w:after="0"/>
              <w:ind w:left="0" w:right="0" w:hanging="0"/>
              <w:jc w:val="left"/>
            </w:pPr>
            <w:r>
              <w:t> </w:t>
            </w:r>
          </w:p>
        </w:tc>
        <w:tc>
          <w:tcPr>
            <w:tcW w:w="194" w:type="dxa"/>
            <w:tcBorders/>
            <w:shd w:fill="FFFFFF" w:val="clear"/>
            <w:vAlign w:val="center"/>
          </w:tcPr>
          <w:p>
            <w:pPr>
              <w:pStyle w:val="TableContents"/>
              <w:bidi w:val="0"/>
              <w:spacing w:before="0" w:after="0"/>
              <w:ind w:left="0" w:right="0" w:hanging="0"/>
              <w:jc w:val="left"/>
            </w:pPr>
            <w:r>
              <w:t> </w:t>
            </w:r>
          </w:p>
        </w:tc>
        <w:tc>
          <w:tcPr>
            <w:tcW w:w="1172"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12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0"/>
              <w:ind w:left="0" w:right="0" w:hanging="0"/>
              <w:jc w:val="left"/>
            </w:pPr>
            <w:r>
              <w:t> </w:t>
            </w:r>
          </w:p>
        </w:tc>
        <w:tc>
          <w:tcPr>
            <w:tcW w:w="194" w:type="dxa"/>
            <w:tcBorders/>
            <w:shd w:fill="FFFFFF" w:val="clear"/>
            <w:vAlign w:val="center"/>
          </w:tcPr>
          <w:p>
            <w:pPr>
              <w:pStyle w:val="TableContents"/>
              <w:bidi w:val="0"/>
              <w:spacing w:before="0" w:after="0"/>
              <w:ind w:left="0" w:right="0" w:hanging="0"/>
              <w:jc w:val="left"/>
            </w:pPr>
            <w:r>
              <w:t> </w:t>
            </w:r>
          </w:p>
        </w:tc>
        <w:tc>
          <w:tcPr>
            <w:tcW w:w="1172" w:type="dxa"/>
            <w:tcBorders/>
            <w:shd w:fill="FFFFFF" w:val="clear"/>
            <w:vAlign w:val="center"/>
          </w:tcPr>
          <w:p>
            <w:pPr>
              <w:pStyle w:val="TableContents"/>
              <w:bidi w:val="0"/>
              <w:spacing w:before="0" w:after="0"/>
              <w:ind w:left="0" w:right="0" w:hanging="0"/>
              <w:jc w:val="right"/>
            </w:pPr>
            <w:r>
              <w:t>—</w:t>
            </w:r>
          </w:p>
        </w:tc>
        <w:tc>
          <w:tcPr>
            <w:tcW w:w="83" w:type="dxa"/>
            <w:tcBorders/>
            <w:shd w:fill="FFFFFF" w:val="clear"/>
            <w:vAlign w:val="center"/>
          </w:tcPr>
          <w:p>
            <w:pPr>
              <w:pStyle w:val="TableContents"/>
              <w:bidi w:val="0"/>
              <w:spacing w:before="0" w:after="0"/>
              <w:jc w:val="left"/>
            </w:pPr>
            <w:r>
              <w:t> </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paid</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(42,520</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(39,083</w:t>
            </w:r>
          </w:p>
        </w:tc>
        <w:tc>
          <w:tcPr>
            <w:tcW w:w="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60" w:type="dxa"/>
            <w:tcBorders/>
            <w:shd w:fill="CCEEFF" w:val="clear"/>
            <w:vAlign w:val="center"/>
          </w:tcPr>
          <w:p>
            <w:pPr>
              <w:pStyle w:val="TableContents"/>
              <w:bidi w:val="0"/>
              <w:spacing w:before="0" w:after="0"/>
              <w:ind w:left="0" w:right="0" w:hanging="0"/>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(16,232</w:t>
            </w:r>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0"/>
              <w:ind w:left="0" w:right="0" w:hanging="0"/>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3"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(117,451</w:t>
            </w:r>
          </w:p>
        </w:tc>
        <w:tc>
          <w:tcPr>
            <w:tcW w:w="12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(57,016</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 cash equivalents and restricted cash</w:t>
            </w:r>
          </w:p>
        </w:tc>
        <w:tc>
          <w:tcPr>
            <w:tcW w:w="60"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(34,892</w:t>
            </w:r>
          </w:p>
        </w:tc>
        <w:tc>
          <w:tcPr>
            <w:tcW w:w="12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30,039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142,693</w:t>
            </w:r>
          </w:p>
        </w:tc>
        <w:tc>
          <w:tcPr>
            <w:tcW w:w="12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100,868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107,801</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130,907</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21,116</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22,828</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operating and financing activities: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ind w:left="0" w:right="0" w:hanging="0"/>
              <w:jc w:val="left"/>
            </w:pPr>
            <w:r>
              <w:t> </w:t>
            </w:r>
          </w:p>
        </w:tc>
      </w:tr>
      <w:tr>
        <w:tc>
          <w:tcPr>
            <w:tcW w:w="71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in connection with Merger (1)</w:t>
            </w:r>
          </w:p>
        </w:tc>
        <w:tc>
          <w:tcPr>
            <w:tcW w:w="60" w:type="dxa"/>
            <w:tcBorders/>
            <w:shd w:fill="CCEEFF" w:val="clear"/>
            <w:vAlign w:val="center"/>
          </w:tcPr>
          <w:p>
            <w:pPr>
              <w:pStyle w:val="TableContents"/>
              <w:bidi w:val="0"/>
              <w:spacing w:before="0" w:after="0"/>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140,835</w:t>
            </w:r>
          </w:p>
        </w:tc>
        <w:tc>
          <w:tcPr>
            <w:tcW w:w="123"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pPr>
            <w:r>
              <w:t> </w:t>
            </w:r>
          </w:p>
        </w:tc>
        <w:tc>
          <w:tcPr>
            <w:tcW w:w="92" w:type="dxa"/>
            <w:tcBorders/>
            <w:shd w:fill="CCEEFF" w:val="clear"/>
            <w:vAlign w:val="center"/>
          </w:tcPr>
          <w:p>
            <w:pPr>
              <w:pStyle w:val="TableContents"/>
              <w:bidi w:val="0"/>
              <w:spacing w:before="0" w:after="0"/>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83" w:type="dxa"/>
            <w:tcBorders>
              <w:bottom w:val="double" w:sz="6" w:space="0" w:color="000000"/>
            </w:tcBorders>
            <w:shd w:fill="CCEEFF" w:val="clear"/>
            <w:tcMar>
              <w:bottom w:w="45" w:type="dxa"/>
            </w:tcMar>
            <w:vAlign w:val="center"/>
          </w:tcPr>
          <w:p>
            <w:pPr>
              <w:pStyle w:val="TableContents"/>
              <w:bidi w:val="0"/>
              <w:spacing w:before="0" w:after="0"/>
              <w:jc w:val="left"/>
            </w:pPr>
            <w:r>
              <w:t> </w:t>
            </w:r>
          </w:p>
        </w:tc>
      </w:tr>
      <w:tr>
        <w:tc>
          <w:tcPr>
            <w:tcW w:w="7115"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subsidiaries (1)</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1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assets acquired:</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ind w:left="0" w:right="0" w:hanging="0"/>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receivable</w:t>
            </w:r>
          </w:p>
        </w:tc>
        <w:tc>
          <w:tcPr>
            <w:tcW w:w="60" w:type="dxa"/>
            <w:tcBorders/>
            <w:shd w:fill="FFFFFF" w:val="clear"/>
            <w:vAlign w:val="center"/>
          </w:tcPr>
          <w:p>
            <w:pPr>
              <w:pStyle w:val="TableContents"/>
              <w:bidi w:val="0"/>
              <w:spacing w:before="0" w:after="0"/>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c>
          <w:tcPr>
            <w:tcW w:w="12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pPr>
            <w:r>
              <w:t> </w:t>
            </w:r>
          </w:p>
        </w:tc>
        <w:tc>
          <w:tcPr>
            <w:tcW w:w="92" w:type="dxa"/>
            <w:tcBorders/>
            <w:shd w:fill="FFFFFF" w:val="clear"/>
            <w:vAlign w:val="center"/>
          </w:tcPr>
          <w:p>
            <w:pPr>
              <w:pStyle w:val="TableContents"/>
              <w:bidi w:val="0"/>
              <w:spacing w:before="0" w:after="0"/>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pPr>
            <w:r>
              <w:t>—</w:t>
            </w:r>
          </w:p>
        </w:tc>
        <w:tc>
          <w:tcPr>
            <w:tcW w:w="83" w:type="dxa"/>
            <w:tcBorders>
              <w:bottom w:val="double" w:sz="6" w:space="0" w:color="000000"/>
            </w:tcBorders>
            <w:shd w:fill="FFFFFF" w:val="clear"/>
            <w:tcMar>
              <w:bottom w:w="45" w:type="dxa"/>
            </w:tcMar>
            <w:vAlign w:val="center"/>
          </w:tcPr>
          <w:p>
            <w:pPr>
              <w:pStyle w:val="TableContents"/>
              <w:bidi w:val="0"/>
              <w:spacing w:before="0" w:after="0"/>
              <w:jc w:val="left"/>
            </w:pPr>
            <w:r>
              <w:t> </w:t>
            </w:r>
          </w:p>
        </w:tc>
      </w:tr>
      <w:tr>
        <w:tc>
          <w:tcPr>
            <w:tcW w:w="711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ind w:left="0" w:right="0" w:hanging="0"/>
              <w:jc w:val="left"/>
            </w:pPr>
            <w:r>
              <w:t> </w:t>
            </w:r>
          </w:p>
        </w:tc>
      </w:tr>
      <w:tr>
        <w:tc>
          <w:tcPr>
            <w:tcW w:w="7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expenses</w:t>
            </w:r>
          </w:p>
        </w:tc>
        <w:tc>
          <w:tcPr>
            <w:tcW w:w="60" w:type="dxa"/>
            <w:tcBorders/>
            <w:shd w:fill="FFFFFF" w:val="clear"/>
            <w:vAlign w:val="center"/>
          </w:tcPr>
          <w:p>
            <w:pPr>
              <w:pStyle w:val="TableContents"/>
              <w:bidi w:val="0"/>
              <w:spacing w:before="0" w:after="0"/>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12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pPr>
            <w:r>
              <w:t> </w:t>
            </w:r>
          </w:p>
        </w:tc>
        <w:tc>
          <w:tcPr>
            <w:tcW w:w="92" w:type="dxa"/>
            <w:tcBorders/>
            <w:shd w:fill="FFFFFF" w:val="clear"/>
            <w:vAlign w:val="center"/>
          </w:tcPr>
          <w:p>
            <w:pPr>
              <w:pStyle w:val="TableContents"/>
              <w:bidi w:val="0"/>
              <w:spacing w:before="0" w:after="0"/>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pPr>
            <w:r>
              <w:t>—</w:t>
            </w:r>
          </w:p>
        </w:tc>
        <w:tc>
          <w:tcPr>
            <w:tcW w:w="83" w:type="dxa"/>
            <w:tcBorders>
              <w:bottom w:val="double" w:sz="6" w:space="0" w:color="000000"/>
            </w:tcBorders>
            <w:shd w:fill="FFFFFF" w:val="clear"/>
            <w:tcMar>
              <w:bottom w:w="45" w:type="dxa"/>
            </w:tcMar>
            <w:vAlign w:val="center"/>
          </w:tcPr>
          <w:p>
            <w:pPr>
              <w:pStyle w:val="TableContents"/>
              <w:bidi w:val="0"/>
              <w:spacing w:before="0" w:after="0"/>
              <w:jc w:val="left"/>
            </w:pPr>
            <w:r>
              <w:t> </w:t>
            </w:r>
          </w:p>
        </w:tc>
      </w:tr>
      <w:tr>
        <w:tc>
          <w:tcPr>
            <w:tcW w:w="71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Refinanced debt investment balances</w:t>
            </w:r>
          </w:p>
        </w:tc>
        <w:tc>
          <w:tcPr>
            <w:tcW w:w="60" w:type="dxa"/>
            <w:tcBorders/>
            <w:shd w:fill="CCEE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46,250</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investments received and recorded as unearned income</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converted to common stock</w:t>
            </w:r>
          </w:p>
        </w:tc>
        <w:tc>
          <w:tcPr>
            <w:tcW w:w="60" w:type="dxa"/>
            <w:tcBorders/>
            <w:shd w:fill="CCEEFF" w:val="clear"/>
            <w:vAlign w:val="center"/>
          </w:tcPr>
          <w:p>
            <w:pPr>
              <w:pStyle w:val="TableContents"/>
              <w:bidi w:val="0"/>
              <w:spacing w:before="0" w:after="0"/>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15,050</w:t>
            </w:r>
          </w:p>
        </w:tc>
        <w:tc>
          <w:tcPr>
            <w:tcW w:w="123"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pPr>
            <w:r>
              <w:t> </w:t>
            </w:r>
          </w:p>
        </w:tc>
        <w:tc>
          <w:tcPr>
            <w:tcW w:w="92" w:type="dxa"/>
            <w:tcBorders/>
            <w:shd w:fill="CCEEFF" w:val="clear"/>
            <w:vAlign w:val="center"/>
          </w:tcPr>
          <w:p>
            <w:pPr>
              <w:pStyle w:val="TableContents"/>
              <w:bidi w:val="0"/>
              <w:spacing w:before="0" w:after="0"/>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17,250</w:t>
            </w:r>
          </w:p>
        </w:tc>
        <w:tc>
          <w:tcPr>
            <w:tcW w:w="83" w:type="dxa"/>
            <w:tcBorders>
              <w:bottom w:val="double" w:sz="6" w:space="0" w:color="000000"/>
            </w:tcBorders>
            <w:shd w:fill="CCEEFF" w:val="clear"/>
            <w:tcMar>
              <w:bottom w:w="45" w:type="dxa"/>
            </w:tcMar>
            <w:vAlign w:val="center"/>
          </w:tcPr>
          <w:p>
            <w:pPr>
              <w:pStyle w:val="TableContents"/>
              <w:bidi w:val="0"/>
              <w:spacing w:before="0" w:after="0"/>
              <w:jc w:val="left"/>
            </w:pPr>
            <w:r>
              <w:t> </w:t>
            </w:r>
          </w:p>
        </w:tc>
      </w:tr>
      <w:tr>
        <w:tc>
          <w:tcPr>
            <w:tcW w:w="7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payable</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5,869</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14,624</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7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End-of-term payments receivable</w:t>
            </w:r>
          </w:p>
        </w:tc>
        <w:tc>
          <w:tcPr>
            <w:tcW w:w="60" w:type="dxa"/>
            <w:tcBorders/>
            <w:shd w:fill="CCEE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8,762</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11,033</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income</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6,805</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2" w:type="dxa"/>
            <w:tcBorders/>
            <w:shd w:fill="FFFF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12,008</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202"/>
        <w:gridCol w:w="10003"/>
      </w:tblGrid>
      <w:tr>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10003" w:type="dxa"/>
            <w:tcBorders/>
            <w:vAlign w:val="center"/>
          </w:tcPr>
          <w:p>
            <w:pPr>
              <w:pStyle w:val="TableContents"/>
              <w:bidi w:val="0"/>
              <w:spacing w:before="0" w:after="283"/>
              <w:jc w:val="both"/>
              <w:rPr>
                <w:sz w:val="16"/>
              </w:rPr>
            </w:pPr>
            <w:r>
              <w:rPr>
                <w:sz w:val="16"/>
              </w:rPr>
              <w:t>On April 14, 2026, in connection with the Merger (as defined in Note 1), the Company acquired net assets of $140.8 million for total stock consideration of $140.8 million. Refer to “Note 13 — MRCC Merger” for additional information on the Merger.</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Notes to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The following table provides a reconciliation of cash, cash equivalents and restricted cash in the consolidated statements of assets and liabilities to the total amount shown at the end of the applicable period in the consolidated statements of cash flows:</w:t>
      </w:r>
    </w:p>
    <w:p>
      <w:pPr>
        <w:pStyle w:val="TextBody"/>
        <w:bidi w:val="0"/>
        <w:spacing w:before="0" w:after="0"/>
        <w:ind w:left="0" w:right="0" w:firstLine="360"/>
        <w:jc w:val="both"/>
      </w:pPr>
      <w:r>
        <w:t> </w:t>
      </w:r>
    </w:p>
    <w:tbl>
      <w:tblPr>
        <w:tblW w:w="5725" w:type="dxa"/>
        <w:jc w:val="left"/>
        <w:tblInd w:w="0" w:type="dxa"/>
        <w:tblLayout w:type="fixed"/>
        <w:tblCellMar>
          <w:top w:w="0" w:type="dxa"/>
          <w:left w:w="0" w:type="dxa"/>
          <w:bottom w:w="0" w:type="dxa"/>
          <w:right w:w="0" w:type="dxa"/>
        </w:tblCellMar>
      </w:tblPr>
      <w:tblGrid>
        <w:gridCol w:w="3845"/>
        <w:gridCol w:w="60"/>
        <w:gridCol w:w="125"/>
        <w:gridCol w:w="695"/>
        <w:gridCol w:w="60"/>
        <w:gridCol w:w="60"/>
        <w:gridCol w:w="125"/>
        <w:gridCol w:w="695"/>
        <w:gridCol w:w="60"/>
      </w:tblGrid>
      <w:tr>
        <w:tc>
          <w:tcPr>
            <w:tcW w:w="38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8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84,662</w:t>
            </w:r>
          </w:p>
        </w:tc>
        <w:tc>
          <w:tcPr>
            <w:tcW w:w="60" w:type="dxa"/>
            <w:tcBorders/>
            <w:shd w:fill="CCEEFF" w:val="clear"/>
            <w:vAlign w:val="center"/>
          </w:tcPr>
          <w:p>
            <w:pPr>
              <w:pStyle w:val="TableContents"/>
              <w:bidi w:val="0"/>
              <w:spacing w:before="0" w:after="283"/>
              <w:jc w:val="left"/>
            </w:pPr>
            <w:r>
              <w:t> </w:t>
            </w:r>
          </w:p>
        </w:tc>
      </w:tr>
      <w:t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money market funds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85,146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43,828</w:t>
            </w:r>
          </w:p>
        </w:tc>
        <w:tc>
          <w:tcPr>
            <w:tcW w:w="60" w:type="dxa"/>
            <w:tcBorders/>
            <w:shd w:fill="FFFFFF" w:val="clear"/>
            <w:vAlign w:val="center"/>
          </w:tcPr>
          <w:p>
            <w:pPr>
              <w:pStyle w:val="TableContents"/>
              <w:bidi w:val="0"/>
              <w:spacing w:before="0" w:after="283"/>
              <w:jc w:val="left"/>
            </w:pPr>
            <w:r>
              <w:t> </w:t>
            </w:r>
          </w:p>
        </w:tc>
      </w:tr>
      <w:t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investments in money market funds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130,907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invstmt"/>
      <w:bookmarkEnd w:id="7"/>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44"/>
        <w:gridCol w:w="60"/>
        <w:gridCol w:w="865"/>
        <w:gridCol w:w="60"/>
        <w:gridCol w:w="782"/>
        <w:gridCol w:w="60"/>
        <w:gridCol w:w="70"/>
        <w:gridCol w:w="412"/>
        <w:gridCol w:w="358"/>
        <w:gridCol w:w="464"/>
        <w:gridCol w:w="60"/>
        <w:gridCol w:w="84"/>
        <w:gridCol w:w="386"/>
        <w:gridCol w:w="125"/>
        <w:gridCol w:w="60"/>
        <w:gridCol w:w="60"/>
        <w:gridCol w:w="350"/>
        <w:gridCol w:w="125"/>
        <w:gridCol w:w="60"/>
        <w:gridCol w:w="85"/>
        <w:gridCol w:w="370"/>
        <w:gridCol w:w="60"/>
        <w:gridCol w:w="60"/>
        <w:gridCol w:w="63"/>
        <w:gridCol w:w="368"/>
        <w:gridCol w:w="125"/>
        <w:gridCol w:w="704"/>
        <w:gridCol w:w="60"/>
        <w:gridCol w:w="121"/>
        <w:gridCol w:w="543"/>
        <w:gridCol w:w="60"/>
        <w:gridCol w:w="60"/>
        <w:gridCol w:w="158"/>
        <w:gridCol w:w="713"/>
        <w:gridCol w:w="60"/>
        <w:gridCol w:w="60"/>
        <w:gridCol w:w="106"/>
        <w:gridCol w:w="475"/>
        <w:gridCol w:w="69"/>
      </w:tblGrid>
      <w:tr>
        <w:tc>
          <w:tcPr>
            <w:tcW w:w="1444"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6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782"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82"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Cash Rate (4)</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464"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Ceiling</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04"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64"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71"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1"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 Value (9)</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Investments — 174.1% (8)</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left"/>
            </w:pPr>
            <w:r>
              <w:t> </w:t>
            </w:r>
          </w:p>
        </w:tc>
        <w:tc>
          <w:tcPr>
            <w:tcW w:w="358" w:type="dxa"/>
            <w:tcBorders/>
            <w:shd w:fill="CCEEFF" w:val="clear"/>
            <w:tcMar>
              <w:bottom w:w="0" w:type="dxa"/>
            </w:tcMar>
            <w:vAlign w:val="center"/>
          </w:tcPr>
          <w:p>
            <w:pPr>
              <w:pStyle w:val="TableContents"/>
              <w:bidi w:val="0"/>
              <w:spacing w:before="0" w:after="283"/>
              <w:jc w:val="left"/>
            </w:pPr>
            <w:r>
              <w:t> </w:t>
            </w:r>
          </w:p>
        </w:tc>
        <w:tc>
          <w:tcPr>
            <w:tcW w:w="46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70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Debt Investments — 168.6% (8)</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8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jc w:val="left"/>
            </w:pPr>
            <w:r>
              <w:t> </w:t>
            </w:r>
          </w:p>
        </w:tc>
        <w:tc>
          <w:tcPr>
            <w:tcW w:w="412" w:type="dxa"/>
            <w:tcBorders/>
            <w:shd w:fill="FFFFFF" w:val="clear"/>
            <w:tcMar>
              <w:bottom w:w="0" w:type="dxa"/>
            </w:tcMar>
            <w:vAlign w:val="center"/>
          </w:tcPr>
          <w:p>
            <w:pPr>
              <w:pStyle w:val="TableContents"/>
              <w:bidi w:val="0"/>
              <w:spacing w:before="0" w:after="283"/>
              <w:jc w:val="left"/>
            </w:pPr>
            <w:r>
              <w:t> </w:t>
            </w:r>
          </w:p>
        </w:tc>
        <w:tc>
          <w:tcPr>
            <w:tcW w:w="358" w:type="dxa"/>
            <w:tcBorders/>
            <w:shd w:fill="FFFFFF" w:val="clear"/>
            <w:tcMar>
              <w:bottom w:w="0" w:type="dxa"/>
            </w:tcMar>
            <w:vAlign w:val="center"/>
          </w:tcPr>
          <w:p>
            <w:pPr>
              <w:pStyle w:val="TableContents"/>
              <w:bidi w:val="0"/>
              <w:spacing w:before="0" w:after="283"/>
              <w:jc w:val="left"/>
            </w:pPr>
            <w:r>
              <w:t> </w:t>
            </w:r>
          </w:p>
        </w:tc>
        <w:tc>
          <w:tcPr>
            <w:tcW w:w="46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368"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70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jc w:val="left"/>
            </w:pPr>
            <w:r>
              <w:t> </w:t>
            </w:r>
          </w:p>
        </w:tc>
        <w:tc>
          <w:tcPr>
            <w:tcW w:w="5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jc w:val="left"/>
            </w:pPr>
            <w:r>
              <w:t> </w:t>
            </w:r>
          </w:p>
        </w:tc>
        <w:tc>
          <w:tcPr>
            <w:tcW w:w="475"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Debt Investments — Life Science — 83.6% (8)</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left"/>
            </w:pPr>
            <w:r>
              <w:t> </w:t>
            </w:r>
          </w:p>
        </w:tc>
        <w:tc>
          <w:tcPr>
            <w:tcW w:w="358" w:type="dxa"/>
            <w:tcBorders/>
            <w:shd w:fill="CCEEFF" w:val="clear"/>
            <w:tcMar>
              <w:bottom w:w="0" w:type="dxa"/>
            </w:tcMar>
            <w:vAlign w:val="center"/>
          </w:tcPr>
          <w:p>
            <w:pPr>
              <w:pStyle w:val="TableContents"/>
              <w:bidi w:val="0"/>
              <w:spacing w:before="0" w:after="283"/>
              <w:jc w:val="left"/>
            </w:pPr>
            <w:r>
              <w:t> </w:t>
            </w:r>
          </w:p>
        </w:tc>
        <w:tc>
          <w:tcPr>
            <w:tcW w:w="46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70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Castle Creek Biosciences,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6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2028</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3,922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3,892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3,892</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2028</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2,157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2,141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2,141</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2028</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1,961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1,946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1,946</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2028</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1,961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1,946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1,946</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KSQ Therapeutics,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6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3,240</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3,240</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3,240</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3,240</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Long Grove Pharmaceuticals, LLC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6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11.68</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1-month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February 27,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10,537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10,343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10,638</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Pelthos Therapeutics, Inc. (2)(5)(12)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31, 2031</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9,805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9,805</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31,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9,805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9,805</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31, 2031</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4,903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4,903</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31,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4,903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4,903</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Provivi, Inc. (2)(12)(13)</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12.36</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1,497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692</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12.36</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1,497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12.36</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692</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12.36</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ind w:left="0" w:right="0" w:hanging="0"/>
              <w:jc w:val="left"/>
            </w:pPr>
            <w:r>
              <w:t> </w:t>
            </w:r>
          </w:p>
        </w:tc>
        <w:tc>
          <w:tcPr>
            <w:tcW w:w="4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12.36</w:t>
            </w:r>
          </w:p>
        </w:tc>
        <w:tc>
          <w:tcPr>
            <w:tcW w:w="358"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ind w:left="0" w:right="0" w:hanging="0"/>
              <w:jc w:val="left"/>
            </w:pPr>
            <w: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ind w:left="0" w:right="0" w:hanging="0"/>
              <w:jc w:val="left"/>
            </w:pPr>
            <w:r>
              <w:t> </w:t>
            </w:r>
          </w:p>
        </w:tc>
        <w:tc>
          <w:tcPr>
            <w:tcW w:w="4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12.36</w:t>
            </w:r>
          </w:p>
        </w:tc>
        <w:tc>
          <w:tcPr>
            <w:tcW w:w="358"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ind w:left="0" w:right="0" w:hanging="0"/>
              <w:jc w:val="left"/>
            </w:pPr>
            <w: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Avive Solutions, Inc. (2)(12)</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4,935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4,935</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jc w:val="left"/>
            </w:pPr>
            <w: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3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jc w:val="left"/>
            </w:pPr>
            <w: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4,935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jc w:val="left"/>
            </w:pPr>
            <w:r>
              <w:t> </w:t>
            </w:r>
          </w:p>
        </w:tc>
        <w:tc>
          <w:tcPr>
            <w:tcW w:w="4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4,935</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2,467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2,467</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jc w:val="left"/>
            </w:pPr>
            <w: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3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jc w:val="left"/>
            </w:pPr>
            <w: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2,467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jc w:val="left"/>
            </w:pPr>
            <w:r>
              <w:t> </w:t>
            </w:r>
          </w:p>
        </w:tc>
        <w:tc>
          <w:tcPr>
            <w:tcW w:w="4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2,467</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2,467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2,467</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jc w:val="left"/>
            </w:pPr>
            <w: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3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jc w:val="left"/>
            </w:pPr>
            <w: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2,467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jc w:val="left"/>
            </w:pPr>
            <w:r>
              <w:t> </w:t>
            </w:r>
          </w:p>
        </w:tc>
        <w:tc>
          <w:tcPr>
            <w:tcW w:w="4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2,467</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Revolver</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4,909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4,909</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Revolver</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jc w:val="left"/>
            </w:pPr>
            <w: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3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jc w:val="left"/>
            </w:pPr>
            <w: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1,783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jc w:val="left"/>
            </w:pPr>
            <w:r>
              <w:t> </w:t>
            </w:r>
          </w:p>
        </w:tc>
        <w:tc>
          <w:tcPr>
            <w:tcW w:w="4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1,783</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Revolver</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10.00</w:t>
            </w:r>
          </w:p>
        </w:tc>
        <w:tc>
          <w:tcPr>
            <w:tcW w:w="358"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2031</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3,200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3,169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3,169</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Bioness Medical, Inc. (2)(12)</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jc w:val="left"/>
            </w:pPr>
            <w: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11.90</w:t>
            </w:r>
          </w:p>
        </w:tc>
        <w:tc>
          <w:tcPr>
            <w:tcW w:w="358"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11.65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3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jc w:val="left"/>
            </w:pPr>
            <w: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4,796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jc w:val="left"/>
            </w:pPr>
            <w:r>
              <w:t> </w:t>
            </w:r>
          </w:p>
        </w:tc>
        <w:tc>
          <w:tcPr>
            <w:tcW w:w="4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4,796</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11.90</w:t>
            </w:r>
          </w:p>
        </w:tc>
        <w:tc>
          <w:tcPr>
            <w:tcW w:w="358"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11.65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2031</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2,449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2,449</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jc w:val="left"/>
            </w:pPr>
            <w: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11.90</w:t>
            </w:r>
          </w:p>
        </w:tc>
        <w:tc>
          <w:tcPr>
            <w:tcW w:w="358"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11.65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3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2031</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jc w:val="left"/>
            </w:pPr>
            <w: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2,449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jc w:val="left"/>
            </w:pPr>
            <w:r>
              <w:t> </w:t>
            </w:r>
          </w:p>
        </w:tc>
        <w:tc>
          <w:tcPr>
            <w:tcW w:w="4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2,449</w:t>
            </w:r>
          </w:p>
        </w:tc>
        <w:tc>
          <w:tcPr>
            <w:tcW w:w="69" w:type="dxa"/>
            <w:tcBorders/>
            <w:shd w:fill="FFFFFF" w:val="clear"/>
            <w:tcMar>
              <w:bottom w:w="0" w:type="dxa"/>
            </w:tcMar>
            <w:vAlign w:val="center"/>
          </w:tcPr>
          <w:p>
            <w:pPr>
              <w:pStyle w:val="TableContents"/>
              <w:bidi w:val="0"/>
              <w:spacing w:before="0" w:after="283"/>
              <w:jc w:val="left"/>
            </w:pPr>
            <w:r>
              <w:t> </w:t>
            </w:r>
          </w:p>
        </w:tc>
      </w:tr>
      <w:tr>
        <w:tc>
          <w:tcPr>
            <w:tcW w:w="14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Conventus Orthopaedics, Inc. (2)(12)</w:t>
            </w:r>
          </w:p>
        </w:tc>
        <w:tc>
          <w:tcPr>
            <w:tcW w:w="60" w:type="dxa"/>
            <w:tcBorders/>
            <w:shd w:fill="CCEEFF" w:val="clear"/>
            <w:tcMar>
              <w:bottom w:w="0" w:type="dxa"/>
            </w:tcMar>
            <w:vAlign w:val="center"/>
          </w:tcPr>
          <w:p>
            <w:pPr>
              <w:pStyle w:val="TableContents"/>
              <w:bidi w:val="0"/>
              <w:spacing w:before="0" w:after="283"/>
              <w:jc w:val="left"/>
            </w:pPr>
            <w:r>
              <w:t> </w:t>
            </w:r>
          </w:p>
        </w:tc>
        <w:tc>
          <w:tcPr>
            <w:tcW w:w="8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jc w:val="left"/>
            </w:pPr>
            <w:r>
              <w:t> </w:t>
            </w:r>
          </w:p>
        </w:tc>
        <w:tc>
          <w:tcPr>
            <w:tcW w:w="78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0" w:type="dxa"/>
            <w:tcBorders/>
            <w:shd w:fill="CCEEFF" w:val="clear"/>
            <w:tcMar>
              <w:bottom w:w="0" w:type="dxa"/>
            </w:tcMar>
            <w:vAlign w:val="center"/>
          </w:tcPr>
          <w:p>
            <w:pPr>
              <w:pStyle w:val="TableContents"/>
              <w:bidi w:val="0"/>
              <w:spacing w:before="0" w:after="283"/>
              <w:jc w:val="left"/>
            </w:pPr>
            <w: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13.32</w:t>
            </w:r>
          </w:p>
        </w:tc>
        <w:tc>
          <w:tcPr>
            <w:tcW w:w="358"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6.32</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3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10.88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2026</w:t>
            </w:r>
          </w:p>
        </w:tc>
        <w:tc>
          <w:tcPr>
            <w:tcW w:w="60" w:type="dxa"/>
            <w:tcBorders/>
            <w:shd w:fill="CCEEFF" w:val="clear"/>
            <w:tcMar>
              <w:bottom w:w="0" w:type="dxa"/>
            </w:tcMar>
            <w:vAlign w:val="center"/>
          </w:tcPr>
          <w:p>
            <w:pPr>
              <w:pStyle w:val="TableContents"/>
              <w:bidi w:val="0"/>
              <w:spacing w:before="0" w:after="283"/>
              <w:jc w:val="left"/>
            </w:pPr>
            <w:r>
              <w:t> </w:t>
            </w:r>
          </w:p>
        </w:tc>
        <w:tc>
          <w:tcPr>
            <w:tcW w:w="121" w:type="dxa"/>
            <w:tcBorders/>
            <w:shd w:fill="CCEEFF" w:val="clear"/>
            <w:tcMar>
              <w:bottom w:w="0" w:type="dxa"/>
            </w:tcMar>
            <w:vAlign w:val="center"/>
          </w:tcPr>
          <w:p>
            <w:pPr>
              <w:pStyle w:val="TableContents"/>
              <w:bidi w:val="0"/>
              <w:spacing w:before="0" w:after="283"/>
              <w:jc w:val="left"/>
            </w:pPr>
            <w:r>
              <w:t> </w:t>
            </w:r>
          </w:p>
        </w:tc>
        <w:tc>
          <w:tcPr>
            <w:tcW w:w="5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2,801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2,801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jc w:val="left"/>
            </w:pPr>
            <w: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2,801</w:t>
            </w:r>
          </w:p>
        </w:tc>
        <w:tc>
          <w:tcPr>
            <w:tcW w:w="69" w:type="dxa"/>
            <w:tcBorders/>
            <w:shd w:fill="CCEEFF" w:val="clear"/>
            <w:tcMar>
              <w:bottom w:w="0" w:type="dxa"/>
            </w:tcMar>
            <w:vAlign w:val="center"/>
          </w:tcPr>
          <w:p>
            <w:pPr>
              <w:pStyle w:val="TableContents"/>
              <w:bidi w:val="0"/>
              <w:spacing w:before="0" w:after="283"/>
              <w:jc w:val="left"/>
            </w:pPr>
            <w:r>
              <w:t> </w:t>
            </w:r>
          </w:p>
        </w:tc>
      </w:tr>
      <w:tr>
        <w:tc>
          <w:tcPr>
            <w:tcW w:w="144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8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0" w:type="dxa"/>
            <w:tcBorders/>
            <w:shd w:fill="FFFFFF" w:val="clear"/>
            <w:tcMar>
              <w:bottom w:w="0" w:type="dxa"/>
            </w:tcMar>
            <w:vAlign w:val="center"/>
          </w:tcPr>
          <w:p>
            <w:pPr>
              <w:pStyle w:val="TableContents"/>
              <w:bidi w:val="0"/>
              <w:spacing w:before="0" w:after="283"/>
              <w:jc w:val="left"/>
            </w:pPr>
            <w: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13.32</w:t>
            </w:r>
          </w:p>
        </w:tc>
        <w:tc>
          <w:tcPr>
            <w:tcW w:w="358"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6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6.32</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3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10.88</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0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2026</w:t>
            </w:r>
          </w:p>
        </w:tc>
        <w:tc>
          <w:tcPr>
            <w:tcW w:w="60" w:type="dxa"/>
            <w:tcBorders/>
            <w:shd w:fill="FFFFFF" w:val="clear"/>
            <w:tcMar>
              <w:bottom w:w="0" w:type="dxa"/>
            </w:tcMar>
            <w:vAlign w:val="center"/>
          </w:tcPr>
          <w:p>
            <w:pPr>
              <w:pStyle w:val="TableContents"/>
              <w:bidi w:val="0"/>
              <w:spacing w:before="0" w:after="283"/>
              <w:jc w:val="left"/>
            </w:pPr>
            <w:r>
              <w:t> </w:t>
            </w:r>
          </w:p>
        </w:tc>
        <w:tc>
          <w:tcPr>
            <w:tcW w:w="121" w:type="dxa"/>
            <w:tcBorders/>
            <w:shd w:fill="FFFFFF" w:val="clear"/>
            <w:tcMar>
              <w:bottom w:w="0" w:type="dxa"/>
            </w:tcMar>
            <w:vAlign w:val="center"/>
          </w:tcPr>
          <w:p>
            <w:pPr>
              <w:pStyle w:val="TableContents"/>
              <w:bidi w:val="0"/>
              <w:spacing w:before="0" w:after="283"/>
              <w:jc w:val="left"/>
            </w:pPr>
            <w:r>
              <w:t> </w:t>
            </w:r>
          </w:p>
        </w:tc>
        <w:tc>
          <w:tcPr>
            <w:tcW w:w="54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2,801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2,801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jc w:val="left"/>
            </w:pPr>
            <w:r>
              <w:t> </w:t>
            </w:r>
          </w:p>
        </w:tc>
        <w:tc>
          <w:tcPr>
            <w:tcW w:w="4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2,801</w:t>
            </w:r>
          </w:p>
        </w:tc>
        <w:tc>
          <w:tcPr>
            <w:tcW w:w="69"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31"/>
        <w:gridCol w:w="60"/>
        <w:gridCol w:w="584"/>
        <w:gridCol w:w="60"/>
        <w:gridCol w:w="823"/>
        <w:gridCol w:w="60"/>
        <w:gridCol w:w="74"/>
        <w:gridCol w:w="434"/>
        <w:gridCol w:w="361"/>
        <w:gridCol w:w="365"/>
        <w:gridCol w:w="60"/>
        <w:gridCol w:w="84"/>
        <w:gridCol w:w="386"/>
        <w:gridCol w:w="125"/>
        <w:gridCol w:w="60"/>
        <w:gridCol w:w="60"/>
        <w:gridCol w:w="350"/>
        <w:gridCol w:w="125"/>
        <w:gridCol w:w="60"/>
        <w:gridCol w:w="66"/>
        <w:gridCol w:w="389"/>
        <w:gridCol w:w="125"/>
        <w:gridCol w:w="60"/>
        <w:gridCol w:w="68"/>
        <w:gridCol w:w="314"/>
        <w:gridCol w:w="125"/>
        <w:gridCol w:w="734"/>
        <w:gridCol w:w="60"/>
        <w:gridCol w:w="86"/>
        <w:gridCol w:w="610"/>
        <w:gridCol w:w="60"/>
        <w:gridCol w:w="60"/>
        <w:gridCol w:w="113"/>
        <w:gridCol w:w="810"/>
        <w:gridCol w:w="60"/>
        <w:gridCol w:w="60"/>
        <w:gridCol w:w="71"/>
        <w:gridCol w:w="505"/>
        <w:gridCol w:w="67"/>
      </w:tblGrid>
      <w:tr>
        <w:tc>
          <w:tcPr>
            <w:tcW w:w="1631"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08"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Cash Rate (4)</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36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Ceiling</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82"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34"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9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23"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7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 Value (9)</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Hyperfine, Inc. (2)(5)(12)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84"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18, 2031</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4,618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4,618</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18, 2031</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4,916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4,916</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18, 2031</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4,916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4,916</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Infobionic,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4"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4,951</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4,951</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4,951</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jc w:val="left"/>
            </w:pPr>
            <w:r>
              <w:t> </w:t>
            </w:r>
          </w:p>
        </w:tc>
        <w:tc>
          <w:tcPr>
            <w:tcW w:w="4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61"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jc w:val="left"/>
            </w:pPr>
            <w:r>
              <w:t> </w:t>
            </w:r>
          </w:p>
        </w:tc>
        <w:tc>
          <w:tcPr>
            <w:tcW w:w="3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jc w:val="left"/>
            </w:pPr>
            <w:r>
              <w:t> </w:t>
            </w:r>
          </w:p>
        </w:tc>
        <w:tc>
          <w:tcPr>
            <w:tcW w:w="6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jc w:val="left"/>
            </w:pPr>
            <w:r>
              <w:t> </w:t>
            </w:r>
          </w:p>
        </w:tc>
        <w:tc>
          <w:tcPr>
            <w:tcW w:w="8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2,183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jc w:val="left"/>
            </w:pPr>
            <w:r>
              <w:t> </w:t>
            </w:r>
          </w:p>
        </w:tc>
        <w:tc>
          <w:tcPr>
            <w:tcW w:w="5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2,183</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jc w:val="left"/>
            </w:pPr>
            <w:r>
              <w:t> </w:t>
            </w:r>
          </w:p>
        </w:tc>
        <w:tc>
          <w:tcPr>
            <w:tcW w:w="4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61"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c>
          <w:tcPr>
            <w:tcW w:w="31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jc w:val="left"/>
            </w:pPr>
            <w:r>
              <w:t> </w:t>
            </w:r>
          </w:p>
        </w:tc>
        <w:tc>
          <w:tcPr>
            <w:tcW w:w="6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jc w:val="left"/>
            </w:pPr>
            <w:r>
              <w:t> </w:t>
            </w:r>
          </w:p>
        </w:tc>
        <w:tc>
          <w:tcPr>
            <w:tcW w:w="8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2,419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jc w:val="left"/>
            </w:pPr>
            <w:r>
              <w:t> </w:t>
            </w:r>
          </w:p>
        </w:tc>
        <w:tc>
          <w:tcPr>
            <w:tcW w:w="5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2,419</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jc w:val="left"/>
            </w:pPr>
            <w:r>
              <w:t> </w:t>
            </w:r>
          </w:p>
        </w:tc>
        <w:tc>
          <w:tcPr>
            <w:tcW w:w="4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61"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jc w:val="left"/>
            </w:pPr>
            <w:r>
              <w:t> </w:t>
            </w:r>
          </w:p>
        </w:tc>
        <w:tc>
          <w:tcPr>
            <w:tcW w:w="3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jc w:val="left"/>
            </w:pPr>
            <w:r>
              <w:t> </w:t>
            </w:r>
          </w:p>
        </w:tc>
        <w:tc>
          <w:tcPr>
            <w:tcW w:w="6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jc w:val="left"/>
            </w:pPr>
            <w:r>
              <w:t> </w:t>
            </w:r>
          </w:p>
        </w:tc>
        <w:tc>
          <w:tcPr>
            <w:tcW w:w="8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2,444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jc w:val="left"/>
            </w:pPr>
            <w:r>
              <w:t> </w:t>
            </w:r>
          </w:p>
        </w:tc>
        <w:tc>
          <w:tcPr>
            <w:tcW w:w="5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2,444</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Mobia Medical, Inc. fka Microtransponder, Inc. (2)(5)(12)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4"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3,720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3,720</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3,720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3,720</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MML US,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4"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2,624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2,556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2,556</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2,624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2,606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2,606</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5,247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5,212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5,212</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5,247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5,212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5,212</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5,208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5,172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5,172</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5,208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5,172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5,172</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5,041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4,994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4,994</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5,041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4,994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4,994</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Onkos Surgical,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4"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9,799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9,799</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9,899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9,899</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4,949</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4,949</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4,906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4,906</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Ossio,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4"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20, 2031</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12,677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12,510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12,571</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20, 2031</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7,606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7,543</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20, 2031</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2,526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2,492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2,509</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20, 2031</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2,494</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Sonex Health,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4"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9,801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9,801</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9,868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9,868</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3,700</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3,700</w:t>
            </w:r>
          </w:p>
        </w:tc>
        <w:tc>
          <w:tcPr>
            <w:tcW w:w="67" w:type="dxa"/>
            <w:tcBorders/>
            <w:shd w:fill="CCEEFF" w:val="clear"/>
            <w:tcMar>
              <w:bottom w:w="0" w:type="dxa"/>
            </w:tcMar>
            <w:vAlign w:val="center"/>
          </w:tcPr>
          <w:p>
            <w:pPr>
              <w:pStyle w:val="TableContents"/>
              <w:bidi w:val="0"/>
              <w:spacing w:before="0" w:after="283"/>
              <w:jc w:val="left"/>
            </w:pPr>
            <w:r>
              <w:t> </w:t>
            </w:r>
          </w:p>
        </w:tc>
      </w:tr>
      <w:tr>
        <w:tc>
          <w:tcPr>
            <w:tcW w:w="163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4"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3"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2,467</w:t>
            </w:r>
          </w:p>
        </w:tc>
        <w:tc>
          <w:tcPr>
            <w:tcW w:w="67" w:type="dxa"/>
            <w:tcBorders/>
            <w:shd w:fill="FFFFFF" w:val="clear"/>
            <w:tcMar>
              <w:bottom w:w="0" w:type="dxa"/>
            </w:tcMar>
            <w:vAlign w:val="center"/>
          </w:tcPr>
          <w:p>
            <w:pPr>
              <w:pStyle w:val="TableContents"/>
              <w:bidi w:val="0"/>
              <w:spacing w:before="0" w:after="283"/>
              <w:jc w:val="left"/>
            </w:pPr>
            <w:r>
              <w:t> </w:t>
            </w:r>
          </w:p>
        </w:tc>
      </w:tr>
      <w:tr>
        <w:tc>
          <w:tcPr>
            <w:tcW w:w="163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4"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3" w:type="dxa"/>
            <w:tcBorders/>
            <w:shd w:fill="CCEEFF" w:val="clear"/>
            <w:tcMar>
              <w:bottom w:w="0" w:type="dxa"/>
            </w:tcMar>
            <w:vAlign w:val="center"/>
          </w:tcPr>
          <w:p>
            <w:pPr>
              <w:pStyle w:val="TableContents"/>
              <w:bidi w:val="0"/>
              <w:spacing w:before="0" w:after="283"/>
              <w:ind w:left="0" w:right="0" w:hanging="0"/>
              <w:jc w:val="left"/>
            </w:pPr>
            <w:r>
              <w:t> </w:t>
            </w:r>
          </w:p>
        </w:tc>
        <w:tc>
          <w:tcPr>
            <w:tcW w:w="8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5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2,467</w:t>
            </w:r>
          </w:p>
        </w:tc>
        <w:tc>
          <w:tcPr>
            <w:tcW w:w="67"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43"/>
        <w:gridCol w:w="60"/>
        <w:gridCol w:w="1165"/>
        <w:gridCol w:w="60"/>
        <w:gridCol w:w="741"/>
        <w:gridCol w:w="60"/>
        <w:gridCol w:w="66"/>
        <w:gridCol w:w="390"/>
        <w:gridCol w:w="355"/>
        <w:gridCol w:w="435"/>
        <w:gridCol w:w="60"/>
        <w:gridCol w:w="84"/>
        <w:gridCol w:w="386"/>
        <w:gridCol w:w="125"/>
        <w:gridCol w:w="60"/>
        <w:gridCol w:w="60"/>
        <w:gridCol w:w="350"/>
        <w:gridCol w:w="125"/>
        <w:gridCol w:w="60"/>
        <w:gridCol w:w="66"/>
        <w:gridCol w:w="389"/>
        <w:gridCol w:w="125"/>
        <w:gridCol w:w="60"/>
        <w:gridCol w:w="64"/>
        <w:gridCol w:w="293"/>
        <w:gridCol w:w="125"/>
        <w:gridCol w:w="683"/>
        <w:gridCol w:w="60"/>
        <w:gridCol w:w="78"/>
        <w:gridCol w:w="555"/>
        <w:gridCol w:w="60"/>
        <w:gridCol w:w="60"/>
        <w:gridCol w:w="87"/>
        <w:gridCol w:w="733"/>
        <w:gridCol w:w="60"/>
        <w:gridCol w:w="60"/>
        <w:gridCol w:w="63"/>
        <w:gridCol w:w="531"/>
        <w:gridCol w:w="68"/>
      </w:tblGrid>
      <w:tr>
        <w:tc>
          <w:tcPr>
            <w:tcW w:w="134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16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Cash Rate (4)</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43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Ceiling</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7"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83"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33"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 Value (9)</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Spineology, Inc. (2)(12)</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55"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jc w:val="left"/>
            </w:pPr>
            <w:r>
              <w:t> </w:t>
            </w:r>
          </w:p>
        </w:tc>
        <w:tc>
          <w:tcPr>
            <w:tcW w:w="29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jc w:val="left"/>
            </w:pPr>
            <w:r>
              <w:t> </w:t>
            </w:r>
          </w:p>
        </w:tc>
        <w:tc>
          <w:tcPr>
            <w:tcW w:w="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7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4,953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5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4,953</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4,210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4,210</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4,210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4,210</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2,477</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Total Non-Affiliate Debt Investments — Life Science</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41"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90" w:type="dxa"/>
            <w:tcBorders/>
            <w:shd w:fill="CCEEFF" w:val="clear"/>
            <w:tcMar>
              <w:bottom w:w="0" w:type="dxa"/>
            </w:tcMar>
            <w:vAlign w:val="center"/>
          </w:tcPr>
          <w:p>
            <w:pPr>
              <w:pStyle w:val="TableContents"/>
              <w:bidi w:val="0"/>
              <w:spacing w:before="0" w:after="283"/>
              <w:jc w:val="right"/>
            </w:pPr>
            <w:r>
              <w:rPr>
                <w:rStyle w:val="Emphasis"/>
              </w:rPr>
              <w:t> </w:t>
            </w:r>
          </w:p>
        </w:tc>
        <w:tc>
          <w:tcPr>
            <w:tcW w:w="355" w:type="dxa"/>
            <w:tcBorders/>
            <w:shd w:fill="CCEEFF" w:val="clear"/>
            <w:tcMar>
              <w:bottom w:w="0" w:type="dxa"/>
            </w:tcMar>
            <w:vAlign w:val="center"/>
          </w:tcPr>
          <w:p>
            <w:pPr>
              <w:pStyle w:val="TableContents"/>
              <w:bidi w:val="0"/>
              <w:spacing w:before="0" w:after="283"/>
              <w:jc w:val="left"/>
            </w:pPr>
            <w:r>
              <w:rPr>
                <w:rStyle w:val="Emphasis"/>
              </w:rPr>
              <w:t> </w:t>
            </w:r>
          </w:p>
        </w:tc>
        <w:tc>
          <w:tcPr>
            <w:tcW w:w="435"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jc w:val="left"/>
            </w:pPr>
            <w:r>
              <w:t> </w:t>
            </w:r>
          </w:p>
        </w:tc>
        <w:tc>
          <w:tcPr>
            <w:tcW w:w="293"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83"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jc w:val="left"/>
            </w:pPr>
            <w:r>
              <w:t> </w:t>
            </w:r>
          </w:p>
        </w:tc>
        <w:tc>
          <w:tcPr>
            <w:tcW w:w="55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7" w:type="dxa"/>
            <w:tcBorders>
              <w:top w:val="single" w:sz="2" w:space="0" w:color="000000"/>
              <w:bottom w:val="single" w:sz="2" w:space="0" w:color="000000"/>
            </w:tcBorders>
            <w:shd w:fill="CCEEFF" w:val="clear"/>
            <w:tcMar>
              <w:top w:w="28" w:type="dxa"/>
            </w:tcMar>
            <w:vAlign w:val="center"/>
          </w:tcPr>
          <w:p>
            <w:pPr>
              <w:pStyle w:val="TableContents"/>
              <w:bidi w:val="0"/>
              <w:spacing w:before="0" w:after="0"/>
              <w:ind w:left="0" w:right="0" w:hanging="0"/>
              <w:jc w:val="left"/>
            </w:pPr>
            <w:r>
              <w:t> </w:t>
            </w:r>
          </w:p>
        </w:tc>
        <w:tc>
          <w:tcPr>
            <w:tcW w:w="733" w:type="dxa"/>
            <w:tcBorders>
              <w:top w:val="single" w:sz="2" w:space="0" w:color="000000"/>
              <w:bottom w:val="single" w:sz="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304,030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63" w:type="dxa"/>
            <w:tcBorders>
              <w:top w:val="single" w:sz="2" w:space="0" w:color="000000"/>
              <w:bottom w:val="single" w:sz="2" w:space="0" w:color="000000"/>
            </w:tcBorders>
            <w:shd w:fill="CCEEFF" w:val="clear"/>
            <w:tcMar>
              <w:top w:w="28" w:type="dxa"/>
            </w:tcMar>
            <w:vAlign w:val="center"/>
          </w:tcPr>
          <w:p>
            <w:pPr>
              <w:pStyle w:val="TableContents"/>
              <w:bidi w:val="0"/>
              <w:spacing w:before="0" w:after="0"/>
              <w:ind w:left="0" w:right="0" w:hanging="0"/>
              <w:jc w:val="left"/>
            </w:pPr>
            <w:r>
              <w:t> </w:t>
            </w:r>
          </w:p>
        </w:tc>
        <w:tc>
          <w:tcPr>
            <w:tcW w:w="531" w:type="dxa"/>
            <w:tcBorders>
              <w:top w:val="single" w:sz="2" w:space="0" w:color="000000"/>
              <w:bottom w:val="single" w:sz="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302,710</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Debt Investments — Sustainability — 4.1% (8)</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4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90" w:type="dxa"/>
            <w:tcBorders/>
            <w:shd w:fill="FFFFFF" w:val="clear"/>
            <w:tcMar>
              <w:bottom w:w="0" w:type="dxa"/>
            </w:tcMar>
            <w:vAlign w:val="center"/>
          </w:tcPr>
          <w:p>
            <w:pPr>
              <w:pStyle w:val="TableContents"/>
              <w:bidi w:val="0"/>
              <w:spacing w:before="0" w:after="283"/>
              <w:jc w:val="left"/>
            </w:pPr>
            <w:r>
              <w:t> </w:t>
            </w:r>
          </w:p>
        </w:tc>
        <w:tc>
          <w:tcPr>
            <w:tcW w:w="355" w:type="dxa"/>
            <w:tcBorders/>
            <w:shd w:fill="FFFFFF" w:val="clear"/>
            <w:tcMar>
              <w:bottom w:w="0" w:type="dxa"/>
            </w:tcMar>
            <w:vAlign w:val="center"/>
          </w:tcPr>
          <w:p>
            <w:pPr>
              <w:pStyle w:val="TableContents"/>
              <w:bidi w:val="0"/>
              <w:spacing w:before="0" w:after="283"/>
              <w:jc w:val="left"/>
            </w:pPr>
            <w:r>
              <w:t> </w:t>
            </w:r>
          </w:p>
        </w:tc>
        <w:tc>
          <w:tcPr>
            <w:tcW w:w="43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jc w:val="left"/>
            </w:pPr>
            <w:r>
              <w:t> </w:t>
            </w:r>
          </w:p>
        </w:tc>
        <w:tc>
          <w:tcPr>
            <w:tcW w:w="293"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8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jc w:val="left"/>
            </w:pPr>
            <w:r>
              <w:t> </w:t>
            </w:r>
          </w:p>
        </w:tc>
        <w:tc>
          <w:tcPr>
            <w:tcW w:w="55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73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531"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NeoVolta, Inc. (2)(5)(15)</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Alternative Energy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Fixed</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4, 2028</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4,364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4,364</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Fixed</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4, 2028</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4,364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4,364</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Phigenics Holdings, Inc. (2)(12)</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CCEEFF" w:val="clear"/>
            <w:tcMar>
              <w:bottom w:w="0" w:type="dxa"/>
            </w:tcMar>
            <w:vAlign w:val="center"/>
          </w:tcPr>
          <w:p>
            <w:pPr>
              <w:pStyle w:val="TableContents"/>
              <w:bidi w:val="0"/>
              <w:spacing w:before="0" w:after="283"/>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8.93</w:t>
            </w:r>
          </w:p>
        </w:tc>
        <w:tc>
          <w:tcPr>
            <w:tcW w:w="355"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1-month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jc w:val="left"/>
            </w:pPr>
            <w:r>
              <w:t> </w:t>
            </w:r>
          </w:p>
        </w:tc>
        <w:tc>
          <w:tcPr>
            <w:tcW w:w="293"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18, 2032</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jc w:val="left"/>
            </w:pPr>
            <w:r>
              <w:t> </w:t>
            </w:r>
          </w:p>
        </w:tc>
        <w:tc>
          <w:tcPr>
            <w:tcW w:w="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7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4,933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5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5,028</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8.93</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1-month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18, 2032</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1,006</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Total Non-Affiliate Debt Investments — Sustainability</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41"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90" w:type="dxa"/>
            <w:tcBorders/>
            <w:shd w:fill="CCEEFF" w:val="clear"/>
            <w:tcMar>
              <w:bottom w:w="0" w:type="dxa"/>
            </w:tcMar>
            <w:vAlign w:val="center"/>
          </w:tcPr>
          <w:p>
            <w:pPr>
              <w:pStyle w:val="TableContents"/>
              <w:bidi w:val="0"/>
              <w:spacing w:before="0" w:after="283"/>
              <w:jc w:val="right"/>
            </w:pPr>
            <w:r>
              <w:rPr>
                <w:rStyle w:val="Emphasis"/>
              </w:rPr>
              <w:t> </w:t>
            </w:r>
          </w:p>
        </w:tc>
        <w:tc>
          <w:tcPr>
            <w:tcW w:w="355" w:type="dxa"/>
            <w:tcBorders/>
            <w:shd w:fill="CCEEFF" w:val="clear"/>
            <w:tcMar>
              <w:bottom w:w="0" w:type="dxa"/>
            </w:tcMar>
            <w:vAlign w:val="center"/>
          </w:tcPr>
          <w:p>
            <w:pPr>
              <w:pStyle w:val="TableContents"/>
              <w:bidi w:val="0"/>
              <w:spacing w:before="0" w:after="283"/>
              <w:jc w:val="left"/>
            </w:pPr>
            <w:r>
              <w:rPr>
                <w:rStyle w:val="Emphasis"/>
              </w:rPr>
              <w:t> </w:t>
            </w:r>
          </w:p>
        </w:tc>
        <w:tc>
          <w:tcPr>
            <w:tcW w:w="435"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jc w:val="left"/>
            </w:pPr>
            <w:r>
              <w:t> </w:t>
            </w:r>
          </w:p>
        </w:tc>
        <w:tc>
          <w:tcPr>
            <w:tcW w:w="293"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83"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jc w:val="left"/>
            </w:pPr>
            <w:r>
              <w:t> </w:t>
            </w:r>
          </w:p>
        </w:tc>
        <w:tc>
          <w:tcPr>
            <w:tcW w:w="55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7" w:type="dxa"/>
            <w:tcBorders>
              <w:top w:val="single" w:sz="2" w:space="0" w:color="000000"/>
              <w:bottom w:val="single" w:sz="2" w:space="0" w:color="000000"/>
            </w:tcBorders>
            <w:shd w:fill="CCEEFF" w:val="clear"/>
            <w:tcMar>
              <w:top w:w="28" w:type="dxa"/>
            </w:tcMar>
            <w:vAlign w:val="center"/>
          </w:tcPr>
          <w:p>
            <w:pPr>
              <w:pStyle w:val="TableContents"/>
              <w:bidi w:val="0"/>
              <w:spacing w:before="0" w:after="0"/>
              <w:ind w:left="0" w:right="0" w:hanging="0"/>
              <w:jc w:val="left"/>
            </w:pPr>
            <w:r>
              <w:t> </w:t>
            </w:r>
          </w:p>
        </w:tc>
        <w:tc>
          <w:tcPr>
            <w:tcW w:w="733" w:type="dxa"/>
            <w:tcBorders>
              <w:top w:val="single" w:sz="2" w:space="0" w:color="000000"/>
              <w:bottom w:val="single" w:sz="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14,649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63" w:type="dxa"/>
            <w:tcBorders>
              <w:top w:val="single" w:sz="2" w:space="0" w:color="000000"/>
              <w:bottom w:val="single" w:sz="2" w:space="0" w:color="000000"/>
            </w:tcBorders>
            <w:shd w:fill="CCEEFF" w:val="clear"/>
            <w:tcMar>
              <w:top w:w="28" w:type="dxa"/>
            </w:tcMar>
            <w:vAlign w:val="center"/>
          </w:tcPr>
          <w:p>
            <w:pPr>
              <w:pStyle w:val="TableContents"/>
              <w:bidi w:val="0"/>
              <w:spacing w:before="0" w:after="0"/>
              <w:ind w:left="0" w:right="0" w:hanging="0"/>
              <w:jc w:val="left"/>
            </w:pPr>
            <w:r>
              <w:t> </w:t>
            </w:r>
          </w:p>
        </w:tc>
        <w:tc>
          <w:tcPr>
            <w:tcW w:w="531" w:type="dxa"/>
            <w:tcBorders>
              <w:top w:val="single" w:sz="2" w:space="0" w:color="000000"/>
              <w:bottom w:val="single" w:sz="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14,762</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Debt Investments — Technology — 67.4% (8)</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4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90" w:type="dxa"/>
            <w:tcBorders/>
            <w:shd w:fill="FFFFFF" w:val="clear"/>
            <w:tcMar>
              <w:bottom w:w="0" w:type="dxa"/>
            </w:tcMar>
            <w:vAlign w:val="center"/>
          </w:tcPr>
          <w:p>
            <w:pPr>
              <w:pStyle w:val="TableContents"/>
              <w:bidi w:val="0"/>
              <w:spacing w:before="0" w:after="283"/>
              <w:jc w:val="left"/>
            </w:pPr>
            <w:r>
              <w:t> </w:t>
            </w:r>
          </w:p>
        </w:tc>
        <w:tc>
          <w:tcPr>
            <w:tcW w:w="355" w:type="dxa"/>
            <w:tcBorders/>
            <w:shd w:fill="FFFFFF" w:val="clear"/>
            <w:tcMar>
              <w:bottom w:w="0" w:type="dxa"/>
            </w:tcMar>
            <w:vAlign w:val="center"/>
          </w:tcPr>
          <w:p>
            <w:pPr>
              <w:pStyle w:val="TableContents"/>
              <w:bidi w:val="0"/>
              <w:spacing w:before="0" w:after="283"/>
              <w:jc w:val="left"/>
            </w:pPr>
            <w:r>
              <w:t> </w:t>
            </w:r>
          </w:p>
        </w:tc>
        <w:tc>
          <w:tcPr>
            <w:tcW w:w="43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jc w:val="left"/>
            </w:pPr>
            <w:r>
              <w:t> </w:t>
            </w:r>
          </w:p>
        </w:tc>
        <w:tc>
          <w:tcPr>
            <w:tcW w:w="293"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8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jc w:val="left"/>
            </w:pPr>
            <w:r>
              <w:t> </w:t>
            </w:r>
          </w:p>
        </w:tc>
        <w:tc>
          <w:tcPr>
            <w:tcW w:w="55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73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531"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Glass Routes, LLC. (2)(12)</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Communications</w:t>
            </w:r>
          </w:p>
        </w:tc>
        <w:tc>
          <w:tcPr>
            <w:tcW w:w="60" w:type="dxa"/>
            <w:tcBorders/>
            <w:shd w:fill="CCEEFF" w:val="clear"/>
            <w:tcMar>
              <w:bottom w:w="0" w:type="dxa"/>
            </w:tcMar>
            <w:vAlign w:val="center"/>
          </w:tcPr>
          <w:p>
            <w:pPr>
              <w:pStyle w:val="TableContents"/>
              <w:bidi w:val="0"/>
              <w:spacing w:before="0" w:after="283"/>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11.31</w:t>
            </w:r>
          </w:p>
        </w:tc>
        <w:tc>
          <w:tcPr>
            <w:tcW w:w="355"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 (11)</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7.50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jc w:val="left"/>
            </w:pPr>
            <w:r>
              <w:t> </w:t>
            </w:r>
          </w:p>
        </w:tc>
        <w:tc>
          <w:tcPr>
            <w:tcW w:w="293"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May 15, 2028</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jc w:val="left"/>
            </w:pPr>
            <w:r>
              <w:t> </w:t>
            </w:r>
          </w:p>
        </w:tc>
        <w:tc>
          <w:tcPr>
            <w:tcW w:w="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4,959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7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4,959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5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4,959</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11.31</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May 15, 2028</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844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844</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11.31</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May 15, 2028</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644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644</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11.31</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May 15, 2028</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686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692</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11.31</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May 15, 2028</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401</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Lyrical Foods, Inc. (2)(12)(13)</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16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2028</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2,726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2,772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pPr>
            <w:r>
              <w:t>—</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2028</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2,726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1,287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pPr>
            <w:r>
              <w:t>—</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Bastille Buyer, Inc. (2)(12)</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9.19</w:t>
            </w:r>
          </w:p>
        </w:tc>
        <w:tc>
          <w:tcPr>
            <w:tcW w:w="355"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jc w:val="left"/>
            </w:pPr>
            <w:r>
              <w:t> </w:t>
            </w:r>
          </w:p>
        </w:tc>
        <w:tc>
          <w:tcPr>
            <w:tcW w:w="293"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30, 2032</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jc w:val="left"/>
            </w:pPr>
            <w:r>
              <w:t> </w:t>
            </w:r>
          </w:p>
        </w:tc>
        <w:tc>
          <w:tcPr>
            <w:tcW w:w="5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2,945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7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2,878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5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2,945</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BriteCore Holdings,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2031</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9,848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9,848</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2031</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7,423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7,423</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2031</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2,474</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Crafty Holdings,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16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4,949</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4,949</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55"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jc w:val="left"/>
            </w:pPr>
            <w:r>
              <w:t> </w:t>
            </w:r>
          </w:p>
        </w:tc>
        <w:tc>
          <w:tcPr>
            <w:tcW w:w="2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jc w:val="left"/>
            </w:pPr>
            <w:r>
              <w:t> </w:t>
            </w:r>
          </w:p>
        </w:tc>
        <w:tc>
          <w:tcPr>
            <w:tcW w:w="5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7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4,949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5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4,949</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1,978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1,978</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55"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jc w:val="left"/>
            </w:pPr>
            <w:r>
              <w:t> </w:t>
            </w:r>
          </w:p>
        </w:tc>
        <w:tc>
          <w:tcPr>
            <w:tcW w:w="2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jc w:val="left"/>
            </w:pPr>
            <w:r>
              <w:t> </w:t>
            </w:r>
          </w:p>
        </w:tc>
        <w:tc>
          <w:tcPr>
            <w:tcW w:w="5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7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1,476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5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1,476</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Dropoff,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30, 2028</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8,209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2,809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4,784</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30, 2028</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1,886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1,887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1,099</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30, 2028</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9,303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9,303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5,422</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0.00</w:t>
            </w:r>
          </w:p>
        </w:tc>
        <w:tc>
          <w:tcPr>
            <w:tcW w:w="355"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jc w:val="left"/>
            </w:pPr>
            <w:r>
              <w:t> </w:t>
            </w:r>
          </w:p>
        </w:tc>
        <w:tc>
          <w:tcPr>
            <w:tcW w:w="293"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30, 2028</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jc w:val="left"/>
            </w:pPr>
            <w:r>
              <w:t> </w:t>
            </w:r>
          </w:p>
        </w:tc>
        <w:tc>
          <w:tcPr>
            <w:tcW w:w="5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7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jc w:val="left"/>
            </w:pPr>
            <w:r>
              <w:t> </w:t>
            </w:r>
          </w:p>
        </w:tc>
        <w:tc>
          <w:tcPr>
            <w:tcW w:w="5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2,914</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ESO Solutions,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6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10.58</w:t>
            </w:r>
          </w:p>
        </w:tc>
        <w:tc>
          <w:tcPr>
            <w:tcW w:w="355"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29, 2031</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8,763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5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8,820</w:t>
            </w:r>
          </w:p>
        </w:tc>
        <w:tc>
          <w:tcPr>
            <w:tcW w:w="68" w:type="dxa"/>
            <w:tcBorders/>
            <w:shd w:fill="CCEEFF" w:val="clear"/>
            <w:tcMar>
              <w:bottom w:w="0" w:type="dxa"/>
            </w:tcMar>
            <w:vAlign w:val="center"/>
          </w:tcPr>
          <w:p>
            <w:pPr>
              <w:pStyle w:val="TableContents"/>
              <w:bidi w:val="0"/>
              <w:spacing w:before="0" w:after="283"/>
              <w:jc w:val="left"/>
            </w:pPr>
            <w:r>
              <w:t> </w:t>
            </w:r>
          </w:p>
        </w:tc>
      </w:tr>
      <w:tr>
        <w:tc>
          <w:tcPr>
            <w:tcW w:w="13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10.58</w:t>
            </w:r>
          </w:p>
        </w:tc>
        <w:tc>
          <w:tcPr>
            <w:tcW w:w="355"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3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8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29, 2031</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8,820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5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8,820</w:t>
            </w:r>
          </w:p>
        </w:tc>
        <w:tc>
          <w:tcPr>
            <w:tcW w:w="68" w:type="dxa"/>
            <w:tcBorders/>
            <w:shd w:fill="FFFFFF" w:val="clear"/>
            <w:tcMar>
              <w:bottom w:w="0" w:type="dxa"/>
            </w:tcMar>
            <w:vAlign w:val="center"/>
          </w:tcPr>
          <w:p>
            <w:pPr>
              <w:pStyle w:val="TableContents"/>
              <w:bidi w:val="0"/>
              <w:spacing w:before="0" w:after="283"/>
              <w:jc w:val="left"/>
            </w:pPr>
            <w:r>
              <w:t> </w:t>
            </w:r>
          </w:p>
        </w:tc>
      </w:tr>
      <w:tr>
        <w:tc>
          <w:tcPr>
            <w:tcW w:w="13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4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10.58</w:t>
            </w:r>
          </w:p>
        </w:tc>
        <w:tc>
          <w:tcPr>
            <w:tcW w:w="355"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43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7.25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jc w:val="left"/>
            </w:pPr>
            <w:r>
              <w:t> </w:t>
            </w:r>
          </w:p>
        </w:tc>
        <w:tc>
          <w:tcPr>
            <w:tcW w:w="293"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8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29, 2031</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jc w:val="left"/>
            </w:pPr>
            <w:r>
              <w:t> </w:t>
            </w:r>
          </w:p>
        </w:tc>
        <w:tc>
          <w:tcPr>
            <w:tcW w:w="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7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8,820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jc w:val="left"/>
            </w:pPr>
            <w:r>
              <w:t> </w:t>
            </w:r>
          </w:p>
        </w:tc>
        <w:tc>
          <w:tcPr>
            <w:tcW w:w="5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8,820</w:t>
            </w:r>
          </w:p>
        </w:tc>
        <w:tc>
          <w:tcPr>
            <w:tcW w:w="68"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54"/>
        <w:gridCol w:w="60"/>
        <w:gridCol w:w="545"/>
        <w:gridCol w:w="60"/>
        <w:gridCol w:w="842"/>
        <w:gridCol w:w="60"/>
        <w:gridCol w:w="76"/>
        <w:gridCol w:w="444"/>
        <w:gridCol w:w="362"/>
        <w:gridCol w:w="507"/>
        <w:gridCol w:w="60"/>
        <w:gridCol w:w="84"/>
        <w:gridCol w:w="386"/>
        <w:gridCol w:w="125"/>
        <w:gridCol w:w="60"/>
        <w:gridCol w:w="60"/>
        <w:gridCol w:w="350"/>
        <w:gridCol w:w="125"/>
        <w:gridCol w:w="60"/>
        <w:gridCol w:w="85"/>
        <w:gridCol w:w="370"/>
        <w:gridCol w:w="60"/>
        <w:gridCol w:w="60"/>
        <w:gridCol w:w="69"/>
        <w:gridCol w:w="318"/>
        <w:gridCol w:w="125"/>
        <w:gridCol w:w="732"/>
        <w:gridCol w:w="60"/>
        <w:gridCol w:w="87"/>
        <w:gridCol w:w="623"/>
        <w:gridCol w:w="60"/>
        <w:gridCol w:w="60"/>
        <w:gridCol w:w="100"/>
        <w:gridCol w:w="846"/>
        <w:gridCol w:w="60"/>
        <w:gridCol w:w="60"/>
        <w:gridCol w:w="68"/>
        <w:gridCol w:w="573"/>
        <w:gridCol w:w="69"/>
      </w:tblGrid>
      <w:tr>
        <w:tc>
          <w:tcPr>
            <w:tcW w:w="1454"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4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Cash Rate (4)</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507"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Ceiling</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87"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32"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4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41"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 Value (9)</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HiveMQ Inc. (2)(12)</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jc w:val="left"/>
            </w:pPr>
            <w:r>
              <w:t> </w:t>
            </w:r>
          </w:p>
        </w:tc>
        <w:tc>
          <w:tcPr>
            <w:tcW w:w="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11.25</w:t>
            </w:r>
          </w:p>
        </w:tc>
        <w:tc>
          <w:tcPr>
            <w:tcW w:w="362"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jc w:val="left"/>
            </w:pPr>
            <w:r>
              <w:t> </w:t>
            </w:r>
          </w:p>
        </w:tc>
        <w:tc>
          <w:tcPr>
            <w:tcW w:w="3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2031</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6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jc w:val="left"/>
            </w:pPr>
            <w: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4,802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jc w:val="left"/>
            </w:pPr>
            <w:r>
              <w:t> </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4,802</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2031</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4,952</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2031</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4,952</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2031</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4,952</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2031</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4,952</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Kodiak Robotics, Inc. (2)(5)(12)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4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14,674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14,674</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7,337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7,337</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7,337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7,337</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MasteryPrep, LLC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2029</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7,421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7,421</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11.50</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2029</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7,445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7,445</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Samba TV,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2030</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10,090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9,889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9,889</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2030</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7,568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7,472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7,472</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2030</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5,045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4,981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4,981</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2030</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2,523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2,491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2,491</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StarCompliance Midco, LLC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10.10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12, 2028</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9,955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Revolver</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jc w:val="left"/>
            </w:pPr>
            <w:r>
              <w:t> </w:t>
            </w:r>
          </w:p>
        </w:tc>
        <w:tc>
          <w:tcPr>
            <w:tcW w:w="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10.10</w:t>
            </w:r>
          </w:p>
        </w:tc>
        <w:tc>
          <w:tcPr>
            <w:tcW w:w="362"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6.35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6.60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jc w:val="left"/>
            </w:pPr>
            <w:r>
              <w:t> </w:t>
            </w:r>
          </w:p>
        </w:tc>
        <w:tc>
          <w:tcPr>
            <w:tcW w:w="318"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12, 2028</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6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1,031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jc w:val="left"/>
            </w:pPr>
            <w: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1,018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c>
          <w:tcPr>
            <w:tcW w:w="57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1,031</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10.10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12, 2028</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1,991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2,000</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10.10</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12, 2028</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9,955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Stellar Cyber,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4,844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4,844</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4,944</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4,944</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Supply Network Visibility Holdings LLC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4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2028</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2,187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2,186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1,897</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2028</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3,063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3,060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2,656</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2028</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2,187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2,185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1,897</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2028</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1,313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1,311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1,138</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jc w:val="left"/>
            </w:pPr>
            <w:r>
              <w:t> </w:t>
            </w:r>
          </w:p>
        </w:tc>
        <w:tc>
          <w:tcPr>
            <w:tcW w:w="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62"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jc w:val="left"/>
            </w:pPr>
            <w:r>
              <w:t> </w:t>
            </w:r>
          </w:p>
        </w:tc>
        <w:tc>
          <w:tcPr>
            <w:tcW w:w="3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2029</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6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jc w:val="left"/>
            </w:pPr>
            <w: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4,990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c>
          <w:tcPr>
            <w:tcW w:w="57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4,333</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Ursa Space Systems,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2"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1,894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ind w:left="0" w:right="0" w:hanging="0"/>
              <w:jc w:val="left"/>
            </w:pPr>
            <w:r>
              <w:t> </w:t>
            </w:r>
          </w:p>
        </w:tc>
        <w:tc>
          <w:tcPr>
            <w:tcW w:w="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1,870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1,870</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jc w:val="left"/>
            </w:pPr>
            <w:r>
              <w:t> </w:t>
            </w:r>
          </w:p>
        </w:tc>
        <w:tc>
          <w:tcPr>
            <w:tcW w:w="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62"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jc w:val="left"/>
            </w:pPr>
            <w:r>
              <w:t> </w:t>
            </w:r>
          </w:p>
        </w:tc>
        <w:tc>
          <w:tcPr>
            <w:tcW w:w="3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6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1,894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jc w:val="left"/>
            </w:pPr>
            <w: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1,870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c>
          <w:tcPr>
            <w:tcW w:w="57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1,870</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jc w:val="left"/>
            </w:pPr>
            <w:r>
              <w:t> </w:t>
            </w:r>
          </w:p>
        </w:tc>
        <w:tc>
          <w:tcPr>
            <w:tcW w:w="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62"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jc w:val="left"/>
            </w:pPr>
            <w:r>
              <w:t> </w:t>
            </w:r>
          </w:p>
        </w:tc>
        <w:tc>
          <w:tcPr>
            <w:tcW w:w="3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6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1,894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jc w:val="left"/>
            </w:pPr>
            <w: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1,862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jc w:val="left"/>
            </w:pPr>
            <w:r>
              <w:t> </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1,862</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jc w:val="left"/>
            </w:pPr>
            <w:r>
              <w:t> </w:t>
            </w:r>
          </w:p>
        </w:tc>
        <w:tc>
          <w:tcPr>
            <w:tcW w:w="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62"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jc w:val="left"/>
            </w:pPr>
            <w:r>
              <w:t> </w:t>
            </w:r>
          </w:p>
        </w:tc>
        <w:tc>
          <w:tcPr>
            <w:tcW w:w="3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jc w:val="left"/>
            </w:pPr>
            <w:r>
              <w:t> </w:t>
            </w:r>
          </w:p>
        </w:tc>
        <w:tc>
          <w:tcPr>
            <w:tcW w:w="6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1,894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jc w:val="left"/>
            </w:pPr>
            <w: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1,862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c>
          <w:tcPr>
            <w:tcW w:w="57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1,862</w:t>
            </w:r>
          </w:p>
        </w:tc>
        <w:tc>
          <w:tcPr>
            <w:tcW w:w="69" w:type="dxa"/>
            <w:tcBorders/>
            <w:shd w:fill="FFFFFF" w:val="clear"/>
            <w:tcMar>
              <w:bottom w:w="0" w:type="dxa"/>
            </w:tcMar>
            <w:vAlign w:val="center"/>
          </w:tcPr>
          <w:p>
            <w:pPr>
              <w:pStyle w:val="TableContents"/>
              <w:bidi w:val="0"/>
              <w:spacing w:before="0" w:after="283"/>
              <w:jc w:val="left"/>
            </w:pPr>
            <w:r>
              <w:t> </w:t>
            </w:r>
          </w:p>
        </w:tc>
      </w:tr>
      <w:tr>
        <w:tc>
          <w:tcPr>
            <w:tcW w:w="14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Volt Bidco, Inc. (2)(12)</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jc w:val="left"/>
            </w:pPr>
            <w:r>
              <w:t> </w:t>
            </w:r>
          </w:p>
        </w:tc>
        <w:tc>
          <w:tcPr>
            <w:tcW w:w="84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jc w:val="left"/>
            </w:pPr>
            <w:r>
              <w:t> </w:t>
            </w:r>
          </w:p>
        </w:tc>
        <w:tc>
          <w:tcPr>
            <w:tcW w:w="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9.07</w:t>
            </w:r>
          </w:p>
        </w:tc>
        <w:tc>
          <w:tcPr>
            <w:tcW w:w="362"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50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jc w:val="left"/>
            </w:pPr>
            <w:r>
              <w:t> </w:t>
            </w:r>
          </w:p>
        </w:tc>
        <w:tc>
          <w:tcPr>
            <w:tcW w:w="318"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73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30, 2032</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6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shd w:fill="CCEEFF" w:val="clear"/>
            <w:tcMar>
              <w:bottom w:w="0" w:type="dxa"/>
            </w:tcMar>
            <w:vAlign w:val="center"/>
          </w:tcPr>
          <w:p>
            <w:pPr>
              <w:pStyle w:val="TableContents"/>
              <w:bidi w:val="0"/>
              <w:spacing w:before="0" w:after="283"/>
              <w:jc w:val="left"/>
            </w:pPr>
            <w: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3,927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jc w:val="left"/>
            </w:pPr>
            <w:r>
              <w:t> </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4,000</w:t>
            </w:r>
          </w:p>
        </w:tc>
        <w:tc>
          <w:tcPr>
            <w:tcW w:w="69" w:type="dxa"/>
            <w:tcBorders/>
            <w:shd w:fill="CCEEFF" w:val="clear"/>
            <w:tcMar>
              <w:bottom w:w="0" w:type="dxa"/>
            </w:tcMar>
            <w:vAlign w:val="center"/>
          </w:tcPr>
          <w:p>
            <w:pPr>
              <w:pStyle w:val="TableContents"/>
              <w:bidi w:val="0"/>
              <w:spacing w:before="0" w:after="283"/>
              <w:jc w:val="left"/>
            </w:pPr>
            <w:r>
              <w:t> </w:t>
            </w:r>
          </w:p>
        </w:tc>
      </w:tr>
      <w:tr>
        <w:tc>
          <w:tcPr>
            <w:tcW w:w="145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4" w:type="dxa"/>
            <w:tcBorders/>
            <w:shd w:fill="FFFFFF" w:val="clear"/>
            <w:tcMar>
              <w:bottom w:w="0" w:type="dxa"/>
            </w:tcMar>
            <w:vAlign w:val="center"/>
          </w:tcPr>
          <w:p>
            <w:pPr>
              <w:pStyle w:val="TableContents"/>
              <w:bidi w:val="0"/>
              <w:spacing w:before="0" w:after="283"/>
              <w:ind w:left="0" w:right="0" w:hanging="0"/>
              <w:jc w:val="right"/>
            </w:pPr>
            <w:r>
              <w:rPr>
                <w:rStyle w:val="Emphasis"/>
                <w:rFonts w:ascii="Times New Roman;Times;serif" w:hAnsi="Times New Roman;Times;serif"/>
                <w:sz w:val="14"/>
              </w:rPr>
              <w:t>9.07</w:t>
            </w:r>
          </w:p>
        </w:tc>
        <w:tc>
          <w:tcPr>
            <w:tcW w:w="362"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50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3-month SOFR</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pPr>
            <w:r>
              <w:rPr>
                <w:rStyle w:val="Emphasis"/>
                <w:rFonts w:ascii="Times New Roman;Times;serif" w:hAnsi="Times New Roman;Times;serif"/>
                <w:sz w:val="14"/>
              </w:rPr>
              <w:t>5.25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pPr>
            <w:r>
              <w:rPr>
                <w:rStyle w:val="Emphasis"/>
                <w:rFonts w:ascii="Times New Roman;Times;serif" w:hAnsi="Times New Roman;Times;serif"/>
                <w:sz w:val="14"/>
              </w:rPr>
              <w:t>6.00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rPr>
                <w:rStyle w:val="Emphasis"/>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318" w:type="dxa"/>
            <w:tcBorders/>
            <w:shd w:fill="FFFFFF" w:val="clear"/>
            <w:tcMar>
              <w:bottom w:w="0" w:type="dxa"/>
            </w:tcMar>
            <w:vAlign w:val="center"/>
          </w:tcPr>
          <w:p>
            <w:pPr>
              <w:pStyle w:val="TableContents"/>
              <w:bidi w:val="0"/>
              <w:spacing w:before="0" w:after="283"/>
              <w:ind w:left="0" w:right="0" w:hanging="0"/>
              <w:jc w:val="right"/>
            </w:pPr>
            <w:r>
              <w:rPr>
                <w:rStyle w:val="Emphasis"/>
              </w:rP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3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April 30, 2032</w:t>
            </w:r>
          </w:p>
        </w:tc>
        <w:tc>
          <w:tcPr>
            <w:tcW w:w="60" w:type="dxa"/>
            <w:tcBorders/>
            <w:shd w:fill="FFFFFF" w:val="clear"/>
            <w:tcMar>
              <w:bottom w:w="0" w:type="dxa"/>
            </w:tcMar>
            <w:vAlign w:val="center"/>
          </w:tcPr>
          <w:p>
            <w:pPr>
              <w:pStyle w:val="TableContents"/>
              <w:bidi w:val="0"/>
              <w:spacing w:before="0" w:after="283"/>
              <w:jc w:val="left"/>
            </w:pPr>
            <w:r>
              <w:t> </w:t>
            </w:r>
          </w:p>
        </w:tc>
        <w:tc>
          <w:tcPr>
            <w:tcW w:w="87"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right"/>
            </w:pPr>
            <w:r>
              <w:rPr>
                <w:rStyle w:val="Emphasis"/>
                <w:rFonts w:ascii="Times New Roman;Times;serif" w:hAnsi="Times New Roman;Times;serif"/>
                <w:sz w:val="14"/>
              </w:rPr>
              <w:t>101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0" w:type="dxa"/>
            <w:tcBorders/>
            <w:shd w:fill="FFFFFF" w:val="clear"/>
            <w:tcMar>
              <w:bottom w:w="0" w:type="dxa"/>
            </w:tcMar>
            <w:vAlign w:val="center"/>
          </w:tcPr>
          <w:p>
            <w:pPr>
              <w:pStyle w:val="TableContents"/>
              <w:bidi w:val="0"/>
              <w:spacing w:before="0" w:after="283"/>
              <w:ind w:left="0" w:right="0" w:hanging="0"/>
              <w:jc w:val="left"/>
            </w:pPr>
            <w:r>
              <w:t> </w:t>
            </w:r>
          </w:p>
        </w:tc>
        <w:tc>
          <w:tcPr>
            <w:tcW w:w="846" w:type="dxa"/>
            <w:tcBorders/>
            <w:shd w:fill="FFFFFF" w:val="clear"/>
            <w:tcMar>
              <w:bottom w:w="0" w:type="dxa"/>
            </w:tcMar>
            <w:vAlign w:val="center"/>
          </w:tcPr>
          <w:p>
            <w:pPr>
              <w:pStyle w:val="TableContents"/>
              <w:bidi w:val="0"/>
              <w:spacing w:before="0" w:after="283"/>
              <w:ind w:left="0" w:right="0" w:hanging="0"/>
              <w:jc w:val="right"/>
            </w:pPr>
            <w:r>
              <w:rPr>
                <w:rStyle w:val="Emphasis"/>
                <w:rFonts w:ascii="Times New Roman;Times;serif" w:hAnsi="Times New Roman;Times;serif"/>
                <w:sz w:val="14"/>
              </w:rPr>
              <w:t>101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73" w:type="dxa"/>
            <w:tcBorders/>
            <w:shd w:fill="FFFFFF" w:val="clear"/>
            <w:tcMar>
              <w:bottom w:w="0" w:type="dxa"/>
            </w:tcMar>
            <w:vAlign w:val="center"/>
          </w:tcPr>
          <w:p>
            <w:pPr>
              <w:pStyle w:val="TableContents"/>
              <w:bidi w:val="0"/>
              <w:spacing w:before="0" w:after="283"/>
              <w:ind w:left="0" w:right="0" w:hanging="0"/>
              <w:jc w:val="right"/>
            </w:pPr>
            <w:r>
              <w:rPr>
                <w:rStyle w:val="Emphasis"/>
                <w:rFonts w:ascii="Times New Roman;Times;serif" w:hAnsi="Times New Roman;Times;serif"/>
                <w:sz w:val="14"/>
              </w:rPr>
              <w:t>101</w:t>
            </w:r>
          </w:p>
        </w:tc>
        <w:tc>
          <w:tcPr>
            <w:tcW w:w="69" w:type="dxa"/>
            <w:tcBorders/>
            <w:shd w:fill="FFFFFF" w:val="clear"/>
            <w:tcMar>
              <w:bottom w:w="0" w:type="dxa"/>
            </w:tcMar>
            <w:vAlign w:val="center"/>
          </w:tcPr>
          <w:p>
            <w:pPr>
              <w:pStyle w:val="TableContents"/>
              <w:bidi w:val="0"/>
              <w:spacing w:before="0" w:after="283"/>
              <w:jc w:val="left"/>
            </w:pPr>
            <w:r>
              <w:t> </w:t>
            </w:r>
          </w:p>
        </w:tc>
      </w:tr>
      <w:tr>
        <w:tc>
          <w:tcPr>
            <w:tcW w:w="2961" w:type="dxa"/>
            <w:gridSpan w:val="5"/>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Non-Affiliate Debt Investments — Technology</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jc w:val="left"/>
            </w:pPr>
            <w:r>
              <w:t> </w:t>
            </w:r>
          </w:p>
        </w:tc>
        <w:tc>
          <w:tcPr>
            <w:tcW w:w="444" w:type="dxa"/>
            <w:tcBorders/>
            <w:shd w:fill="CCEEFF" w:val="clear"/>
            <w:tcMar>
              <w:bottom w:w="0" w:type="dxa"/>
            </w:tcMar>
            <w:vAlign w:val="center"/>
          </w:tcPr>
          <w:p>
            <w:pPr>
              <w:pStyle w:val="TableContents"/>
              <w:bidi w:val="0"/>
              <w:spacing w:before="0" w:after="283"/>
              <w:jc w:val="right"/>
            </w:pPr>
            <w:r>
              <w:rPr>
                <w:rStyle w:val="Emphasis"/>
              </w:rPr>
              <w:t> </w:t>
            </w:r>
          </w:p>
        </w:tc>
        <w:tc>
          <w:tcPr>
            <w:tcW w:w="362" w:type="dxa"/>
            <w:tcBorders/>
            <w:shd w:fill="CCEEFF" w:val="clear"/>
            <w:tcMar>
              <w:bottom w:w="0" w:type="dxa"/>
            </w:tcMar>
            <w:vAlign w:val="center"/>
          </w:tcPr>
          <w:p>
            <w:pPr>
              <w:pStyle w:val="TableContents"/>
              <w:bidi w:val="0"/>
              <w:spacing w:before="0" w:after="283"/>
              <w:jc w:val="left"/>
            </w:pPr>
            <w:r>
              <w:rPr>
                <w:rStyle w:val="Emphasis"/>
              </w:rPr>
              <w:t> </w:t>
            </w:r>
          </w:p>
        </w:tc>
        <w:tc>
          <w:tcPr>
            <w:tcW w:w="50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jc w:val="left"/>
            </w:pPr>
            <w:r>
              <w:t> </w:t>
            </w:r>
          </w:p>
        </w:tc>
        <w:tc>
          <w:tcPr>
            <w:tcW w:w="318"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732"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7" w:type="dxa"/>
            <w:tcBorders/>
            <w:shd w:fill="CCEEFF" w:val="clear"/>
            <w:tcMar>
              <w:bottom w:w="0" w:type="dxa"/>
            </w:tcMar>
            <w:vAlign w:val="center"/>
          </w:tcPr>
          <w:p>
            <w:pPr>
              <w:pStyle w:val="TableContents"/>
              <w:bidi w:val="0"/>
              <w:spacing w:before="0" w:after="283"/>
              <w:jc w:val="left"/>
            </w:pPr>
            <w:r>
              <w:t> </w:t>
            </w:r>
          </w:p>
        </w:tc>
        <w:tc>
          <w:tcPr>
            <w:tcW w:w="623"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pPr>
            <w:r>
              <w:t> </w:t>
            </w:r>
          </w:p>
        </w:tc>
        <w:tc>
          <w:tcPr>
            <w:tcW w:w="846"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254,434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pPr>
            <w:r>
              <w:t> </w:t>
            </w:r>
          </w:p>
        </w:tc>
        <w:tc>
          <w:tcPr>
            <w:tcW w:w="573"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244,116</w:t>
            </w:r>
          </w:p>
        </w:tc>
        <w:tc>
          <w:tcPr>
            <w:tcW w:w="69"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28" w:type="dxa"/>
          <w:right w:w="0" w:type="dxa"/>
        </w:tblCellMar>
      </w:tblPr>
      <w:tblGrid>
        <w:gridCol w:w="1756"/>
        <w:gridCol w:w="60"/>
        <w:gridCol w:w="855"/>
        <w:gridCol w:w="60"/>
        <w:gridCol w:w="806"/>
        <w:gridCol w:w="60"/>
        <w:gridCol w:w="72"/>
        <w:gridCol w:w="425"/>
        <w:gridCol w:w="125"/>
        <w:gridCol w:w="365"/>
        <w:gridCol w:w="60"/>
        <w:gridCol w:w="84"/>
        <w:gridCol w:w="386"/>
        <w:gridCol w:w="125"/>
        <w:gridCol w:w="60"/>
        <w:gridCol w:w="60"/>
        <w:gridCol w:w="350"/>
        <w:gridCol w:w="125"/>
        <w:gridCol w:w="60"/>
        <w:gridCol w:w="85"/>
        <w:gridCol w:w="370"/>
        <w:gridCol w:w="60"/>
        <w:gridCol w:w="60"/>
        <w:gridCol w:w="67"/>
        <w:gridCol w:w="310"/>
        <w:gridCol w:w="125"/>
        <w:gridCol w:w="630"/>
        <w:gridCol w:w="60"/>
        <w:gridCol w:w="84"/>
        <w:gridCol w:w="599"/>
        <w:gridCol w:w="60"/>
        <w:gridCol w:w="60"/>
        <w:gridCol w:w="143"/>
        <w:gridCol w:w="759"/>
        <w:gridCol w:w="60"/>
        <w:gridCol w:w="60"/>
        <w:gridCol w:w="104"/>
        <w:gridCol w:w="548"/>
        <w:gridCol w:w="67"/>
      </w:tblGrid>
      <w:tr>
        <w:tc>
          <w:tcPr>
            <w:tcW w:w="1756"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5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97"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Cash Rate (4)</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36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Ceiling</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77"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30"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83"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02"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52"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 Value (9)</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Debt Investments — Healthcare information and services — 13.5% (8)</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0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jc w:val="left"/>
            </w:pPr>
            <w:r>
              <w:t> </w:t>
            </w:r>
          </w:p>
        </w:tc>
        <w:tc>
          <w:tcPr>
            <w:tcW w:w="425"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36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jc w:val="left"/>
            </w:pPr>
            <w:r>
              <w:t> </w:t>
            </w:r>
          </w:p>
        </w:tc>
        <w:tc>
          <w:tcPr>
            <w:tcW w:w="31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3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59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jc w:val="left"/>
            </w:pPr>
            <w:r>
              <w:t> </w:t>
            </w:r>
          </w:p>
        </w:tc>
        <w:tc>
          <w:tcPr>
            <w:tcW w:w="75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jc w:val="left"/>
            </w:pPr>
            <w:r>
              <w:t> </w:t>
            </w:r>
          </w:p>
        </w:tc>
        <w:tc>
          <w:tcPr>
            <w:tcW w:w="548"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BrightInsight,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5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2,905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3,823</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6,417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ind w:left="0" w:right="0" w:hanging="0"/>
              <w:jc w:val="left"/>
            </w:pPr>
            <w:r>
              <w:t> </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6,411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4,455</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3,208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3,206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2,227</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3,208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ind w:left="0" w:right="0" w:hanging="0"/>
              <w:jc w:val="left"/>
            </w:pPr>
            <w:r>
              <w:t> </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3,206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2,227</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2,741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1,905</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ind w:left="0" w:right="0" w:hanging="0"/>
              <w:jc w:val="left"/>
            </w:pPr>
            <w:r>
              <w:t> </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1,277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1,563</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Elligo Health Research,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5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2027</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9,931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5,030</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2027</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ind w:left="0" w:right="0" w:hanging="0"/>
              <w:jc w:val="left"/>
            </w:pPr>
            <w:r>
              <w:t> </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2,515</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2027</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2,515</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2027</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ind w:left="0" w:right="0" w:hanging="0"/>
              <w:jc w:val="left"/>
            </w:pPr>
            <w:r>
              <w:t> </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2,515</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GT Medical Technologies,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5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Healthcare Services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2029</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3,713</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2029</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ind w:left="0" w:right="0" w:hanging="0"/>
              <w:jc w:val="left"/>
            </w:pPr>
            <w:r>
              <w:t> </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3,713</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2029</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7,427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7,427</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Hometeam Technologies, Inc. (2)(12)(13)</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5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Healthcare Services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ind w:left="0" w:right="0" w:hanging="0"/>
              <w:jc w:val="left"/>
            </w:pPr>
            <w:r>
              <w:t> </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1,080</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1,080</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shd w:fill="CCEEFF" w:val="clear"/>
            <w:tcMar>
              <w:bottom w:w="0" w:type="dxa"/>
            </w:tcMar>
            <w:vAlign w:val="center"/>
          </w:tcPr>
          <w:p>
            <w:pPr>
              <w:pStyle w:val="TableContents"/>
              <w:bidi w:val="0"/>
              <w:spacing w:before="0" w:after="283"/>
              <w:ind w:left="0" w:right="0" w:hanging="0"/>
              <w:jc w:val="left"/>
            </w:pPr>
            <w:r>
              <w:t> </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5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1,080</w:t>
            </w:r>
          </w:p>
        </w:tc>
        <w:tc>
          <w:tcPr>
            <w:tcW w:w="67" w:type="dxa"/>
            <w:tcBorders/>
            <w:shd w:fill="CCEEFF" w:val="clear"/>
            <w:tcMar>
              <w:bottom w:w="0" w:type="dxa"/>
            </w:tcMar>
            <w:vAlign w:val="center"/>
          </w:tcPr>
          <w:p>
            <w:pPr>
              <w:pStyle w:val="TableContents"/>
              <w:bidi w:val="0"/>
              <w:spacing w:before="0" w:after="283"/>
              <w:jc w:val="left"/>
            </w:pPr>
            <w:r>
              <w:t> </w:t>
            </w:r>
          </w:p>
        </w:tc>
      </w:tr>
      <w:tr>
        <w:tc>
          <w:tcPr>
            <w:tcW w:w="175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06"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shd w:fill="FFFFFF" w:val="clear"/>
            <w:tcMar>
              <w:bottom w:w="0" w:type="dxa"/>
            </w:tcMar>
            <w:vAlign w:val="center"/>
          </w:tcPr>
          <w:p>
            <w:pPr>
              <w:pStyle w:val="TableContents"/>
              <w:bidi w:val="0"/>
              <w:spacing w:before="0" w:after="283"/>
              <w:ind w:left="0" w:right="0" w:hanging="0"/>
              <w:jc w:val="left"/>
            </w:pPr>
            <w:r>
              <w:t> </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5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1,080</w:t>
            </w:r>
          </w:p>
        </w:tc>
        <w:tc>
          <w:tcPr>
            <w:tcW w:w="67" w:type="dxa"/>
            <w:tcBorders/>
            <w:shd w:fill="FFFFFF" w:val="clear"/>
            <w:tcMar>
              <w:bottom w:w="0" w:type="dxa"/>
            </w:tcMar>
            <w:vAlign w:val="center"/>
          </w:tcPr>
          <w:p>
            <w:pPr>
              <w:pStyle w:val="TableContents"/>
              <w:bidi w:val="0"/>
              <w:spacing w:before="0" w:after="283"/>
              <w:jc w:val="left"/>
            </w:pPr>
            <w:r>
              <w:t> </w:t>
            </w:r>
          </w:p>
        </w:tc>
      </w:tr>
      <w:tr>
        <w:tc>
          <w:tcPr>
            <w:tcW w:w="175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06"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3"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75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5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1,080</w:t>
            </w:r>
          </w:p>
        </w:tc>
        <w:tc>
          <w:tcPr>
            <w:tcW w:w="67" w:type="dxa"/>
            <w:tcBorders/>
            <w:shd w:fill="CCEEFF" w:val="clear"/>
            <w:tcMar>
              <w:bottom w:w="0" w:type="dxa"/>
            </w:tcMar>
            <w:vAlign w:val="center"/>
          </w:tcPr>
          <w:p>
            <w:pPr>
              <w:pStyle w:val="TableContents"/>
              <w:bidi w:val="0"/>
              <w:spacing w:before="0" w:after="283"/>
              <w:jc w:val="left"/>
            </w:pPr>
            <w:r>
              <w:t> </w:t>
            </w:r>
          </w:p>
        </w:tc>
      </w:tr>
      <w:tr>
        <w:tc>
          <w:tcPr>
            <w:tcW w:w="3537" w:type="dxa"/>
            <w:gridSpan w:val="5"/>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Non-Affiliate Debt Investments — Healthcare information and services</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jc w:val="left"/>
            </w:pPr>
            <w:r>
              <w:t> </w:t>
            </w:r>
          </w:p>
        </w:tc>
        <w:tc>
          <w:tcPr>
            <w:tcW w:w="425"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3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jc w:val="left"/>
            </w:pPr>
            <w:r>
              <w:t> </w:t>
            </w:r>
          </w:p>
        </w:tc>
        <w:tc>
          <w:tcPr>
            <w:tcW w:w="310"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30"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599"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3"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75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83,330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5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49,028</w:t>
            </w:r>
          </w:p>
        </w:tc>
        <w:tc>
          <w:tcPr>
            <w:tcW w:w="67" w:type="dxa"/>
            <w:tcBorders/>
            <w:shd w:fill="FFFFFF" w:val="clear"/>
            <w:tcMar>
              <w:bottom w:w="0" w:type="dxa"/>
            </w:tcMar>
            <w:vAlign w:val="center"/>
          </w:tcPr>
          <w:p>
            <w:pPr>
              <w:pStyle w:val="TableContents"/>
              <w:bidi w:val="0"/>
              <w:spacing w:before="0" w:after="283"/>
              <w:jc w:val="left"/>
            </w:pPr>
            <w:r>
              <w:t> </w:t>
            </w:r>
          </w:p>
        </w:tc>
      </w:tr>
      <w:tr>
        <w:tc>
          <w:tcPr>
            <w:tcW w:w="3537" w:type="dxa"/>
            <w:gridSpan w:val="5"/>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4"/>
              </w:rPr>
              <w:t>Total Non- Affiliate Debt Investments</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jc w:val="left"/>
            </w:pPr>
            <w:r>
              <w:t> </w:t>
            </w:r>
          </w:p>
        </w:tc>
        <w:tc>
          <w:tcPr>
            <w:tcW w:w="425"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3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jc w:val="left"/>
            </w:pPr>
            <w:r>
              <w:t> </w:t>
            </w:r>
          </w:p>
        </w:tc>
        <w:tc>
          <w:tcPr>
            <w:tcW w:w="310"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30"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599"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4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656,443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610,616</w:t>
            </w:r>
          </w:p>
        </w:tc>
        <w:tc>
          <w:tcPr>
            <w:tcW w:w="67"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Notes to Consolidated Financial Statements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8862" w:type="dxa"/>
        <w:jc w:val="left"/>
        <w:tblInd w:w="0" w:type="dxa"/>
        <w:tblLayout w:type="fixed"/>
        <w:tblCellMar>
          <w:top w:w="0" w:type="dxa"/>
          <w:left w:w="0" w:type="dxa"/>
          <w:bottom w:w="0" w:type="dxa"/>
          <w:right w:w="0" w:type="dxa"/>
        </w:tblCellMar>
      </w:tblPr>
      <w:tblGrid>
        <w:gridCol w:w="3320"/>
        <w:gridCol w:w="60"/>
        <w:gridCol w:w="890"/>
        <w:gridCol w:w="60"/>
        <w:gridCol w:w="1445"/>
        <w:gridCol w:w="60"/>
        <w:gridCol w:w="86"/>
        <w:gridCol w:w="983"/>
        <w:gridCol w:w="60"/>
        <w:gridCol w:w="60"/>
        <w:gridCol w:w="230"/>
        <w:gridCol w:w="854"/>
        <w:gridCol w:w="60"/>
        <w:gridCol w:w="60"/>
        <w:gridCol w:w="119"/>
        <w:gridCol w:w="440"/>
        <w:gridCol w:w="75"/>
      </w:tblGrid>
      <w:tr>
        <w:tc>
          <w:tcPr>
            <w:tcW w:w="33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983"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5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w:t>
            </w:r>
          </w:p>
        </w:tc>
        <w:tc>
          <w:tcPr>
            <w:tcW w:w="75" w:type="dxa"/>
            <w:tcBorders/>
            <w:shd w:fill="FFFFFF" w:val="clear"/>
            <w:vAlign w:val="center"/>
          </w:tcPr>
          <w:p>
            <w:pPr>
              <w:pStyle w:val="TableContents"/>
              <w:bidi w:val="0"/>
              <w:spacing w:before="0" w:after="283"/>
              <w:jc w:val="left"/>
            </w:pPr>
            <w:r>
              <w:t> </w:t>
            </w:r>
          </w:p>
        </w:tc>
      </w:tr>
      <w:tr>
        <w:tc>
          <w:tcPr>
            <w:tcW w:w="33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vAlign w:val="center"/>
          </w:tcPr>
          <w:p>
            <w:pPr>
              <w:pStyle w:val="TableContents"/>
              <w:bidi w:val="0"/>
              <w:spacing w:before="0" w:after="283"/>
              <w:ind w:left="0" w:right="0" w:hanging="0"/>
              <w:jc w:val="center"/>
            </w:pPr>
            <w:r>
              <w:t> </w:t>
            </w:r>
          </w:p>
        </w:tc>
        <w:tc>
          <w:tcPr>
            <w:tcW w:w="8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vAlign w:val="center"/>
          </w:tcPr>
          <w:p>
            <w:pPr>
              <w:pStyle w:val="TableContents"/>
              <w:bidi w:val="0"/>
              <w:spacing w:before="0" w:after="283"/>
              <w:ind w:left="0" w:right="0" w:hanging="0"/>
              <w:jc w:val="center"/>
            </w:pPr>
            <w:r>
              <w:t> </w:t>
            </w:r>
          </w:p>
        </w:tc>
        <w:tc>
          <w:tcPr>
            <w:tcW w:w="14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vAlign w:val="center"/>
          </w:tcPr>
          <w:p>
            <w:pPr>
              <w:pStyle w:val="TableContents"/>
              <w:bidi w:val="0"/>
              <w:spacing w:before="0" w:after="283"/>
              <w:ind w:left="0" w:right="0" w:hanging="0"/>
              <w:jc w:val="left"/>
            </w:pPr>
            <w: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Number of Shares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Investments (6)(9)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Value (9)</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Warrant Investments — 3.9% (8)</w:t>
            </w:r>
          </w:p>
        </w:tc>
        <w:tc>
          <w:tcPr>
            <w:tcW w:w="60"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98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85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44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Warrants — Life Science — 2.2% (8)</w:t>
            </w:r>
          </w:p>
        </w:tc>
        <w:tc>
          <w:tcPr>
            <w:tcW w:w="60"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98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85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44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Avalo Therapeutics, Inc. (2)(5)(12)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4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BioVaxys Technology Corp. (5)(12)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Castle Creek Biosciences,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13,821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Imunon, Inc. (2)(5)(12)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19,671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KSQ Therapeutics,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134,614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79</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Mustang Bio, Inc. (2)(5)(12)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Native Microbials,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178,631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PDS Biotechnology Corporation (2)(5)(12)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381,625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Pelthos Therapeutics, Inc. (2)(5)(12)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65,488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223</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Provivi, Inc. (2)(12)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175,098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Provivi,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709,980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Stealth Biotherapeutics Inc. (2)(12)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454,544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Xeris Pharmaceuticals, Inc. (2)(5)(12)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126,000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909</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Aerin Medical, Inc. (2)(12)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1,818,183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1,343</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Avive Solutions,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2,152,080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w:t>
            </w:r>
          </w:p>
        </w:tc>
        <w:tc>
          <w:tcPr>
            <w:tcW w:w="75" w:type="dxa"/>
            <w:tcBorders/>
            <w:shd w:fill="CCEEFF" w:val="clear"/>
            <w:vAlign w:val="center"/>
          </w:tcPr>
          <w:p>
            <w:pPr>
              <w:pStyle w:val="TableContents"/>
              <w:bidi w:val="0"/>
              <w:spacing w:before="0" w:after="283"/>
              <w:ind w:left="0" w:right="0" w:hanging="0"/>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Bioness Medical, Inc. (2)(12)</w:t>
            </w:r>
          </w:p>
        </w:tc>
        <w:tc>
          <w:tcPr>
            <w:tcW w:w="60" w:type="dxa"/>
            <w:tcBorders/>
            <w:shd w:fill="FFFFFF" w:val="clear"/>
            <w:vAlign w:val="center"/>
          </w:tcPr>
          <w:p>
            <w:pPr>
              <w:pStyle w:val="TableContents"/>
              <w:bidi w:val="0"/>
              <w:spacing w:before="0" w:after="0"/>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0"/>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0"/>
              <w:ind w:left="0" w:right="0" w:hanging="0"/>
              <w:jc w:val="left"/>
            </w:pPr>
            <w:r>
              <w:t> </w:t>
            </w:r>
          </w:p>
        </w:tc>
        <w:tc>
          <w:tcPr>
            <w:tcW w:w="86" w:type="dxa"/>
            <w:tcBorders/>
            <w:shd w:fill="FFFFFF" w:val="clear"/>
            <w:vAlign w:val="center"/>
          </w:tcPr>
          <w:p>
            <w:pPr>
              <w:pStyle w:val="TableContents"/>
              <w:bidi w:val="0"/>
              <w:spacing w:before="0" w:after="0"/>
              <w:ind w:left="0" w:right="0" w:hanging="0"/>
              <w:jc w:val="left"/>
            </w:pPr>
            <w:r>
              <w:t> </w:t>
            </w:r>
          </w:p>
        </w:tc>
        <w:tc>
          <w:tcPr>
            <w:tcW w:w="983"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6,435</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30" w:type="dxa"/>
            <w:tcBorders/>
            <w:shd w:fill="FFFFFF" w:val="clear"/>
            <w:vAlign w:val="center"/>
          </w:tcPr>
          <w:p>
            <w:pPr>
              <w:pStyle w:val="TableContents"/>
              <w:bidi w:val="0"/>
              <w:spacing w:before="0" w:after="0"/>
              <w:ind w:left="0" w:right="0" w:hanging="0"/>
              <w:jc w:val="left"/>
            </w:pPr>
            <w:r>
              <w:t> </w:t>
            </w:r>
          </w:p>
        </w:tc>
        <w:tc>
          <w:tcPr>
            <w:tcW w:w="854"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19" w:type="dxa"/>
            <w:tcBorders/>
            <w:shd w:fill="FFFFFF" w:val="clear"/>
            <w:vAlign w:val="center"/>
          </w:tcPr>
          <w:p>
            <w:pPr>
              <w:pStyle w:val="TableContents"/>
              <w:bidi w:val="0"/>
              <w:spacing w:before="0" w:after="0"/>
              <w:ind w:left="0" w:right="0" w:hanging="0"/>
              <w:jc w:val="left"/>
            </w:pPr>
            <w:r>
              <w:t> </w:t>
            </w:r>
          </w:p>
        </w:tc>
        <w:tc>
          <w:tcPr>
            <w:tcW w:w="440"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w:t>
            </w:r>
          </w:p>
        </w:tc>
        <w:tc>
          <w:tcPr>
            <w:tcW w:w="75" w:type="dxa"/>
            <w:tcBorders/>
            <w:shd w:fill="FFFFFF" w:val="clear"/>
            <w:vAlign w:val="center"/>
          </w:tcPr>
          <w:p>
            <w:pPr>
              <w:pStyle w:val="TableContents"/>
              <w:bidi w:val="0"/>
              <w:spacing w:before="0" w:after="0"/>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Canary Medical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12,153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Ceribell, Inc. (2)(5)(12)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89,903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1,455</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Cognoa,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61,170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Cognoa, Inc. (2)(12)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7,152,669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Conventus Orthopaedics,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13,203,395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CSA Medical, Inc. (2)(12)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4,939,813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421</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CVRx, Inc. (2)(5)(12)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47,410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Hyperfine, Inc. (2)(5)(12)</w:t>
            </w:r>
          </w:p>
        </w:tc>
        <w:tc>
          <w:tcPr>
            <w:tcW w:w="60" w:type="dxa"/>
            <w:tcBorders/>
            <w:shd w:fill="FFFFFF" w:val="clear"/>
            <w:vAlign w:val="center"/>
          </w:tcPr>
          <w:p>
            <w:pPr>
              <w:pStyle w:val="TableContents"/>
              <w:bidi w:val="0"/>
              <w:spacing w:before="0" w:after="283"/>
              <w:ind w:left="0" w:right="0" w:hanging="0"/>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562,500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Infobionic, Inc. (2)(12)</w:t>
            </w:r>
          </w:p>
        </w:tc>
        <w:tc>
          <w:tcPr>
            <w:tcW w:w="60" w:type="dxa"/>
            <w:tcBorders/>
            <w:shd w:fill="CCEEFF" w:val="clear"/>
            <w:vAlign w:val="center"/>
          </w:tcPr>
          <w:p>
            <w:pPr>
              <w:pStyle w:val="TableContents"/>
              <w:bidi w:val="0"/>
              <w:spacing w:before="0" w:after="283"/>
              <w:ind w:left="0" w:right="0" w:hanging="0"/>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9,605,358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1,691</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Magnolia Medical Technologies, Inc. (2)(12)</w:t>
            </w:r>
          </w:p>
        </w:tc>
        <w:tc>
          <w:tcPr>
            <w:tcW w:w="60"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983"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900,043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194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44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260</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Meditrina, Inc. (12)</w:t>
            </w:r>
          </w:p>
        </w:tc>
        <w:tc>
          <w:tcPr>
            <w:tcW w:w="60"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983"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233,993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89</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Mobia Medical, Inc. fka Microtransponder, Inc. (2)(5)(12)</w:t>
            </w:r>
          </w:p>
        </w:tc>
        <w:tc>
          <w:tcPr>
            <w:tcW w:w="60"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983"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29,622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44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74</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Onkos Surgical, Inc. (2)(12)</w:t>
            </w:r>
          </w:p>
        </w:tc>
        <w:tc>
          <w:tcPr>
            <w:tcW w:w="60"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983"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602,129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266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261</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Ossio, Inc. (2)(12)</w:t>
            </w:r>
          </w:p>
        </w:tc>
        <w:tc>
          <w:tcPr>
            <w:tcW w:w="60"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983"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37,849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44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139</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Sonex Health, Inc. (2)(12)</w:t>
            </w:r>
          </w:p>
        </w:tc>
        <w:tc>
          <w:tcPr>
            <w:tcW w:w="60"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983"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6,706,925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443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356</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Spineology, Inc. (2)(12)</w:t>
            </w:r>
          </w:p>
        </w:tc>
        <w:tc>
          <w:tcPr>
            <w:tcW w:w="60"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983"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27,139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135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440" w:type="dxa"/>
            <w:tcBorders/>
            <w:shd w:fill="FFFFFF" w:val="clear"/>
            <w:vAlign w:val="center"/>
          </w:tcPr>
          <w:p>
            <w:pPr>
              <w:pStyle w:val="TableContents"/>
              <w:bidi w:val="0"/>
              <w:spacing w:before="0" w:after="283"/>
              <w:jc w:val="right"/>
            </w:pPr>
            <w:r>
              <w:t>—</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Spineology, Inc. (2)(12)</w:t>
            </w:r>
          </w:p>
        </w:tc>
        <w:tc>
          <w:tcPr>
            <w:tcW w:w="60"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983"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45,101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180</w:t>
            </w:r>
          </w:p>
        </w:tc>
        <w:tc>
          <w:tcPr>
            <w:tcW w:w="75"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VERO Biotech LLC (2)(12)</w:t>
            </w:r>
          </w:p>
        </w:tc>
        <w:tc>
          <w:tcPr>
            <w:tcW w:w="60"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983"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3,701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44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125</w:t>
            </w:r>
          </w:p>
        </w:tc>
        <w:tc>
          <w:tcPr>
            <w:tcW w:w="75"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Total Non-Affiliate Warrants — Life Science</w:t>
            </w:r>
          </w:p>
        </w:tc>
        <w:tc>
          <w:tcPr>
            <w:tcW w:w="60"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1445"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9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6,307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7,946</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Notes to Consolidated Financial Statements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2694"/>
        <w:gridCol w:w="60"/>
        <w:gridCol w:w="2163"/>
        <w:gridCol w:w="60"/>
        <w:gridCol w:w="1655"/>
        <w:gridCol w:w="60"/>
        <w:gridCol w:w="95"/>
        <w:gridCol w:w="1174"/>
        <w:gridCol w:w="60"/>
        <w:gridCol w:w="60"/>
        <w:gridCol w:w="156"/>
        <w:gridCol w:w="1115"/>
        <w:gridCol w:w="60"/>
        <w:gridCol w:w="60"/>
        <w:gridCol w:w="82"/>
        <w:gridCol w:w="586"/>
        <w:gridCol w:w="65"/>
      </w:tblGrid>
      <w:tr>
        <w:tc>
          <w:tcPr>
            <w:tcW w:w="269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63"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655"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174"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w:t>
            </w:r>
          </w:p>
        </w:tc>
        <w:tc>
          <w:tcPr>
            <w:tcW w:w="65" w:type="dxa"/>
            <w:tcBorders/>
            <w:shd w:fill="FFFFFF" w:val="clear"/>
            <w:vAlign w:val="center"/>
          </w:tcPr>
          <w:p>
            <w:pPr>
              <w:pStyle w:val="TableContents"/>
              <w:bidi w:val="0"/>
              <w:spacing w:before="0" w:after="283"/>
              <w:jc w:val="left"/>
            </w:pPr>
            <w:r>
              <w:t> </w:t>
            </w:r>
          </w:p>
        </w:tc>
      </w:tr>
      <w:tr>
        <w:tc>
          <w:tcPr>
            <w:tcW w:w="26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 Company (1)(3)</w:t>
            </w:r>
          </w:p>
        </w:tc>
        <w:tc>
          <w:tcPr>
            <w:tcW w:w="60" w:type="dxa"/>
            <w:tcBorders/>
            <w:shd w:fill="FFFFFF" w:val="clear"/>
            <w:vAlign w:val="center"/>
          </w:tcPr>
          <w:p>
            <w:pPr>
              <w:pStyle w:val="TableContents"/>
              <w:bidi w:val="0"/>
              <w:spacing w:before="0" w:after="283"/>
              <w:ind w:left="0" w:right="0" w:hanging="0"/>
              <w:jc w:val="center"/>
            </w:pPr>
            <w:r>
              <w:t> </w:t>
            </w:r>
          </w:p>
        </w:tc>
        <w:tc>
          <w:tcPr>
            <w:tcW w:w="216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Sector</w:t>
            </w:r>
          </w:p>
        </w:tc>
        <w:tc>
          <w:tcPr>
            <w:tcW w:w="60" w:type="dxa"/>
            <w:tcBorders/>
            <w:shd w:fill="FFFFFF" w:val="clear"/>
            <w:vAlign w:val="center"/>
          </w:tcPr>
          <w:p>
            <w:pPr>
              <w:pStyle w:val="TableContents"/>
              <w:bidi w:val="0"/>
              <w:spacing w:before="0" w:after="283"/>
              <w:ind w:left="0" w:right="0" w:hanging="0"/>
              <w:jc w:val="center"/>
            </w:pPr>
            <w:r>
              <w:t> </w:t>
            </w:r>
          </w:p>
        </w:tc>
        <w:tc>
          <w:tcPr>
            <w:tcW w:w="16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Type of Investment (7)</w:t>
            </w:r>
          </w:p>
        </w:tc>
        <w:tc>
          <w:tcPr>
            <w:tcW w:w="60" w:type="dxa"/>
            <w:tcBorders/>
            <w:shd w:fill="FFFFFF" w:val="clear"/>
            <w:vAlign w:val="center"/>
          </w:tcPr>
          <w:p>
            <w:pPr>
              <w:pStyle w:val="TableContents"/>
              <w:bidi w:val="0"/>
              <w:spacing w:before="0" w:after="283"/>
              <w:ind w:left="0" w:right="0" w:hanging="0"/>
              <w:jc w:val="left"/>
            </w:pPr>
            <w: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Number of Shares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Investments (6)(9)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Value (9)</w:t>
            </w:r>
          </w:p>
        </w:tc>
        <w:tc>
          <w:tcPr>
            <w:tcW w:w="65" w:type="dxa"/>
            <w:tcBorders/>
            <w:shd w:fill="FFFFFF" w:val="clear"/>
            <w:vAlign w:val="center"/>
          </w:tcPr>
          <w:p>
            <w:pPr>
              <w:pStyle w:val="TableContents"/>
              <w:bidi w:val="0"/>
              <w:spacing w:before="0" w:after="283"/>
              <w:jc w:val="left"/>
            </w:pPr>
            <w:r>
              <w:t> </w:t>
            </w:r>
          </w:p>
        </w:tc>
      </w:tr>
      <w:tr>
        <w:tc>
          <w:tcPr>
            <w:tcW w:w="6632"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6"/>
              </w:rPr>
              <w:t>Non-Affiliate Warrants — Sustainability — 0.0% (8)</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586" w:type="dxa"/>
            <w:tcBorders/>
            <w:shd w:fill="CCEEFF" w:val="clear"/>
            <w:vAlign w:val="center"/>
          </w:tcPr>
          <w:p>
            <w:pPr>
              <w:pStyle w:val="TableContents"/>
              <w:bidi w:val="0"/>
              <w:spacing w:before="0" w:after="283"/>
              <w:jc w:val="left"/>
            </w:pPr>
            <w:r>
              <w:rPr>
                <w:rStyle w:val="Emphasis"/>
              </w:rPr>
              <w:t> </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NeoVolta, Inc. (2)(5)(12)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Other Sustainability</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727,272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Pivot Bio,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Energy Efficiency</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210,418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LiquiGlide,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Other Sustainability</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122,717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Temperpack Technologies,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Other Sustainability</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6632"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Total Non-Affiliate Warrants — Sustainability</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174"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111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58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5" w:type="dxa"/>
            <w:tcBorders/>
            <w:shd w:fill="FFFFFF" w:val="clear"/>
            <w:vAlign w:val="center"/>
          </w:tcPr>
          <w:p>
            <w:pPr>
              <w:pStyle w:val="TableContents"/>
              <w:bidi w:val="0"/>
              <w:spacing w:before="0" w:after="283"/>
              <w:jc w:val="left"/>
            </w:pPr>
            <w:r>
              <w:t> </w:t>
            </w:r>
          </w:p>
        </w:tc>
      </w:tr>
      <w:tr>
        <w:tc>
          <w:tcPr>
            <w:tcW w:w="6632"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6"/>
              </w:rPr>
              <w:t>Non-Affiliate Warrants — Technology — 1.6% (8)</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586" w:type="dxa"/>
            <w:tcBorders/>
            <w:shd w:fill="CCEEFF" w:val="clear"/>
            <w:vAlign w:val="center"/>
          </w:tcPr>
          <w:p>
            <w:pPr>
              <w:pStyle w:val="TableContents"/>
              <w:bidi w:val="0"/>
              <w:spacing w:before="0" w:after="283"/>
              <w:jc w:val="left"/>
            </w:pPr>
            <w:r>
              <w:rPr>
                <w:rStyle w:val="Emphasis"/>
              </w:rPr>
              <w:t> </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Axiom Space Holdings,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Communications</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Intelepeer Holdings,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Communications</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2,936,535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 NYC,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pPr>
            <w:r>
              <w:t>—</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Clara Foods Co.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46,745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Divergent Technologies,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Divergent Technologies,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71,014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728</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Havenly,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1,633,929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2,969</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MyForest Foods Co.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Primary Kids,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553,778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pPr>
            <w:r>
              <w:t>—</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Quip NYC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10,833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Updater, Inc.(2)(12)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108,333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pPr>
            <w:r>
              <w:t>—</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CPG Beyond,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Data Storage</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Silk,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Data Storage</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394,110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Global Worldwide LLC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Internet and Media</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245,810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Rocket Lawyer Incorporated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Internet and Media</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261,721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Skillshare,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Internet and Media</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139,316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Liqid,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Networking</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344,102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pPr>
            <w:r>
              <w:t>—</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Apkudo,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31,848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BriteCore Holdings,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194,570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546</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Crafty Holdings,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274,243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Dropoff,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723,228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pPr>
            <w:r>
              <w:t>—</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Everstream Holdings, LLC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Lemongrass Holdings,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202,616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Noodle Partners,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84,037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2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OneNetworks, Inc. (2)(12)</w:t>
            </w:r>
          </w:p>
        </w:tc>
        <w:tc>
          <w:tcPr>
            <w:tcW w:w="60" w:type="dxa"/>
            <w:tcBorders/>
            <w:shd w:fill="FFFFFF" w:val="clear"/>
            <w:vAlign w:val="center"/>
          </w:tcPr>
          <w:p>
            <w:pPr>
              <w:pStyle w:val="TableContents"/>
              <w:bidi w:val="0"/>
              <w:spacing w:before="0" w:after="283"/>
              <w:ind w:left="0" w:right="0" w:hanging="0"/>
              <w:jc w:val="left"/>
            </w:pPr>
            <w:r>
              <w:t> </w:t>
            </w:r>
          </w:p>
        </w:tc>
        <w:tc>
          <w:tcPr>
            <w:tcW w:w="21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65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184,646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6"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pPr>
            <w:r>
              <w:t>—</w:t>
            </w:r>
          </w:p>
        </w:tc>
        <w:tc>
          <w:tcPr>
            <w:tcW w:w="65" w:type="dxa"/>
            <w:tcBorders/>
            <w:shd w:fill="FFFFFF" w:val="clear"/>
            <w:vAlign w:val="center"/>
          </w:tcPr>
          <w:p>
            <w:pPr>
              <w:pStyle w:val="TableContents"/>
              <w:bidi w:val="0"/>
              <w:spacing w:before="0" w:after="283"/>
              <w:jc w:val="left"/>
            </w:pPr>
            <w:r>
              <w:t> </w:t>
            </w:r>
          </w:p>
        </w:tc>
      </w:tr>
      <w:tr>
        <w:tc>
          <w:tcPr>
            <w:tcW w:w="26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Revinate Holdings, Inc. (2)(12)</w:t>
            </w:r>
          </w:p>
        </w:tc>
        <w:tc>
          <w:tcPr>
            <w:tcW w:w="60" w:type="dxa"/>
            <w:tcBorders/>
            <w:shd w:fill="CCEEFF" w:val="clear"/>
            <w:vAlign w:val="center"/>
          </w:tcPr>
          <w:p>
            <w:pPr>
              <w:pStyle w:val="TableContents"/>
              <w:bidi w:val="0"/>
              <w:spacing w:before="0" w:after="283"/>
              <w:ind w:left="0" w:right="0" w:hanging="0"/>
              <w:jc w:val="left"/>
            </w:pPr>
            <w:r>
              <w:t> </w:t>
            </w:r>
          </w:p>
        </w:tc>
        <w:tc>
          <w:tcPr>
            <w:tcW w:w="21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65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6"/>
              </w:rPr>
              <w:t>Preferred Stock Warrant</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682,034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6"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6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667"/>
        <w:gridCol w:w="60"/>
        <w:gridCol w:w="1802"/>
        <w:gridCol w:w="60"/>
        <w:gridCol w:w="1305"/>
        <w:gridCol w:w="60"/>
        <w:gridCol w:w="75"/>
        <w:gridCol w:w="1046"/>
        <w:gridCol w:w="60"/>
        <w:gridCol w:w="60"/>
        <w:gridCol w:w="167"/>
        <w:gridCol w:w="929"/>
        <w:gridCol w:w="60"/>
        <w:gridCol w:w="60"/>
        <w:gridCol w:w="110"/>
        <w:gridCol w:w="605"/>
        <w:gridCol w:w="79"/>
      </w:tblGrid>
      <w:tr>
        <w:tc>
          <w:tcPr>
            <w:tcW w:w="36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02"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305"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9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w:t>
            </w:r>
          </w:p>
        </w:tc>
        <w:tc>
          <w:tcPr>
            <w:tcW w:w="79" w:type="dxa"/>
            <w:tcBorders/>
            <w:shd w:fill="FFFFFF" w:val="clear"/>
            <w:vAlign w:val="center"/>
          </w:tcPr>
          <w:p>
            <w:pPr>
              <w:pStyle w:val="TableContents"/>
              <w:bidi w:val="0"/>
              <w:spacing w:before="0" w:after="283"/>
              <w:jc w:val="left"/>
            </w:pPr>
            <w:r>
              <w:t> </w:t>
            </w:r>
          </w:p>
        </w:tc>
      </w:tr>
      <w:tr>
        <w:tc>
          <w:tcPr>
            <w:tcW w:w="36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 Company (1)(3)</w:t>
            </w:r>
          </w:p>
        </w:tc>
        <w:tc>
          <w:tcPr>
            <w:tcW w:w="60" w:type="dxa"/>
            <w:tcBorders/>
            <w:shd w:fill="FFFFFF" w:val="clear"/>
            <w:vAlign w:val="center"/>
          </w:tcPr>
          <w:p>
            <w:pPr>
              <w:pStyle w:val="TableContents"/>
              <w:bidi w:val="0"/>
              <w:spacing w:before="0" w:after="283"/>
              <w:ind w:left="0" w:right="0" w:hanging="0"/>
              <w:jc w:val="center"/>
            </w:pPr>
            <w:r>
              <w:t> </w:t>
            </w:r>
          </w:p>
        </w:tc>
        <w:tc>
          <w:tcPr>
            <w:tcW w:w="180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Sector</w:t>
            </w:r>
          </w:p>
        </w:tc>
        <w:tc>
          <w:tcPr>
            <w:tcW w:w="60" w:type="dxa"/>
            <w:tcBorders/>
            <w:shd w:fill="FFFFFF" w:val="clear"/>
            <w:vAlign w:val="center"/>
          </w:tcPr>
          <w:p>
            <w:pPr>
              <w:pStyle w:val="TableContents"/>
              <w:bidi w:val="0"/>
              <w:spacing w:before="0" w:after="283"/>
              <w:ind w:left="0" w:right="0" w:hanging="0"/>
              <w:jc w:val="center"/>
            </w:pPr>
            <w:r>
              <w:t> </w:t>
            </w:r>
          </w:p>
        </w:tc>
        <w:tc>
          <w:tcPr>
            <w:tcW w:w="13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Type of Investment (7)</w:t>
            </w:r>
          </w:p>
        </w:tc>
        <w:tc>
          <w:tcPr>
            <w:tcW w:w="60" w:type="dxa"/>
            <w:tcBorders/>
            <w:shd w:fill="FFFFFF" w:val="clear"/>
            <w:vAlign w:val="center"/>
          </w:tcPr>
          <w:p>
            <w:pPr>
              <w:pStyle w:val="TableContents"/>
              <w:bidi w:val="0"/>
              <w:spacing w:before="0" w:after="283"/>
              <w:ind w:left="0" w:right="0" w:hanging="0"/>
              <w:jc w:val="left"/>
            </w:pPr>
            <w:r>
              <w:t> </w:t>
            </w:r>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Number of Shares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Investments (6)(9)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Value (9)</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SIGNiX, Inc. (12)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61,064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pPr>
            <w:r>
              <w:t>—</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Slingshot Aerospace, Inc. (2)(12)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309,208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Stellar Cyber, Inc. (2)(12)</w:t>
            </w:r>
          </w:p>
        </w:tc>
        <w:tc>
          <w:tcPr>
            <w:tcW w:w="60" w:type="dxa"/>
            <w:tcBorders/>
            <w:shd w:fill="CCEEFF" w:val="clear"/>
            <w:vAlign w:val="center"/>
          </w:tcPr>
          <w:p>
            <w:pPr>
              <w:pStyle w:val="TableContents"/>
              <w:bidi w:val="0"/>
              <w:spacing w:before="0" w:after="283"/>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180,021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9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Supply Network Visibility Holdings LLC (2)(12)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pPr>
            <w:r>
              <w:t>—</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Topia Mobility, Inc. (2)(12)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30,496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pPr>
            <w:r>
              <w:t>—</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Ursa Space Systems, Inc. (2)(12)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1,075,072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Viken Detection Corporation (2)(12)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345,443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w:t>
            </w:r>
          </w:p>
        </w:tc>
        <w:tc>
          <w:tcPr>
            <w:tcW w:w="79" w:type="dxa"/>
            <w:tcBorders/>
            <w:shd w:fill="CCEEFF" w:val="clear"/>
            <w:vAlign w:val="center"/>
          </w:tcPr>
          <w:p>
            <w:pPr>
              <w:pStyle w:val="TableContents"/>
              <w:bidi w:val="0"/>
              <w:spacing w:before="0" w:after="283"/>
              <w:jc w:val="left"/>
            </w:pPr>
            <w:r>
              <w:t> </w:t>
            </w:r>
          </w:p>
        </w:tc>
      </w:tr>
      <w:tr>
        <w:tc>
          <w:tcPr>
            <w:tcW w:w="6894"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Total Non-Affiliate Warrants — Technology</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5,681</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Non-Affiliate Warrants — Healthcare information and services — 0.1% (8)</w:t>
            </w:r>
          </w:p>
        </w:tc>
        <w:tc>
          <w:tcPr>
            <w:tcW w:w="60" w:type="dxa"/>
            <w:tcBorders/>
            <w:shd w:fill="CCEEFF" w:val="clear"/>
            <w:vAlign w:val="center"/>
          </w:tcPr>
          <w:p>
            <w:pPr>
              <w:pStyle w:val="TableContents"/>
              <w:bidi w:val="0"/>
              <w:spacing w:before="0" w:after="283"/>
              <w:jc w:val="left"/>
            </w:pPr>
            <w:r>
              <w:t> </w:t>
            </w:r>
          </w:p>
        </w:tc>
        <w:tc>
          <w:tcPr>
            <w:tcW w:w="180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92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GT Medical Technologies, Inc. (2)(12)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Other Healthcare</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326,640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BrightInsight, Inc. (2)(12)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232,871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pPr>
            <w:r>
              <w:t>—</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Elligo Health Research, Inc. (2)(12)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652,250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pPr>
            <w:r>
              <w:t>—</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SafelyYou, Inc. (2)(12)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206,983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79" w:type="dxa"/>
            <w:tcBorders/>
            <w:shd w:fill="CCEEFF" w:val="clear"/>
            <w:vAlign w:val="center"/>
          </w:tcPr>
          <w:p>
            <w:pPr>
              <w:pStyle w:val="TableContents"/>
              <w:bidi w:val="0"/>
              <w:spacing w:before="0" w:after="283"/>
              <w:jc w:val="left"/>
            </w:pPr>
            <w:r>
              <w:t> </w:t>
            </w:r>
          </w:p>
        </w:tc>
      </w:tr>
      <w:tr>
        <w:tc>
          <w:tcPr>
            <w:tcW w:w="6894"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Total Non-Affiliate Warrants — Healthcare information and services</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w:t>
            </w:r>
          </w:p>
        </w:tc>
        <w:tc>
          <w:tcPr>
            <w:tcW w:w="79" w:type="dxa"/>
            <w:tcBorders/>
            <w:shd w:fill="FFFFFF" w:val="clear"/>
            <w:vAlign w:val="center"/>
          </w:tcPr>
          <w:p>
            <w:pPr>
              <w:pStyle w:val="TableContents"/>
              <w:bidi w:val="0"/>
              <w:spacing w:before="0" w:after="283"/>
              <w:jc w:val="left"/>
            </w:pPr>
            <w:r>
              <w:t> </w:t>
            </w:r>
          </w:p>
        </w:tc>
      </w:tr>
      <w:tr>
        <w:tc>
          <w:tcPr>
            <w:tcW w:w="6894"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6"/>
              </w:rPr>
              <w:t>Total Non-Affiliate Warrants</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15,703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14,090</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Non-Affiliate Other Investments — 0.5% (8)</w:t>
            </w:r>
          </w:p>
        </w:tc>
        <w:tc>
          <w:tcPr>
            <w:tcW w:w="60" w:type="dxa"/>
            <w:tcBorders/>
            <w:shd w:fill="FFFFFF" w:val="clear"/>
            <w:vAlign w:val="center"/>
          </w:tcPr>
          <w:p>
            <w:pPr>
              <w:pStyle w:val="TableContents"/>
              <w:bidi w:val="0"/>
              <w:spacing w:before="0" w:after="283"/>
              <w:jc w:val="left"/>
            </w:pPr>
            <w:r>
              <w:t> </w:t>
            </w:r>
          </w:p>
        </w:tc>
        <w:tc>
          <w:tcPr>
            <w:tcW w:w="180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92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605"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Non-Affiliate Other Investments — Life Science — 0.5% (8)</w:t>
            </w:r>
          </w:p>
        </w:tc>
        <w:tc>
          <w:tcPr>
            <w:tcW w:w="60" w:type="dxa"/>
            <w:tcBorders/>
            <w:shd w:fill="CCEEFF" w:val="clear"/>
            <w:vAlign w:val="center"/>
          </w:tcPr>
          <w:p>
            <w:pPr>
              <w:pStyle w:val="TableContents"/>
              <w:bidi w:val="0"/>
              <w:spacing w:before="0" w:after="283"/>
              <w:jc w:val="left"/>
            </w:pPr>
            <w:r>
              <w:t> </w:t>
            </w:r>
          </w:p>
        </w:tc>
        <w:tc>
          <w:tcPr>
            <w:tcW w:w="180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92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BioVaxys Technology Corp. (5)(12)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Royalty Agreement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pPr>
            <w:r>
              <w:t>—</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Emalex Biosciences, Inc. (2)(12)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Royalty Agreement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458</w:t>
            </w:r>
          </w:p>
        </w:tc>
        <w:tc>
          <w:tcPr>
            <w:tcW w:w="79" w:type="dxa"/>
            <w:tcBorders/>
            <w:shd w:fill="CCEEFF" w:val="clear"/>
            <w:vAlign w:val="center"/>
          </w:tcPr>
          <w:p>
            <w:pPr>
              <w:pStyle w:val="TableContents"/>
              <w:bidi w:val="0"/>
              <w:spacing w:before="0" w:after="283"/>
              <w:ind w:left="0" w:right="0" w:hanging="0"/>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Tallac Therapeutics, Inc. (12)</w:t>
            </w:r>
          </w:p>
        </w:tc>
        <w:tc>
          <w:tcPr>
            <w:tcW w:w="60" w:type="dxa"/>
            <w:tcBorders/>
            <w:shd w:fill="FFFFFF" w:val="clear"/>
            <w:vAlign w:val="center"/>
          </w:tcPr>
          <w:p>
            <w:pPr>
              <w:pStyle w:val="TableContents"/>
              <w:bidi w:val="0"/>
              <w:spacing w:before="0" w:after="0"/>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FFFFFF" w:val="clear"/>
            <w:vAlign w:val="center"/>
          </w:tcPr>
          <w:p>
            <w:pPr>
              <w:pStyle w:val="TableContents"/>
              <w:bidi w:val="0"/>
              <w:spacing w:before="0" w:after="0"/>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Royalty Agreement</w:t>
            </w:r>
          </w:p>
        </w:tc>
        <w:tc>
          <w:tcPr>
            <w:tcW w:w="60" w:type="dxa"/>
            <w:tcBorders/>
            <w:shd w:fill="FFFFFF" w:val="clear"/>
            <w:vAlign w:val="center"/>
          </w:tcPr>
          <w:p>
            <w:pPr>
              <w:pStyle w:val="TableContents"/>
              <w:bidi w:val="0"/>
              <w:spacing w:before="0" w:after="0"/>
              <w:ind w:left="0" w:right="0" w:hanging="0"/>
              <w:jc w:val="left"/>
            </w:pPr>
            <w:r>
              <w:t> </w:t>
            </w:r>
          </w:p>
        </w:tc>
        <w:tc>
          <w:tcPr>
            <w:tcW w:w="75" w:type="dxa"/>
            <w:tcBorders/>
            <w:shd w:fill="FFFFFF" w:val="clear"/>
            <w:vAlign w:val="center"/>
          </w:tcPr>
          <w:p>
            <w:pPr>
              <w:pStyle w:val="TableContents"/>
              <w:bidi w:val="0"/>
              <w:spacing w:before="0" w:after="0"/>
              <w:ind w:left="0" w:right="0" w:hanging="0"/>
              <w:jc w:val="left"/>
            </w:pPr>
            <w:r>
              <w:t> </w:t>
            </w:r>
          </w:p>
        </w:tc>
        <w:tc>
          <w:tcPr>
            <w:tcW w:w="1046" w:type="dxa"/>
            <w:tcBorders/>
            <w:shd w:fill="FFFFFF" w:val="clear"/>
            <w:vAlign w:val="center"/>
          </w:tcPr>
          <w:p>
            <w:pPr>
              <w:pStyle w:val="TableContents"/>
              <w:bidi w:val="0"/>
              <w:spacing w:before="0" w:after="0"/>
              <w:ind w:left="0" w:right="0" w:hanging="0"/>
              <w:jc w:val="right"/>
            </w:pPr>
            <w:r>
              <w:rPr>
                <w:rStyle w:val="Emphasis"/>
              </w:rPr>
              <w:t> </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67" w:type="dxa"/>
            <w:tcBorders/>
            <w:shd w:fill="FFFFFF" w:val="clear"/>
            <w:vAlign w:val="center"/>
          </w:tcPr>
          <w:p>
            <w:pPr>
              <w:pStyle w:val="TableContents"/>
              <w:bidi w:val="0"/>
              <w:spacing w:before="0" w:after="0"/>
              <w:ind w:left="0" w:right="0" w:hanging="0"/>
              <w:jc w:val="left"/>
            </w:pPr>
            <w:r>
              <w:t> </w:t>
            </w:r>
          </w:p>
        </w:tc>
        <w:tc>
          <w:tcPr>
            <w:tcW w:w="929" w:type="dxa"/>
            <w:tcBorders/>
            <w:shd w:fill="FFFFFF" w:val="clear"/>
            <w:vAlign w:val="center"/>
          </w:tcPr>
          <w:p>
            <w:pPr>
              <w:pStyle w:val="TableContents"/>
              <w:bidi w:val="0"/>
              <w:spacing w:before="0" w:after="0"/>
              <w:ind w:left="0" w:right="0" w:hanging="0"/>
              <w:jc w:val="right"/>
            </w:pPr>
            <w:r>
              <w:t>—</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10" w:type="dxa"/>
            <w:tcBorders/>
            <w:shd w:fill="FFFFFF" w:val="clear"/>
            <w:vAlign w:val="center"/>
          </w:tcPr>
          <w:p>
            <w:pPr>
              <w:pStyle w:val="TableContents"/>
              <w:bidi w:val="0"/>
              <w:spacing w:before="0" w:after="0"/>
              <w:ind w:left="0" w:right="0" w:hanging="0"/>
              <w:jc w:val="left"/>
            </w:pPr>
            <w:r>
              <w:t> </w:t>
            </w:r>
          </w:p>
        </w:tc>
        <w:tc>
          <w:tcPr>
            <w:tcW w:w="605" w:type="dxa"/>
            <w:tcBorders/>
            <w:shd w:fill="FFFFFF" w:val="clear"/>
            <w:vAlign w:val="center"/>
          </w:tcPr>
          <w:p>
            <w:pPr>
              <w:pStyle w:val="TableContents"/>
              <w:bidi w:val="0"/>
              <w:spacing w:before="0" w:after="0"/>
              <w:ind w:left="0" w:right="0" w:hanging="0"/>
              <w:jc w:val="right"/>
            </w:pPr>
            <w:r>
              <w:t>—</w:t>
            </w:r>
          </w:p>
        </w:tc>
        <w:tc>
          <w:tcPr>
            <w:tcW w:w="79" w:type="dxa"/>
            <w:tcBorders/>
            <w:shd w:fill="FFFFFF" w:val="clear"/>
            <w:vAlign w:val="center"/>
          </w:tcPr>
          <w:p>
            <w:pPr>
              <w:pStyle w:val="TableContents"/>
              <w:bidi w:val="0"/>
              <w:spacing w:before="0" w:after="0"/>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Aerobiotix, LLC (12)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Royalty Agreement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1,060</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Lumithera, Inc. (12)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Royalty Agreement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ZetrOz, Inc. (12)</w:t>
            </w:r>
          </w:p>
        </w:tc>
        <w:tc>
          <w:tcPr>
            <w:tcW w:w="60" w:type="dxa"/>
            <w:tcBorders/>
            <w:shd w:fill="CCEEFF" w:val="clear"/>
            <w:vAlign w:val="center"/>
          </w:tcPr>
          <w:p>
            <w:pPr>
              <w:pStyle w:val="TableContents"/>
              <w:bidi w:val="0"/>
              <w:spacing w:before="0" w:after="283"/>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CCEEFF" w:val="clear"/>
            <w:vAlign w:val="center"/>
          </w:tcPr>
          <w:p>
            <w:pPr>
              <w:pStyle w:val="TableContents"/>
              <w:bidi w:val="0"/>
              <w:spacing w:before="0" w:after="283"/>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Royalty Agreement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929"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right"/>
            </w:pPr>
            <w:r>
              <w:t>—</w:t>
            </w:r>
          </w:p>
        </w:tc>
        <w:tc>
          <w:tcPr>
            <w:tcW w:w="79" w:type="dxa"/>
            <w:tcBorders/>
            <w:shd w:fill="CCEEFF" w:val="clear"/>
            <w:vAlign w:val="center"/>
          </w:tcPr>
          <w:p>
            <w:pPr>
              <w:pStyle w:val="TableContents"/>
              <w:bidi w:val="0"/>
              <w:spacing w:before="0" w:after="283"/>
              <w:jc w:val="left"/>
            </w:pPr>
            <w:r>
              <w:t> </w:t>
            </w:r>
          </w:p>
        </w:tc>
      </w:tr>
      <w:tr>
        <w:tc>
          <w:tcPr>
            <w:tcW w:w="6894"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Total Non-Affiliate Other Investments — Life Science</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2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6,982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60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1,869</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Non-Affiliate Other Investments — Technology — 0.0% (8)</w:t>
            </w:r>
          </w:p>
        </w:tc>
        <w:tc>
          <w:tcPr>
            <w:tcW w:w="60" w:type="dxa"/>
            <w:tcBorders/>
            <w:shd w:fill="CCEEFF" w:val="clear"/>
            <w:vAlign w:val="center"/>
          </w:tcPr>
          <w:p>
            <w:pPr>
              <w:pStyle w:val="TableContents"/>
              <w:bidi w:val="0"/>
              <w:spacing w:before="0" w:after="283"/>
              <w:jc w:val="left"/>
            </w:pPr>
            <w:r>
              <w:t> </w:t>
            </w:r>
          </w:p>
        </w:tc>
        <w:tc>
          <w:tcPr>
            <w:tcW w:w="180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92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Better Place Forests Co. (12)(16)</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Other Investment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79" w:type="dxa"/>
            <w:tcBorders/>
            <w:shd w:fill="FFFFFF" w:val="clear"/>
            <w:vAlign w:val="center"/>
          </w:tcPr>
          <w:p>
            <w:pPr>
              <w:pStyle w:val="TableContents"/>
              <w:bidi w:val="0"/>
              <w:spacing w:before="0" w:after="283"/>
              <w:jc w:val="left"/>
            </w:pPr>
            <w:r>
              <w:t> </w:t>
            </w:r>
          </w:p>
        </w:tc>
      </w:tr>
      <w:tr>
        <w:tc>
          <w:tcPr>
            <w:tcW w:w="6894"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Total Non-Affiliate Other Investments — Technology</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79" w:type="dxa"/>
            <w:tcBorders/>
            <w:shd w:fill="CCEEFF" w:val="clear"/>
            <w:vAlign w:val="center"/>
          </w:tcPr>
          <w:p>
            <w:pPr>
              <w:pStyle w:val="TableContents"/>
              <w:bidi w:val="0"/>
              <w:spacing w:before="0" w:after="283"/>
              <w:jc w:val="left"/>
            </w:pPr>
            <w:r>
              <w:t> </w:t>
            </w:r>
          </w:p>
        </w:tc>
      </w:tr>
      <w:tr>
        <w:tc>
          <w:tcPr>
            <w:tcW w:w="6894"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6"/>
              </w:rPr>
              <w:t>Total Non-Affiliate Other Investments</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16,989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1,869</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Non-Affiliate Equity — 1.1% (8)</w:t>
            </w:r>
          </w:p>
        </w:tc>
        <w:tc>
          <w:tcPr>
            <w:tcW w:w="60" w:type="dxa"/>
            <w:tcBorders/>
            <w:shd w:fill="CCEEFF" w:val="clear"/>
            <w:vAlign w:val="center"/>
          </w:tcPr>
          <w:p>
            <w:pPr>
              <w:pStyle w:val="TableContents"/>
              <w:bidi w:val="0"/>
              <w:spacing w:before="0" w:after="283"/>
              <w:jc w:val="left"/>
            </w:pPr>
            <w:r>
              <w:t> </w:t>
            </w:r>
          </w:p>
        </w:tc>
        <w:tc>
          <w:tcPr>
            <w:tcW w:w="180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92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BioVaxys Technology Corp. (5)</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66,170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Cadrenal Therapeutics, Inc. (5)</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Castle Creek Biosciences, Inc. (12)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750</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Axiom Space Holdings, Inc. (12)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Communications</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306</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PebblePost, Inc. (2)(12)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Communications</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56,212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SnagAJob.com, Inc. (12)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82,974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pPr>
            <w:r>
              <w:t>—</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Cognoa, Inc. (2)(12)</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16,247,754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pPr>
            <w:r>
              <w:t>—</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Cognoa, Inc. (2)(12)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2,119,272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Tigo Energy, Inc. (5)</w:t>
            </w:r>
          </w:p>
        </w:tc>
        <w:tc>
          <w:tcPr>
            <w:tcW w:w="60" w:type="dxa"/>
            <w:tcBorders/>
            <w:shd w:fill="FFFFFF" w:val="clear"/>
            <w:vAlign w:val="center"/>
          </w:tcPr>
          <w:p>
            <w:pPr>
              <w:pStyle w:val="TableContents"/>
              <w:bidi w:val="0"/>
              <w:spacing w:before="0" w:after="283"/>
              <w:ind w:left="0" w:right="0" w:hanging="0"/>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Other Sustainability</w:t>
            </w:r>
          </w:p>
        </w:tc>
        <w:tc>
          <w:tcPr>
            <w:tcW w:w="60" w:type="dxa"/>
            <w:tcBorders/>
            <w:shd w:fill="FFFFFF" w:val="clear"/>
            <w:vAlign w:val="center"/>
          </w:tcPr>
          <w:p>
            <w:pPr>
              <w:pStyle w:val="TableContents"/>
              <w:bidi w:val="0"/>
              <w:spacing w:before="0" w:after="283"/>
              <w:ind w:left="0" w:right="0" w:hanging="0"/>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5,205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Decisyon, Inc. (12)</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05" w:type="dxa"/>
            <w:tcBorders/>
            <w:shd w:fill="CCEEFF" w:val="clear"/>
            <w:vAlign w:val="center"/>
          </w:tcPr>
          <w:p>
            <w:pPr>
              <w:pStyle w:val="TableContents"/>
              <w:bidi w:val="0"/>
              <w:spacing w:before="0" w:after="283"/>
              <w:ind w:left="0" w:right="0" w:hanging="0"/>
              <w:jc w:val="right"/>
            </w:pPr>
            <w:r>
              <w:t>—</w:t>
            </w:r>
          </w:p>
        </w:tc>
        <w:tc>
          <w:tcPr>
            <w:tcW w:w="79" w:type="dxa"/>
            <w:tcBorders/>
            <w:shd w:fill="CCEEFF" w:val="clear"/>
            <w:vAlign w:val="center"/>
          </w:tcPr>
          <w:p>
            <w:pPr>
              <w:pStyle w:val="TableContents"/>
              <w:bidi w:val="0"/>
              <w:spacing w:before="0" w:after="283"/>
              <w:jc w:val="left"/>
            </w:pPr>
            <w:r>
              <w:t> </w:t>
            </w:r>
          </w:p>
        </w:tc>
      </w:tr>
      <w:tr>
        <w:tc>
          <w:tcPr>
            <w:tcW w:w="36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IREN Limited (2)(5)(12)</w:t>
            </w:r>
          </w:p>
        </w:tc>
        <w:tc>
          <w:tcPr>
            <w:tcW w:w="60" w:type="dxa"/>
            <w:tcBorders/>
            <w:shd w:fill="FFFFFF" w:val="clear"/>
            <w:vAlign w:val="center"/>
          </w:tcPr>
          <w:p>
            <w:pPr>
              <w:pStyle w:val="TableContents"/>
              <w:bidi w:val="0"/>
              <w:spacing w:before="0" w:after="283"/>
              <w:jc w:val="left"/>
            </w:pPr>
            <w:r>
              <w:t> </w:t>
            </w:r>
          </w:p>
        </w:tc>
        <w:tc>
          <w:tcPr>
            <w:tcW w:w="180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FFFFFF" w:val="clear"/>
            <w:vAlign w:val="center"/>
          </w:tcPr>
          <w:p>
            <w:pPr>
              <w:pStyle w:val="TableContents"/>
              <w:bidi w:val="0"/>
              <w:spacing w:before="0" w:after="283"/>
              <w:jc w:val="left"/>
            </w:pPr>
            <w:r>
              <w:t> </w:t>
            </w:r>
          </w:p>
        </w:tc>
        <w:tc>
          <w:tcPr>
            <w:tcW w:w="130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38,137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9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1,558</w:t>
            </w:r>
          </w:p>
        </w:tc>
        <w:tc>
          <w:tcPr>
            <w:tcW w:w="79" w:type="dxa"/>
            <w:tcBorders/>
            <w:shd w:fill="FFFFFF" w:val="clear"/>
            <w:vAlign w:val="center"/>
          </w:tcPr>
          <w:p>
            <w:pPr>
              <w:pStyle w:val="TableContents"/>
              <w:bidi w:val="0"/>
              <w:spacing w:before="0" w:after="283"/>
              <w:jc w:val="left"/>
            </w:pPr>
            <w:r>
              <w:t> </w:t>
            </w:r>
          </w:p>
        </w:tc>
      </w:tr>
      <w:tr>
        <w:tc>
          <w:tcPr>
            <w:tcW w:w="36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Kodiak Robotics, Inc. (2)(5)</w:t>
            </w:r>
          </w:p>
        </w:tc>
        <w:tc>
          <w:tcPr>
            <w:tcW w:w="60" w:type="dxa"/>
            <w:tcBorders/>
            <w:shd w:fill="CCEEFF" w:val="clear"/>
            <w:vAlign w:val="center"/>
          </w:tcPr>
          <w:p>
            <w:pPr>
              <w:pStyle w:val="TableContents"/>
              <w:bidi w:val="0"/>
              <w:spacing w:before="0" w:after="283"/>
              <w:ind w:left="0" w:right="0" w:hanging="0"/>
              <w:jc w:val="left"/>
            </w:pPr>
            <w:r>
              <w:t> </w:t>
            </w:r>
          </w:p>
        </w:tc>
        <w:tc>
          <w:tcPr>
            <w:tcW w:w="180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0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338,798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649</w:t>
            </w:r>
          </w:p>
        </w:tc>
        <w:tc>
          <w:tcPr>
            <w:tcW w:w="79" w:type="dxa"/>
            <w:tcBorders/>
            <w:shd w:fill="CCEEFF" w:val="clear"/>
            <w:vAlign w:val="center"/>
          </w:tcPr>
          <w:p>
            <w:pPr>
              <w:pStyle w:val="TableContents"/>
              <w:bidi w:val="0"/>
              <w:spacing w:before="0" w:after="283"/>
              <w:jc w:val="left"/>
            </w:pPr>
            <w:r>
              <w:t> </w:t>
            </w:r>
          </w:p>
        </w:tc>
      </w:tr>
      <w:tr>
        <w:tc>
          <w:tcPr>
            <w:tcW w:w="6894"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6"/>
              </w:rPr>
              <w:t>Total Non-Affiliate Equity</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04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10,109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3,891</w:t>
            </w:r>
          </w:p>
        </w:tc>
        <w:tc>
          <w:tcPr>
            <w:tcW w:w="79" w:type="dxa"/>
            <w:tcBorders/>
            <w:shd w:fill="FFFFFF" w:val="clear"/>
            <w:vAlign w:val="center"/>
          </w:tcPr>
          <w:p>
            <w:pPr>
              <w:pStyle w:val="TableContents"/>
              <w:bidi w:val="0"/>
              <w:spacing w:before="0" w:after="283"/>
              <w:jc w:val="left"/>
            </w:pPr>
            <w:r>
              <w:t> </w:t>
            </w:r>
          </w:p>
        </w:tc>
      </w:tr>
      <w:tr>
        <w:tc>
          <w:tcPr>
            <w:tcW w:w="6894"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6"/>
              </w:rPr>
              <w:t>Total Non-Affiliate Portfolio Investment Assets</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04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699,244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630,466</w:t>
            </w:r>
          </w:p>
        </w:tc>
        <w:tc>
          <w:tcPr>
            <w:tcW w:w="79"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See 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18"/>
        </w:rPr>
        <w:t>September 30, 2026</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26"/>
        <w:gridCol w:w="60"/>
        <w:gridCol w:w="1203"/>
        <w:gridCol w:w="60"/>
        <w:gridCol w:w="771"/>
        <w:gridCol w:w="60"/>
        <w:gridCol w:w="69"/>
        <w:gridCol w:w="406"/>
        <w:gridCol w:w="357"/>
        <w:gridCol w:w="365"/>
        <w:gridCol w:w="60"/>
        <w:gridCol w:w="84"/>
        <w:gridCol w:w="386"/>
        <w:gridCol w:w="125"/>
        <w:gridCol w:w="60"/>
        <w:gridCol w:w="60"/>
        <w:gridCol w:w="350"/>
        <w:gridCol w:w="125"/>
        <w:gridCol w:w="60"/>
        <w:gridCol w:w="85"/>
        <w:gridCol w:w="370"/>
        <w:gridCol w:w="60"/>
        <w:gridCol w:w="60"/>
        <w:gridCol w:w="65"/>
        <w:gridCol w:w="301"/>
        <w:gridCol w:w="125"/>
        <w:gridCol w:w="696"/>
        <w:gridCol w:w="60"/>
        <w:gridCol w:w="139"/>
        <w:gridCol w:w="517"/>
        <w:gridCol w:w="60"/>
        <w:gridCol w:w="60"/>
        <w:gridCol w:w="156"/>
        <w:gridCol w:w="702"/>
        <w:gridCol w:w="60"/>
        <w:gridCol w:w="60"/>
        <w:gridCol w:w="105"/>
        <w:gridCol w:w="470"/>
        <w:gridCol w:w="67"/>
      </w:tblGrid>
      <w:tr>
        <w:tc>
          <w:tcPr>
            <w:tcW w:w="1326"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1203"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771"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Cash Rate (4)</w:t>
            </w:r>
          </w:p>
        </w:tc>
        <w:tc>
          <w:tcPr>
            <w:tcW w:w="357" w:type="dxa"/>
            <w:tcBorders/>
            <w:shd w:fill="FFFFFF" w:val="clear"/>
            <w:tcMar>
              <w:bottom w:w="0" w:type="dxa"/>
            </w:tcMar>
            <w:vAlign w:val="center"/>
          </w:tcPr>
          <w:p>
            <w:pPr>
              <w:pStyle w:val="TableContents"/>
              <w:bidi w:val="0"/>
              <w:spacing w:before="0" w:after="283"/>
              <w:ind w:left="0" w:right="0" w:hanging="0"/>
              <w:jc w:val="left"/>
            </w:pPr>
            <w:r>
              <w:t> </w:t>
            </w:r>
          </w:p>
        </w:tc>
        <w:tc>
          <w:tcPr>
            <w:tcW w:w="36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Ceiling</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6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96"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5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58"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 Value (9)</w:t>
            </w:r>
          </w:p>
        </w:tc>
        <w:tc>
          <w:tcPr>
            <w:tcW w:w="67" w:type="dxa"/>
            <w:tcBorders/>
            <w:shd w:fill="FFFFFF" w:val="clear"/>
            <w:tcMar>
              <w:bottom w:w="0" w:type="dxa"/>
            </w:tcMar>
            <w:vAlign w:val="center"/>
          </w:tcPr>
          <w:p>
            <w:pPr>
              <w:pStyle w:val="TableContents"/>
              <w:bidi w:val="0"/>
              <w:spacing w:before="0" w:after="283"/>
              <w:jc w:val="left"/>
            </w:pPr>
            <w:r>
              <w:t> </w:t>
            </w:r>
          </w:p>
        </w:tc>
      </w:tr>
      <w:tr>
        <w:tc>
          <w:tcPr>
            <w:tcW w:w="13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Non-Controlled Affiliate Investments — 3.3% (8)</w:t>
            </w:r>
          </w:p>
        </w:tc>
        <w:tc>
          <w:tcPr>
            <w:tcW w:w="60" w:type="dxa"/>
            <w:tcBorders/>
            <w:shd w:fill="CCEEFF" w:val="clear"/>
            <w:tcMar>
              <w:bottom w:w="0" w:type="dxa"/>
            </w:tcMar>
            <w:vAlign w:val="center"/>
          </w:tcPr>
          <w:p>
            <w:pPr>
              <w:pStyle w:val="TableContents"/>
              <w:bidi w:val="0"/>
              <w:spacing w:before="0" w:after="283"/>
              <w:jc w:val="left"/>
            </w:pPr>
            <w:r>
              <w:t> </w:t>
            </w:r>
          </w:p>
        </w:tc>
        <w:tc>
          <w:tcPr>
            <w:tcW w:w="120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7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jc w:val="left"/>
            </w:pPr>
            <w:r>
              <w:t> </w:t>
            </w:r>
          </w:p>
        </w:tc>
        <w:tc>
          <w:tcPr>
            <w:tcW w:w="406" w:type="dxa"/>
            <w:tcBorders/>
            <w:shd w:fill="CCEEFF" w:val="clear"/>
            <w:tcMar>
              <w:bottom w:w="0" w:type="dxa"/>
            </w:tcMar>
            <w:vAlign w:val="center"/>
          </w:tcPr>
          <w:p>
            <w:pPr>
              <w:pStyle w:val="TableContents"/>
              <w:bidi w:val="0"/>
              <w:spacing w:before="0" w:after="283"/>
              <w:jc w:val="left"/>
            </w:pPr>
            <w:r>
              <w:t> </w:t>
            </w:r>
          </w:p>
        </w:tc>
        <w:tc>
          <w:tcPr>
            <w:tcW w:w="357" w:type="dxa"/>
            <w:tcBorders/>
            <w:shd w:fill="CCEEFF" w:val="clear"/>
            <w:tcMar>
              <w:bottom w:w="0" w:type="dxa"/>
            </w:tcMar>
            <w:vAlign w:val="center"/>
          </w:tcPr>
          <w:p>
            <w:pPr>
              <w:pStyle w:val="TableContents"/>
              <w:bidi w:val="0"/>
              <w:spacing w:before="0" w:after="283"/>
              <w:jc w:val="left"/>
            </w:pPr>
            <w:r>
              <w:t> </w:t>
            </w:r>
          </w:p>
        </w:tc>
        <w:tc>
          <w:tcPr>
            <w:tcW w:w="36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jc w:val="left"/>
            </w:pPr>
            <w:r>
              <w:t> </w:t>
            </w:r>
          </w:p>
        </w:tc>
        <w:tc>
          <w:tcPr>
            <w:tcW w:w="301"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9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jc w:val="left"/>
            </w:pPr>
            <w:r>
              <w:t> </w:t>
            </w:r>
          </w:p>
        </w:tc>
        <w:tc>
          <w:tcPr>
            <w:tcW w:w="51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6" w:type="dxa"/>
            <w:tcBorders/>
            <w:shd w:fill="CCEEFF" w:val="clear"/>
            <w:tcMar>
              <w:bottom w:w="0" w:type="dxa"/>
            </w:tcMar>
            <w:vAlign w:val="center"/>
          </w:tcPr>
          <w:p>
            <w:pPr>
              <w:pStyle w:val="TableContents"/>
              <w:bidi w:val="0"/>
              <w:spacing w:before="0" w:after="283"/>
              <w:jc w:val="left"/>
            </w:pPr>
            <w:r>
              <w:t> </w:t>
            </w:r>
          </w:p>
        </w:tc>
        <w:tc>
          <w:tcPr>
            <w:tcW w:w="70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5" w:type="dxa"/>
            <w:tcBorders/>
            <w:shd w:fill="CCEEFF" w:val="clear"/>
            <w:tcMar>
              <w:bottom w:w="0" w:type="dxa"/>
            </w:tcMar>
            <w:vAlign w:val="center"/>
          </w:tcPr>
          <w:p>
            <w:pPr>
              <w:pStyle w:val="TableContents"/>
              <w:bidi w:val="0"/>
              <w:spacing w:before="0" w:after="283"/>
              <w:jc w:val="left"/>
            </w:pPr>
            <w:r>
              <w:t> </w:t>
            </w:r>
          </w:p>
        </w:tc>
        <w:tc>
          <w:tcPr>
            <w:tcW w:w="47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jc w:val="left"/>
            </w:pPr>
            <w:r>
              <w:t> </w:t>
            </w:r>
          </w:p>
        </w:tc>
      </w:tr>
      <w:tr>
        <w:tc>
          <w:tcPr>
            <w:tcW w:w="132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Non-Controlled Affiliate Debt Investments — 2.9% (8)</w:t>
            </w:r>
          </w:p>
        </w:tc>
        <w:tc>
          <w:tcPr>
            <w:tcW w:w="60" w:type="dxa"/>
            <w:tcBorders/>
            <w:shd w:fill="FFFFFF" w:val="clear"/>
            <w:tcMar>
              <w:bottom w:w="0" w:type="dxa"/>
            </w:tcMar>
            <w:vAlign w:val="center"/>
          </w:tcPr>
          <w:p>
            <w:pPr>
              <w:pStyle w:val="TableContents"/>
              <w:bidi w:val="0"/>
              <w:spacing w:before="0" w:after="283"/>
              <w:jc w:val="left"/>
            </w:pPr>
            <w:r>
              <w:t> </w:t>
            </w:r>
          </w:p>
        </w:tc>
        <w:tc>
          <w:tcPr>
            <w:tcW w:w="120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7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jc w:val="left"/>
            </w:pPr>
            <w:r>
              <w:t> </w:t>
            </w:r>
          </w:p>
        </w:tc>
        <w:tc>
          <w:tcPr>
            <w:tcW w:w="406" w:type="dxa"/>
            <w:tcBorders/>
            <w:shd w:fill="FFFFFF" w:val="clear"/>
            <w:tcMar>
              <w:bottom w:w="0" w:type="dxa"/>
            </w:tcMar>
            <w:vAlign w:val="center"/>
          </w:tcPr>
          <w:p>
            <w:pPr>
              <w:pStyle w:val="TableContents"/>
              <w:bidi w:val="0"/>
              <w:spacing w:before="0" w:after="283"/>
              <w:jc w:val="left"/>
            </w:pPr>
            <w:r>
              <w:t> </w:t>
            </w:r>
          </w:p>
        </w:tc>
        <w:tc>
          <w:tcPr>
            <w:tcW w:w="357" w:type="dxa"/>
            <w:tcBorders/>
            <w:shd w:fill="FFFFFF" w:val="clear"/>
            <w:tcMar>
              <w:bottom w:w="0" w:type="dxa"/>
            </w:tcMar>
            <w:vAlign w:val="center"/>
          </w:tcPr>
          <w:p>
            <w:pPr>
              <w:pStyle w:val="TableContents"/>
              <w:bidi w:val="0"/>
              <w:spacing w:before="0" w:after="283"/>
              <w:jc w:val="left"/>
            </w:pPr>
            <w:r>
              <w:t> </w:t>
            </w:r>
          </w:p>
        </w:tc>
        <w:tc>
          <w:tcPr>
            <w:tcW w:w="36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jc w:val="left"/>
            </w:pPr>
            <w:r>
              <w:t> </w:t>
            </w:r>
          </w:p>
        </w:tc>
        <w:tc>
          <w:tcPr>
            <w:tcW w:w="301"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9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jc w:val="left"/>
            </w:pPr>
            <w:r>
              <w:t> </w:t>
            </w:r>
          </w:p>
        </w:tc>
        <w:tc>
          <w:tcPr>
            <w:tcW w:w="51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6" w:type="dxa"/>
            <w:tcBorders/>
            <w:shd w:fill="FFFFFF" w:val="clear"/>
            <w:tcMar>
              <w:bottom w:w="0" w:type="dxa"/>
            </w:tcMar>
            <w:vAlign w:val="center"/>
          </w:tcPr>
          <w:p>
            <w:pPr>
              <w:pStyle w:val="TableContents"/>
              <w:bidi w:val="0"/>
              <w:spacing w:before="0" w:after="283"/>
              <w:jc w:val="left"/>
            </w:pPr>
            <w:r>
              <w:t> </w:t>
            </w:r>
          </w:p>
        </w:tc>
        <w:tc>
          <w:tcPr>
            <w:tcW w:w="70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5" w:type="dxa"/>
            <w:tcBorders/>
            <w:shd w:fill="FFFFFF" w:val="clear"/>
            <w:tcMar>
              <w:bottom w:w="0" w:type="dxa"/>
            </w:tcMar>
            <w:vAlign w:val="center"/>
          </w:tcPr>
          <w:p>
            <w:pPr>
              <w:pStyle w:val="TableContents"/>
              <w:bidi w:val="0"/>
              <w:spacing w:before="0" w:after="283"/>
              <w:jc w:val="left"/>
            </w:pPr>
            <w:r>
              <w:t> </w:t>
            </w:r>
          </w:p>
        </w:tc>
        <w:tc>
          <w:tcPr>
            <w:tcW w:w="47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jc w:val="left"/>
            </w:pPr>
            <w:r>
              <w:t> </w:t>
            </w:r>
          </w:p>
        </w:tc>
      </w:tr>
      <w:tr>
        <w:tc>
          <w:tcPr>
            <w:tcW w:w="13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Hound Labs II, LLC (12)(13)</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0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Diagnostics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13.00</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301"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2027</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7,476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7,237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0" w:type="dxa"/>
            <w:tcBorders/>
            <w:shd w:fill="CCEEFF" w:val="clear"/>
            <w:tcMar>
              <w:bottom w:w="0" w:type="dxa"/>
            </w:tcMar>
            <w:vAlign w:val="center"/>
          </w:tcPr>
          <w:p>
            <w:pPr>
              <w:pStyle w:val="TableContents"/>
              <w:bidi w:val="0"/>
              <w:spacing w:before="0" w:after="283"/>
              <w:ind w:left="0" w:right="0" w:hanging="0"/>
              <w:jc w:val="right"/>
            </w:pPr>
            <w:r>
              <w:t>—</w:t>
            </w:r>
          </w:p>
        </w:tc>
        <w:tc>
          <w:tcPr>
            <w:tcW w:w="67" w:type="dxa"/>
            <w:tcBorders/>
            <w:shd w:fill="CCEEFF" w:val="clear"/>
            <w:tcMar>
              <w:bottom w:w="0" w:type="dxa"/>
            </w:tcMar>
            <w:vAlign w:val="center"/>
          </w:tcPr>
          <w:p>
            <w:pPr>
              <w:pStyle w:val="TableContents"/>
              <w:bidi w:val="0"/>
              <w:spacing w:before="0" w:after="283"/>
              <w:jc w:val="left"/>
            </w:pPr>
            <w:r>
              <w:t> </w:t>
            </w:r>
          </w:p>
        </w:tc>
      </w:tr>
      <w:tr>
        <w:tc>
          <w:tcPr>
            <w:tcW w:w="132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NextCar Holding Company, Inc. (12)(14)</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03"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7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4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Fixed</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301"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9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31, 2026</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1,618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6" w:type="dxa"/>
            <w:tcBorders/>
            <w:shd w:fill="FFFFFF" w:val="clear"/>
            <w:tcMar>
              <w:bottom w:w="0" w:type="dxa"/>
            </w:tcMar>
            <w:vAlign w:val="center"/>
          </w:tcPr>
          <w:p>
            <w:pPr>
              <w:pStyle w:val="TableContents"/>
              <w:bidi w:val="0"/>
              <w:spacing w:before="0" w:after="283"/>
              <w:ind w:left="0" w:right="0" w:hanging="0"/>
              <w:jc w:val="left"/>
            </w:pPr>
            <w:r>
              <w:t> </w:t>
            </w:r>
          </w:p>
        </w:tc>
        <w:tc>
          <w:tcPr>
            <w:tcW w:w="7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1,618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5"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809</w:t>
            </w:r>
          </w:p>
        </w:tc>
        <w:tc>
          <w:tcPr>
            <w:tcW w:w="67" w:type="dxa"/>
            <w:tcBorders/>
            <w:shd w:fill="FFFFFF" w:val="clear"/>
            <w:tcMar>
              <w:bottom w:w="0" w:type="dxa"/>
            </w:tcMar>
            <w:vAlign w:val="center"/>
          </w:tcPr>
          <w:p>
            <w:pPr>
              <w:pStyle w:val="TableContents"/>
              <w:bidi w:val="0"/>
              <w:spacing w:before="0" w:after="283"/>
              <w:jc w:val="left"/>
            </w:pPr>
            <w:r>
              <w:t> </w:t>
            </w:r>
          </w:p>
        </w:tc>
      </w:tr>
      <w:tr>
        <w:tc>
          <w:tcPr>
            <w:tcW w:w="13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Nexii, Inc. (12)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0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Fixed</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301"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2027</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790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6" w:type="dxa"/>
            <w:tcBorders/>
            <w:shd w:fill="CCEEFF" w:val="clear"/>
            <w:tcMar>
              <w:bottom w:w="0" w:type="dxa"/>
            </w:tcMar>
            <w:vAlign w:val="center"/>
          </w:tcPr>
          <w:p>
            <w:pPr>
              <w:pStyle w:val="TableContents"/>
              <w:bidi w:val="0"/>
              <w:spacing w:before="0" w:after="283"/>
              <w:ind w:left="0" w:right="0" w:hanging="0"/>
              <w:jc w:val="left"/>
            </w:pPr>
            <w:r>
              <w:t> </w:t>
            </w:r>
          </w:p>
        </w:tc>
        <w:tc>
          <w:tcPr>
            <w:tcW w:w="7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5" w:type="dxa"/>
            <w:tcBorders/>
            <w:shd w:fill="CCEEFF" w:val="clear"/>
            <w:tcMar>
              <w:bottom w:w="0" w:type="dxa"/>
            </w:tcMar>
            <w:vAlign w:val="center"/>
          </w:tcPr>
          <w:p>
            <w:pPr>
              <w:pStyle w:val="TableContents"/>
              <w:bidi w:val="0"/>
              <w:spacing w:before="0" w:after="283"/>
              <w:ind w:left="0" w:right="0" w:hanging="0"/>
              <w:jc w:val="left"/>
            </w:pPr>
            <w:r>
              <w:t> </w:t>
            </w:r>
          </w:p>
        </w:tc>
        <w:tc>
          <w:tcPr>
            <w:tcW w:w="470" w:type="dxa"/>
            <w:tcBorders/>
            <w:shd w:fill="CCEEFF" w:val="clear"/>
            <w:tcMar>
              <w:bottom w:w="0" w:type="dxa"/>
            </w:tcMar>
            <w:vAlign w:val="center"/>
          </w:tcPr>
          <w:p>
            <w:pPr>
              <w:pStyle w:val="TableContents"/>
              <w:bidi w:val="0"/>
              <w:spacing w:before="0" w:after="283"/>
              <w:ind w:left="0" w:right="0" w:hanging="0"/>
              <w:jc w:val="right"/>
            </w:pPr>
            <w:r>
              <w:t>—</w:t>
            </w:r>
          </w:p>
        </w:tc>
        <w:tc>
          <w:tcPr>
            <w:tcW w:w="67" w:type="dxa"/>
            <w:tcBorders/>
            <w:shd w:fill="CCEEFF" w:val="clear"/>
            <w:tcMar>
              <w:bottom w:w="0" w:type="dxa"/>
            </w:tcMar>
            <w:vAlign w:val="center"/>
          </w:tcPr>
          <w:p>
            <w:pPr>
              <w:pStyle w:val="TableContents"/>
              <w:bidi w:val="0"/>
              <w:spacing w:before="0" w:after="283"/>
              <w:jc w:val="left"/>
            </w:pPr>
            <w:r>
              <w:t> </w:t>
            </w:r>
          </w:p>
        </w:tc>
      </w:tr>
      <w:tr>
        <w:tc>
          <w:tcPr>
            <w:tcW w:w="132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3"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7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4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Fixed</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301"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9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2027</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6" w:type="dxa"/>
            <w:tcBorders/>
            <w:shd w:fill="FFFFFF" w:val="clear"/>
            <w:tcMar>
              <w:bottom w:w="0" w:type="dxa"/>
            </w:tcMar>
            <w:vAlign w:val="center"/>
          </w:tcPr>
          <w:p>
            <w:pPr>
              <w:pStyle w:val="TableContents"/>
              <w:bidi w:val="0"/>
              <w:spacing w:before="0" w:after="283"/>
              <w:ind w:left="0" w:right="0" w:hanging="0"/>
              <w:jc w:val="left"/>
            </w:pPr>
            <w:r>
              <w:t> </w:t>
            </w:r>
          </w:p>
        </w:tc>
        <w:tc>
          <w:tcPr>
            <w:tcW w:w="7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5"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tcBorders/>
            <w:shd w:fill="FFFFFF" w:val="clear"/>
            <w:tcMar>
              <w:bottom w:w="0" w:type="dxa"/>
            </w:tcMar>
            <w:vAlign w:val="center"/>
          </w:tcPr>
          <w:p>
            <w:pPr>
              <w:pStyle w:val="TableContents"/>
              <w:bidi w:val="0"/>
              <w:spacing w:before="0" w:after="283"/>
              <w:ind w:left="0" w:right="0" w:hanging="0"/>
              <w:jc w:val="right"/>
            </w:pPr>
            <w:r>
              <w:t>—</w:t>
            </w:r>
          </w:p>
        </w:tc>
        <w:tc>
          <w:tcPr>
            <w:tcW w:w="67" w:type="dxa"/>
            <w:tcBorders/>
            <w:shd w:fill="FFFFFF" w:val="clear"/>
            <w:tcMar>
              <w:bottom w:w="0" w:type="dxa"/>
            </w:tcMar>
            <w:vAlign w:val="center"/>
          </w:tcPr>
          <w:p>
            <w:pPr>
              <w:pStyle w:val="TableContents"/>
              <w:bidi w:val="0"/>
              <w:spacing w:before="0" w:after="283"/>
              <w:jc w:val="left"/>
            </w:pPr>
            <w:r>
              <w:t> </w:t>
            </w:r>
          </w:p>
        </w:tc>
      </w:tr>
      <w:tr>
        <w:tc>
          <w:tcPr>
            <w:tcW w:w="13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Shengrow, Inc. aka Soli Organic, Inc. (2)(12)(13)</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0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3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5,310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6" w:type="dxa"/>
            <w:tcBorders/>
            <w:shd w:fill="CCEEFF" w:val="clear"/>
            <w:tcMar>
              <w:bottom w:w="0" w:type="dxa"/>
            </w:tcMar>
            <w:vAlign w:val="center"/>
          </w:tcPr>
          <w:p>
            <w:pPr>
              <w:pStyle w:val="TableContents"/>
              <w:bidi w:val="0"/>
              <w:spacing w:before="0" w:after="283"/>
              <w:ind w:left="0" w:right="0" w:hanging="0"/>
              <w:jc w:val="left"/>
            </w:pPr>
            <w:r>
              <w:t> </w:t>
            </w:r>
          </w:p>
        </w:tc>
        <w:tc>
          <w:tcPr>
            <w:tcW w:w="7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5" w:type="dxa"/>
            <w:tcBorders/>
            <w:shd w:fill="CCEEFF" w:val="clear"/>
            <w:tcMar>
              <w:bottom w:w="0" w:type="dxa"/>
            </w:tcMar>
            <w:vAlign w:val="center"/>
          </w:tcPr>
          <w:p>
            <w:pPr>
              <w:pStyle w:val="TableContents"/>
              <w:bidi w:val="0"/>
              <w:spacing w:before="0" w:after="283"/>
              <w:ind w:left="0" w:right="0" w:hanging="0"/>
              <w:jc w:val="left"/>
            </w:pPr>
            <w:r>
              <w:t> </w:t>
            </w:r>
          </w:p>
        </w:tc>
        <w:tc>
          <w:tcPr>
            <w:tcW w:w="4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1,738</w:t>
            </w:r>
          </w:p>
        </w:tc>
        <w:tc>
          <w:tcPr>
            <w:tcW w:w="67" w:type="dxa"/>
            <w:tcBorders/>
            <w:shd w:fill="CCEEFF" w:val="clear"/>
            <w:tcMar>
              <w:bottom w:w="0" w:type="dxa"/>
            </w:tcMar>
            <w:vAlign w:val="center"/>
          </w:tcPr>
          <w:p>
            <w:pPr>
              <w:pStyle w:val="TableContents"/>
              <w:bidi w:val="0"/>
              <w:spacing w:before="0" w:after="283"/>
              <w:jc w:val="left"/>
            </w:pPr>
            <w:r>
              <w:t> </w:t>
            </w:r>
          </w:p>
        </w:tc>
      </w:tr>
      <w:tr>
        <w:tc>
          <w:tcPr>
            <w:tcW w:w="132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3"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7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4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3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3,540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6" w:type="dxa"/>
            <w:tcBorders/>
            <w:shd w:fill="FFFFFF" w:val="clear"/>
            <w:tcMar>
              <w:bottom w:w="0" w:type="dxa"/>
            </w:tcMar>
            <w:vAlign w:val="center"/>
          </w:tcPr>
          <w:p>
            <w:pPr>
              <w:pStyle w:val="TableContents"/>
              <w:bidi w:val="0"/>
              <w:spacing w:before="0" w:after="283"/>
              <w:ind w:left="0" w:right="0" w:hanging="0"/>
              <w:jc w:val="left"/>
            </w:pPr>
            <w:r>
              <w:t> </w:t>
            </w:r>
          </w:p>
        </w:tc>
        <w:tc>
          <w:tcPr>
            <w:tcW w:w="7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3,314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5"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1,144</w:t>
            </w:r>
          </w:p>
        </w:tc>
        <w:tc>
          <w:tcPr>
            <w:tcW w:w="67" w:type="dxa"/>
            <w:tcBorders/>
            <w:shd w:fill="FFFFFF" w:val="clear"/>
            <w:tcMar>
              <w:bottom w:w="0" w:type="dxa"/>
            </w:tcMar>
            <w:vAlign w:val="center"/>
          </w:tcPr>
          <w:p>
            <w:pPr>
              <w:pStyle w:val="TableContents"/>
              <w:bidi w:val="0"/>
              <w:spacing w:before="0" w:after="283"/>
              <w:jc w:val="left"/>
            </w:pPr>
            <w:r>
              <w:t> </w:t>
            </w:r>
          </w:p>
        </w:tc>
      </w:tr>
      <w:tr>
        <w:tc>
          <w:tcPr>
            <w:tcW w:w="132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03"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3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1,770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6" w:type="dxa"/>
            <w:tcBorders/>
            <w:shd w:fill="CCEEFF" w:val="clear"/>
            <w:tcMar>
              <w:bottom w:w="0" w:type="dxa"/>
            </w:tcMar>
            <w:vAlign w:val="center"/>
          </w:tcPr>
          <w:p>
            <w:pPr>
              <w:pStyle w:val="TableContents"/>
              <w:bidi w:val="0"/>
              <w:spacing w:before="0" w:after="283"/>
              <w:ind w:left="0" w:right="0" w:hanging="0"/>
              <w:jc w:val="left"/>
            </w:pPr>
            <w:r>
              <w:t> </w:t>
            </w:r>
          </w:p>
        </w:tc>
        <w:tc>
          <w:tcPr>
            <w:tcW w:w="7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1,657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5" w:type="dxa"/>
            <w:tcBorders/>
            <w:shd w:fill="CCEEFF" w:val="clear"/>
            <w:tcMar>
              <w:bottom w:w="0" w:type="dxa"/>
            </w:tcMar>
            <w:vAlign w:val="center"/>
          </w:tcPr>
          <w:p>
            <w:pPr>
              <w:pStyle w:val="TableContents"/>
              <w:bidi w:val="0"/>
              <w:spacing w:before="0" w:after="283"/>
              <w:ind w:left="0" w:right="0" w:hanging="0"/>
              <w:jc w:val="left"/>
            </w:pPr>
            <w:r>
              <w:t> </w:t>
            </w:r>
          </w:p>
        </w:tc>
        <w:tc>
          <w:tcPr>
            <w:tcW w:w="4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572</w:t>
            </w:r>
          </w:p>
        </w:tc>
        <w:tc>
          <w:tcPr>
            <w:tcW w:w="67" w:type="dxa"/>
            <w:tcBorders/>
            <w:shd w:fill="CCEEFF" w:val="clear"/>
            <w:tcMar>
              <w:bottom w:w="0" w:type="dxa"/>
            </w:tcMar>
            <w:vAlign w:val="center"/>
          </w:tcPr>
          <w:p>
            <w:pPr>
              <w:pStyle w:val="TableContents"/>
              <w:bidi w:val="0"/>
              <w:spacing w:before="0" w:after="283"/>
              <w:jc w:val="left"/>
            </w:pPr>
            <w:r>
              <w:t> </w:t>
            </w:r>
          </w:p>
        </w:tc>
      </w:tr>
      <w:tr>
        <w:tc>
          <w:tcPr>
            <w:tcW w:w="132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3"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7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4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3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3,540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6" w:type="dxa"/>
            <w:tcBorders/>
            <w:shd w:fill="FFFFFF" w:val="clear"/>
            <w:tcMar>
              <w:bottom w:w="0" w:type="dxa"/>
            </w:tcMar>
            <w:vAlign w:val="center"/>
          </w:tcPr>
          <w:p>
            <w:pPr>
              <w:pStyle w:val="TableContents"/>
              <w:bidi w:val="0"/>
              <w:spacing w:before="0" w:after="283"/>
              <w:ind w:left="0" w:right="0" w:hanging="0"/>
              <w:jc w:val="left"/>
            </w:pPr>
            <w:r>
              <w:t> </w:t>
            </w:r>
          </w:p>
        </w:tc>
        <w:tc>
          <w:tcPr>
            <w:tcW w:w="7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3,313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5"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1,144</w:t>
            </w:r>
          </w:p>
        </w:tc>
        <w:tc>
          <w:tcPr>
            <w:tcW w:w="67" w:type="dxa"/>
            <w:tcBorders/>
            <w:shd w:fill="FFFFFF" w:val="clear"/>
            <w:tcMar>
              <w:bottom w:w="0" w:type="dxa"/>
            </w:tcMar>
            <w:vAlign w:val="center"/>
          </w:tcPr>
          <w:p>
            <w:pPr>
              <w:pStyle w:val="TableContents"/>
              <w:bidi w:val="0"/>
              <w:spacing w:before="0" w:after="283"/>
              <w:jc w:val="left"/>
            </w:pPr>
            <w:r>
              <w:t> </w:t>
            </w:r>
          </w:p>
        </w:tc>
      </w:tr>
      <w:tr>
        <w:tc>
          <w:tcPr>
            <w:tcW w:w="132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03"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3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1,770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6" w:type="dxa"/>
            <w:tcBorders/>
            <w:shd w:fill="CCEEFF" w:val="clear"/>
            <w:tcMar>
              <w:bottom w:w="0" w:type="dxa"/>
            </w:tcMar>
            <w:vAlign w:val="center"/>
          </w:tcPr>
          <w:p>
            <w:pPr>
              <w:pStyle w:val="TableContents"/>
              <w:bidi w:val="0"/>
              <w:spacing w:before="0" w:after="283"/>
              <w:ind w:left="0" w:right="0" w:hanging="0"/>
              <w:jc w:val="left"/>
            </w:pPr>
            <w:r>
              <w:t> </w:t>
            </w:r>
          </w:p>
        </w:tc>
        <w:tc>
          <w:tcPr>
            <w:tcW w:w="7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1,657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5" w:type="dxa"/>
            <w:tcBorders/>
            <w:shd w:fill="CCEEFF" w:val="clear"/>
            <w:tcMar>
              <w:bottom w:w="0" w:type="dxa"/>
            </w:tcMar>
            <w:vAlign w:val="center"/>
          </w:tcPr>
          <w:p>
            <w:pPr>
              <w:pStyle w:val="TableContents"/>
              <w:bidi w:val="0"/>
              <w:spacing w:before="0" w:after="283"/>
              <w:ind w:left="0" w:right="0" w:hanging="0"/>
              <w:jc w:val="left"/>
            </w:pPr>
            <w:r>
              <w:t> </w:t>
            </w:r>
          </w:p>
        </w:tc>
        <w:tc>
          <w:tcPr>
            <w:tcW w:w="4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572</w:t>
            </w:r>
          </w:p>
        </w:tc>
        <w:tc>
          <w:tcPr>
            <w:tcW w:w="67" w:type="dxa"/>
            <w:tcBorders/>
            <w:shd w:fill="CCEEFF" w:val="clear"/>
            <w:tcMar>
              <w:bottom w:w="0" w:type="dxa"/>
            </w:tcMar>
            <w:vAlign w:val="center"/>
          </w:tcPr>
          <w:p>
            <w:pPr>
              <w:pStyle w:val="TableContents"/>
              <w:bidi w:val="0"/>
              <w:spacing w:before="0" w:after="283"/>
              <w:jc w:val="left"/>
            </w:pPr>
            <w:r>
              <w:t> </w:t>
            </w:r>
          </w:p>
        </w:tc>
      </w:tr>
      <w:tr>
        <w:tc>
          <w:tcPr>
            <w:tcW w:w="132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3"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7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4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3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3,540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6" w:type="dxa"/>
            <w:tcBorders/>
            <w:shd w:fill="FFFFFF" w:val="clear"/>
            <w:tcMar>
              <w:bottom w:w="0" w:type="dxa"/>
            </w:tcMar>
            <w:vAlign w:val="center"/>
          </w:tcPr>
          <w:p>
            <w:pPr>
              <w:pStyle w:val="TableContents"/>
              <w:bidi w:val="0"/>
              <w:spacing w:before="0" w:after="283"/>
              <w:ind w:left="0" w:right="0" w:hanging="0"/>
              <w:jc w:val="left"/>
            </w:pPr>
            <w:r>
              <w:t> </w:t>
            </w:r>
          </w:p>
        </w:tc>
        <w:tc>
          <w:tcPr>
            <w:tcW w:w="7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3,311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5"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1,143</w:t>
            </w:r>
          </w:p>
        </w:tc>
        <w:tc>
          <w:tcPr>
            <w:tcW w:w="67" w:type="dxa"/>
            <w:tcBorders/>
            <w:shd w:fill="FFFFFF" w:val="clear"/>
            <w:tcMar>
              <w:bottom w:w="0" w:type="dxa"/>
            </w:tcMar>
            <w:vAlign w:val="center"/>
          </w:tcPr>
          <w:p>
            <w:pPr>
              <w:pStyle w:val="TableContents"/>
              <w:bidi w:val="0"/>
              <w:spacing w:before="0" w:after="283"/>
              <w:jc w:val="left"/>
            </w:pPr>
            <w:r>
              <w:t> </w:t>
            </w:r>
          </w:p>
        </w:tc>
      </w:tr>
      <w:tr>
        <w:tc>
          <w:tcPr>
            <w:tcW w:w="132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03"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3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1,770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6" w:type="dxa"/>
            <w:tcBorders/>
            <w:shd w:fill="CCEEFF" w:val="clear"/>
            <w:tcMar>
              <w:bottom w:w="0" w:type="dxa"/>
            </w:tcMar>
            <w:vAlign w:val="center"/>
          </w:tcPr>
          <w:p>
            <w:pPr>
              <w:pStyle w:val="TableContents"/>
              <w:bidi w:val="0"/>
              <w:spacing w:before="0" w:after="283"/>
              <w:ind w:left="0" w:right="0" w:hanging="0"/>
              <w:jc w:val="left"/>
            </w:pPr>
            <w:r>
              <w:t> </w:t>
            </w:r>
          </w:p>
        </w:tc>
        <w:tc>
          <w:tcPr>
            <w:tcW w:w="7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1,655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5" w:type="dxa"/>
            <w:tcBorders/>
            <w:shd w:fill="CCEEFF" w:val="clear"/>
            <w:tcMar>
              <w:bottom w:w="0" w:type="dxa"/>
            </w:tcMar>
            <w:vAlign w:val="center"/>
          </w:tcPr>
          <w:p>
            <w:pPr>
              <w:pStyle w:val="TableContents"/>
              <w:bidi w:val="0"/>
              <w:spacing w:before="0" w:after="283"/>
              <w:ind w:left="0" w:right="0" w:hanging="0"/>
              <w:jc w:val="left"/>
            </w:pPr>
            <w:r>
              <w:t> </w:t>
            </w:r>
          </w:p>
        </w:tc>
        <w:tc>
          <w:tcPr>
            <w:tcW w:w="4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571</w:t>
            </w:r>
          </w:p>
        </w:tc>
        <w:tc>
          <w:tcPr>
            <w:tcW w:w="67" w:type="dxa"/>
            <w:tcBorders/>
            <w:shd w:fill="CCEEFF" w:val="clear"/>
            <w:tcMar>
              <w:bottom w:w="0" w:type="dxa"/>
            </w:tcMar>
            <w:vAlign w:val="center"/>
          </w:tcPr>
          <w:p>
            <w:pPr>
              <w:pStyle w:val="TableContents"/>
              <w:bidi w:val="0"/>
              <w:spacing w:before="0" w:after="283"/>
              <w:jc w:val="left"/>
            </w:pPr>
            <w:r>
              <w:t> </w:t>
            </w:r>
          </w:p>
        </w:tc>
      </w:tr>
      <w:tr>
        <w:tc>
          <w:tcPr>
            <w:tcW w:w="132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3"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7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Revolver</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4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14.00</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301"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9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31, 2027</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4,626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6" w:type="dxa"/>
            <w:tcBorders/>
            <w:shd w:fill="FFFFFF" w:val="clear"/>
            <w:tcMar>
              <w:bottom w:w="0" w:type="dxa"/>
            </w:tcMar>
            <w:vAlign w:val="center"/>
          </w:tcPr>
          <w:p>
            <w:pPr>
              <w:pStyle w:val="TableContents"/>
              <w:bidi w:val="0"/>
              <w:spacing w:before="0" w:after="283"/>
              <w:ind w:left="0" w:right="0" w:hanging="0"/>
              <w:jc w:val="left"/>
            </w:pPr>
            <w:r>
              <w:t> </w:t>
            </w:r>
          </w:p>
        </w:tc>
        <w:tc>
          <w:tcPr>
            <w:tcW w:w="7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4,626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5"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1,597</w:t>
            </w:r>
          </w:p>
        </w:tc>
        <w:tc>
          <w:tcPr>
            <w:tcW w:w="67" w:type="dxa"/>
            <w:tcBorders/>
            <w:shd w:fill="FFFFFF" w:val="clear"/>
            <w:tcMar>
              <w:bottom w:w="0" w:type="dxa"/>
            </w:tcMar>
            <w:vAlign w:val="center"/>
          </w:tcPr>
          <w:p>
            <w:pPr>
              <w:pStyle w:val="TableContents"/>
              <w:bidi w:val="0"/>
              <w:spacing w:before="0" w:after="283"/>
              <w:jc w:val="left"/>
            </w:pPr>
            <w:r>
              <w:t> </w:t>
            </w:r>
          </w:p>
        </w:tc>
      </w:tr>
      <w:tr>
        <w:tc>
          <w:tcPr>
            <w:tcW w:w="132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03"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Revolver</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4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14.00</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301"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9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31, 2027</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4,626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70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3,815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47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1,316</w:t>
            </w:r>
          </w:p>
        </w:tc>
        <w:tc>
          <w:tcPr>
            <w:tcW w:w="67" w:type="dxa"/>
            <w:tcBorders/>
            <w:shd w:fill="CCEEFF" w:val="clear"/>
            <w:tcMar>
              <w:bottom w:w="0" w:type="dxa"/>
            </w:tcMar>
            <w:vAlign w:val="center"/>
          </w:tcPr>
          <w:p>
            <w:pPr>
              <w:pStyle w:val="TableContents"/>
              <w:bidi w:val="0"/>
              <w:spacing w:before="0" w:after="283"/>
              <w:jc w:val="left"/>
            </w:pPr>
            <w:r>
              <w:t> </w:t>
            </w:r>
          </w:p>
        </w:tc>
      </w:tr>
      <w:tr>
        <w:tc>
          <w:tcPr>
            <w:tcW w:w="3420" w:type="dxa"/>
            <w:gridSpan w:val="5"/>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Non-Controlled Affiliate Debt Investments</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jc w:val="left"/>
            </w:pPr>
            <w:r>
              <w:t> </w:t>
            </w:r>
          </w:p>
        </w:tc>
        <w:tc>
          <w:tcPr>
            <w:tcW w:w="406" w:type="dxa"/>
            <w:tcBorders/>
            <w:shd w:fill="FFFFFF" w:val="clear"/>
            <w:tcMar>
              <w:bottom w:w="0" w:type="dxa"/>
            </w:tcMar>
            <w:vAlign w:val="center"/>
          </w:tcPr>
          <w:p>
            <w:pPr>
              <w:pStyle w:val="TableContents"/>
              <w:bidi w:val="0"/>
              <w:spacing w:before="0" w:after="283"/>
              <w:jc w:val="right"/>
            </w:pPr>
            <w:r>
              <w:rPr>
                <w:rStyle w:val="Emphasis"/>
              </w:rPr>
              <w:t> </w:t>
            </w:r>
          </w:p>
        </w:tc>
        <w:tc>
          <w:tcPr>
            <w:tcW w:w="357" w:type="dxa"/>
            <w:tcBorders/>
            <w:shd w:fill="FFFFFF" w:val="clear"/>
            <w:tcMar>
              <w:bottom w:w="0" w:type="dxa"/>
            </w:tcMar>
            <w:vAlign w:val="center"/>
          </w:tcPr>
          <w:p>
            <w:pPr>
              <w:pStyle w:val="TableContents"/>
              <w:bidi w:val="0"/>
              <w:spacing w:before="0" w:after="283"/>
              <w:jc w:val="left"/>
            </w:pPr>
            <w:r>
              <w:t> </w:t>
            </w:r>
          </w:p>
        </w:tc>
        <w:tc>
          <w:tcPr>
            <w:tcW w:w="3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jc w:val="left"/>
            </w:pPr>
            <w:r>
              <w:t> </w:t>
            </w:r>
          </w:p>
        </w:tc>
        <w:tc>
          <w:tcPr>
            <w:tcW w:w="301"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96"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jc w:val="left"/>
            </w:pPr>
            <w:r>
              <w:t> </w:t>
            </w:r>
          </w:p>
        </w:tc>
        <w:tc>
          <w:tcPr>
            <w:tcW w:w="517"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70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33,428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47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10,606</w:t>
            </w:r>
          </w:p>
        </w:tc>
        <w:tc>
          <w:tcPr>
            <w:tcW w:w="67"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10141" w:type="dxa"/>
        <w:jc w:val="left"/>
        <w:tblInd w:w="0" w:type="dxa"/>
        <w:tblLayout w:type="fixed"/>
        <w:tblCellMar>
          <w:top w:w="0" w:type="dxa"/>
          <w:left w:w="0" w:type="dxa"/>
          <w:bottom w:w="0" w:type="dxa"/>
          <w:right w:w="0" w:type="dxa"/>
        </w:tblCellMar>
      </w:tblPr>
      <w:tblGrid>
        <w:gridCol w:w="3515"/>
        <w:gridCol w:w="60"/>
        <w:gridCol w:w="934"/>
        <w:gridCol w:w="945"/>
        <w:gridCol w:w="60"/>
        <w:gridCol w:w="60"/>
        <w:gridCol w:w="691"/>
        <w:gridCol w:w="693"/>
        <w:gridCol w:w="60"/>
        <w:gridCol w:w="60"/>
        <w:gridCol w:w="96"/>
        <w:gridCol w:w="973"/>
        <w:gridCol w:w="60"/>
        <w:gridCol w:w="60"/>
        <w:gridCol w:w="172"/>
        <w:gridCol w:w="912"/>
        <w:gridCol w:w="60"/>
        <w:gridCol w:w="60"/>
        <w:gridCol w:w="95"/>
        <w:gridCol w:w="500"/>
        <w:gridCol w:w="75"/>
      </w:tblGrid>
      <w:tr>
        <w:tc>
          <w:tcPr>
            <w:tcW w:w="35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1" w:type="dxa"/>
            <w:tcBorders/>
            <w:shd w:fill="FFFFFF" w:val="clear"/>
            <w:vAlign w:val="center"/>
          </w:tcPr>
          <w:p>
            <w:pPr>
              <w:pStyle w:val="TableContents"/>
              <w:bidi w:val="0"/>
              <w:spacing w:before="0" w:after="283"/>
              <w:jc w:val="left"/>
            </w:pPr>
            <w:r>
              <w:t> </w:t>
            </w:r>
          </w:p>
        </w:tc>
        <w:tc>
          <w:tcPr>
            <w:tcW w:w="693"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w:t>
            </w:r>
          </w:p>
        </w:tc>
        <w:tc>
          <w:tcPr>
            <w:tcW w:w="75" w:type="dxa"/>
            <w:tcBorders/>
            <w:shd w:fill="FFFFFF" w:val="clear"/>
            <w:vAlign w:val="center"/>
          </w:tcPr>
          <w:p>
            <w:pPr>
              <w:pStyle w:val="TableContents"/>
              <w:bidi w:val="0"/>
              <w:spacing w:before="0" w:after="283"/>
              <w:jc w:val="left"/>
            </w:pPr>
            <w:r>
              <w:t> </w:t>
            </w:r>
          </w:p>
        </w:tc>
      </w:tr>
      <w:tr>
        <w:tc>
          <w:tcPr>
            <w:tcW w:w="35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vAlign w:val="center"/>
          </w:tcPr>
          <w:p>
            <w:pPr>
              <w:pStyle w:val="TableContents"/>
              <w:bidi w:val="0"/>
              <w:spacing w:before="0" w:after="283"/>
              <w:ind w:left="0" w:right="0" w:hanging="0"/>
              <w:jc w:val="left"/>
            </w:pPr>
            <w:r>
              <w:t> </w:t>
            </w:r>
          </w:p>
        </w:tc>
        <w:tc>
          <w:tcPr>
            <w:tcW w:w="1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Number of Shares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Investments (6)(9)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Value (9)</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Non-Controlled Affiliate Other Investments — 0.4% (8)</w:t>
            </w:r>
          </w:p>
        </w:tc>
        <w:tc>
          <w:tcPr>
            <w:tcW w:w="6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ind w:left="0" w:right="0" w:hanging="0"/>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left"/>
            </w:pPr>
            <w:r>
              <w:t> </w:t>
            </w:r>
          </w:p>
        </w:tc>
        <w:tc>
          <w:tcPr>
            <w:tcW w:w="693" w:type="dxa"/>
            <w:tcBorders/>
            <w:shd w:fill="CCEEFF" w:val="clear"/>
            <w:vAlign w:val="center"/>
          </w:tcPr>
          <w:p>
            <w:pPr>
              <w:pStyle w:val="TableContents"/>
              <w:bidi w:val="0"/>
              <w:spacing w:before="0" w:after="283"/>
              <w:ind w:left="0" w:right="0" w:hanging="0"/>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Evelo Holdings, Inc. (2)(5)(12)(15)</w:t>
            </w:r>
          </w:p>
        </w:tc>
        <w:tc>
          <w:tcPr>
            <w:tcW w:w="60" w:type="dxa"/>
            <w:tcBorders/>
            <w:shd w:fill="FFFFFF" w:val="clear"/>
            <w:vAlign w:val="center"/>
          </w:tcPr>
          <w:p>
            <w:pPr>
              <w:pStyle w:val="TableContents"/>
              <w:bidi w:val="0"/>
              <w:spacing w:before="0" w:after="283"/>
              <w:ind w:left="0" w:right="0" w:hanging="0"/>
              <w:jc w:val="left"/>
            </w:pPr>
            <w:r>
              <w:t> </w:t>
            </w:r>
          </w:p>
        </w:tc>
        <w:tc>
          <w:tcPr>
            <w:tcW w:w="1879"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4"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Investment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20,092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1,486</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Total Non-Controlled Affiliate Other Investments</w:t>
            </w:r>
          </w:p>
        </w:tc>
        <w:tc>
          <w:tcPr>
            <w:tcW w:w="6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left"/>
            </w:pPr>
            <w:r>
              <w:t> </w:t>
            </w:r>
          </w:p>
        </w:tc>
        <w:tc>
          <w:tcPr>
            <w:tcW w:w="69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9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20,092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50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1,486</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Non-controlled Affiliate Equity — 0.0% (8)</w:t>
            </w:r>
          </w:p>
        </w:tc>
        <w:tc>
          <w:tcPr>
            <w:tcW w:w="6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1" w:type="dxa"/>
            <w:tcBorders/>
            <w:shd w:fill="FFFFFF" w:val="clear"/>
            <w:vAlign w:val="center"/>
          </w:tcPr>
          <w:p>
            <w:pPr>
              <w:pStyle w:val="TableContents"/>
              <w:bidi w:val="0"/>
              <w:spacing w:before="0" w:after="283"/>
              <w:jc w:val="left"/>
            </w:pPr>
            <w:r>
              <w:t> </w:t>
            </w:r>
          </w:p>
        </w:tc>
        <w:tc>
          <w:tcPr>
            <w:tcW w:w="69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Aulea Medical, Inc. (12)</w:t>
            </w:r>
          </w:p>
        </w:tc>
        <w:tc>
          <w:tcPr>
            <w:tcW w:w="60" w:type="dxa"/>
            <w:tcBorders/>
            <w:shd w:fill="CCEEFF" w:val="clear"/>
            <w:vAlign w:val="center"/>
          </w:tcPr>
          <w:p>
            <w:pPr>
              <w:pStyle w:val="TableContents"/>
              <w:bidi w:val="0"/>
              <w:spacing w:before="0" w:after="283"/>
              <w:ind w:left="0" w:right="0" w:hanging="0"/>
              <w:jc w:val="left"/>
            </w:pPr>
            <w:r>
              <w:t> </w:t>
            </w:r>
          </w:p>
        </w:tc>
        <w:tc>
          <w:tcPr>
            <w:tcW w:w="1879" w:type="dxa"/>
            <w:gridSpan w:val="2"/>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84" w:type="dxa"/>
            <w:gridSpan w:val="2"/>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660,537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Evelo Holdings, Inc. (2)(5)(12)</w:t>
            </w:r>
          </w:p>
        </w:tc>
        <w:tc>
          <w:tcPr>
            <w:tcW w:w="60" w:type="dxa"/>
            <w:tcBorders/>
            <w:shd w:fill="FFFFFF" w:val="clear"/>
            <w:vAlign w:val="center"/>
          </w:tcPr>
          <w:p>
            <w:pPr>
              <w:pStyle w:val="TableContents"/>
              <w:bidi w:val="0"/>
              <w:spacing w:before="0" w:after="283"/>
              <w:ind w:left="0" w:right="0" w:hanging="0"/>
              <w:jc w:val="left"/>
            </w:pPr>
            <w:r>
              <w:t> </w:t>
            </w:r>
          </w:p>
        </w:tc>
        <w:tc>
          <w:tcPr>
            <w:tcW w:w="1879"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4"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2,164,502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Hound Labs II, LLC (12)</w:t>
            </w:r>
          </w:p>
        </w:tc>
        <w:tc>
          <w:tcPr>
            <w:tcW w:w="60" w:type="dxa"/>
            <w:tcBorders/>
            <w:shd w:fill="CCEEFF" w:val="clear"/>
            <w:vAlign w:val="center"/>
          </w:tcPr>
          <w:p>
            <w:pPr>
              <w:pStyle w:val="TableContents"/>
              <w:bidi w:val="0"/>
              <w:spacing w:before="0" w:after="283"/>
              <w:ind w:left="0" w:right="0" w:hanging="0"/>
              <w:jc w:val="left"/>
            </w:pPr>
            <w:r>
              <w:t> </w:t>
            </w:r>
          </w:p>
        </w:tc>
        <w:tc>
          <w:tcPr>
            <w:tcW w:w="1879" w:type="dxa"/>
            <w:gridSpan w:val="2"/>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Diagnostics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84" w:type="dxa"/>
            <w:gridSpan w:val="2"/>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4,769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NextCar Holding Company, Inc. (2)(12)</w:t>
            </w:r>
          </w:p>
        </w:tc>
        <w:tc>
          <w:tcPr>
            <w:tcW w:w="60" w:type="dxa"/>
            <w:tcBorders/>
            <w:shd w:fill="FFFFFF" w:val="clear"/>
            <w:vAlign w:val="center"/>
          </w:tcPr>
          <w:p>
            <w:pPr>
              <w:pStyle w:val="TableContents"/>
              <w:bidi w:val="0"/>
              <w:spacing w:before="0" w:after="283"/>
              <w:ind w:left="0" w:right="0" w:hanging="0"/>
              <w:jc w:val="left"/>
            </w:pPr>
            <w:r>
              <w:t> </w:t>
            </w:r>
          </w:p>
        </w:tc>
        <w:tc>
          <w:tcPr>
            <w:tcW w:w="1879"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4"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2,688,971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Nexii, Inc. (2)(12)</w:t>
            </w:r>
          </w:p>
        </w:tc>
        <w:tc>
          <w:tcPr>
            <w:tcW w:w="60" w:type="dxa"/>
            <w:tcBorders/>
            <w:shd w:fill="CCEEFF" w:val="clear"/>
            <w:vAlign w:val="center"/>
          </w:tcPr>
          <w:p>
            <w:pPr>
              <w:pStyle w:val="TableContents"/>
              <w:bidi w:val="0"/>
              <w:spacing w:before="0" w:after="283"/>
              <w:ind w:left="0" w:right="0" w:hanging="0"/>
              <w:jc w:val="left"/>
            </w:pPr>
            <w:r>
              <w:t> </w:t>
            </w:r>
          </w:p>
        </w:tc>
        <w:tc>
          <w:tcPr>
            <w:tcW w:w="1879" w:type="dxa"/>
            <w:gridSpan w:val="2"/>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84" w:type="dxa"/>
            <w:gridSpan w:val="2"/>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168,377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Total Non-Controlled Affiliate Equity</w:t>
            </w:r>
          </w:p>
        </w:tc>
        <w:tc>
          <w:tcPr>
            <w:tcW w:w="6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1" w:type="dxa"/>
            <w:tcBorders/>
            <w:shd w:fill="FFFFFF" w:val="clear"/>
            <w:vAlign w:val="center"/>
          </w:tcPr>
          <w:p>
            <w:pPr>
              <w:pStyle w:val="TableContents"/>
              <w:bidi w:val="0"/>
              <w:spacing w:before="0" w:after="283"/>
              <w:jc w:val="left"/>
            </w:pPr>
            <w:r>
              <w:t> </w:t>
            </w:r>
          </w:p>
        </w:tc>
        <w:tc>
          <w:tcPr>
            <w:tcW w:w="69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1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19,515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50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Non-controlled Affiliate Warrants — 0.0% (8)</w:t>
            </w:r>
          </w:p>
        </w:tc>
        <w:tc>
          <w:tcPr>
            <w:tcW w:w="6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left"/>
            </w:pPr>
            <w:r>
              <w:t> </w:t>
            </w:r>
          </w:p>
        </w:tc>
        <w:tc>
          <w:tcPr>
            <w:tcW w:w="69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Evelo Holdings, Inc. (2)(5)(12)</w:t>
            </w:r>
          </w:p>
        </w:tc>
        <w:tc>
          <w:tcPr>
            <w:tcW w:w="60" w:type="dxa"/>
            <w:tcBorders/>
            <w:shd w:fill="FFFFFF" w:val="clear"/>
            <w:vAlign w:val="center"/>
          </w:tcPr>
          <w:p>
            <w:pPr>
              <w:pStyle w:val="TableContents"/>
              <w:bidi w:val="0"/>
              <w:spacing w:before="0" w:after="283"/>
              <w:ind w:left="0" w:right="0" w:hanging="0"/>
              <w:jc w:val="left"/>
            </w:pPr>
            <w:r>
              <w:t> </w:t>
            </w:r>
          </w:p>
        </w:tc>
        <w:tc>
          <w:tcPr>
            <w:tcW w:w="1879"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4"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23,196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Total Non-Controlled Affiliate Warrants</w:t>
            </w:r>
          </w:p>
        </w:tc>
        <w:tc>
          <w:tcPr>
            <w:tcW w:w="6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left"/>
            </w:pPr>
            <w:r>
              <w:t> </w:t>
            </w:r>
          </w:p>
        </w:tc>
        <w:tc>
          <w:tcPr>
            <w:tcW w:w="69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Total Non-Controlled Affiliate Portfolio Investment Assets</w:t>
            </w:r>
          </w:p>
        </w:tc>
        <w:tc>
          <w:tcPr>
            <w:tcW w:w="6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1" w:type="dxa"/>
            <w:tcBorders/>
            <w:shd w:fill="FFFFFF" w:val="clear"/>
            <w:vAlign w:val="center"/>
          </w:tcPr>
          <w:p>
            <w:pPr>
              <w:pStyle w:val="TableContents"/>
              <w:bidi w:val="0"/>
              <w:spacing w:before="0" w:after="283"/>
              <w:jc w:val="left"/>
            </w:pPr>
            <w:r>
              <w:t> </w:t>
            </w:r>
          </w:p>
        </w:tc>
        <w:tc>
          <w:tcPr>
            <w:tcW w:w="69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73,162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12,092</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left"/>
            </w:pPr>
            <w:r>
              <w:t> </w:t>
            </w:r>
          </w:p>
        </w:tc>
        <w:tc>
          <w:tcPr>
            <w:tcW w:w="69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Controlled Affiliate Investments — 2.1% (8)</w:t>
            </w:r>
          </w:p>
        </w:tc>
        <w:tc>
          <w:tcPr>
            <w:tcW w:w="6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1" w:type="dxa"/>
            <w:tcBorders/>
            <w:shd w:fill="FFFFFF" w:val="clear"/>
            <w:vAlign w:val="center"/>
          </w:tcPr>
          <w:p>
            <w:pPr>
              <w:pStyle w:val="TableContents"/>
              <w:bidi w:val="0"/>
              <w:spacing w:before="0" w:after="283"/>
              <w:jc w:val="left"/>
            </w:pPr>
            <w:r>
              <w:t> </w:t>
            </w:r>
          </w:p>
        </w:tc>
        <w:tc>
          <w:tcPr>
            <w:tcW w:w="69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Controlled Affiliate Equity — Financial — 2.1% (8)</w:t>
            </w:r>
          </w:p>
        </w:tc>
        <w:tc>
          <w:tcPr>
            <w:tcW w:w="6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left"/>
            </w:pPr>
            <w:r>
              <w:t> </w:t>
            </w:r>
          </w:p>
        </w:tc>
        <w:tc>
          <w:tcPr>
            <w:tcW w:w="69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RoHo Capital Opportunity Fund LLC (12)(18)</w:t>
            </w:r>
          </w:p>
        </w:tc>
        <w:tc>
          <w:tcPr>
            <w:tcW w:w="60" w:type="dxa"/>
            <w:tcBorders/>
            <w:shd w:fill="FFFFFF" w:val="clear"/>
            <w:vAlign w:val="center"/>
          </w:tcPr>
          <w:p>
            <w:pPr>
              <w:pStyle w:val="TableContents"/>
              <w:bidi w:val="0"/>
              <w:spacing w:before="0" w:after="283"/>
              <w:ind w:left="0" w:right="0" w:hanging="0"/>
              <w:jc w:val="left"/>
            </w:pPr>
            <w:r>
              <w:t> </w:t>
            </w:r>
          </w:p>
        </w:tc>
        <w:tc>
          <w:tcPr>
            <w:tcW w:w="1879"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Investment funds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1" w:type="dxa"/>
            <w:tcBorders/>
            <w:shd w:fill="FFFFFF" w:val="clear"/>
            <w:vAlign w:val="center"/>
          </w:tcPr>
          <w:p>
            <w:pPr>
              <w:pStyle w:val="TableContents"/>
              <w:bidi w:val="0"/>
              <w:spacing w:before="0" w:after="283"/>
              <w:jc w:val="left"/>
            </w:pPr>
            <w:r>
              <w:t> </w:t>
            </w:r>
          </w:p>
        </w:tc>
        <w:tc>
          <w:tcPr>
            <w:tcW w:w="69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7,765</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Total Controlled Affiliate Equity</w:t>
            </w:r>
          </w:p>
        </w:tc>
        <w:tc>
          <w:tcPr>
            <w:tcW w:w="6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left"/>
            </w:pPr>
            <w:r>
              <w:t> </w:t>
            </w:r>
          </w:p>
        </w:tc>
        <w:tc>
          <w:tcPr>
            <w:tcW w:w="69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7,765</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Total Controlled Affiliate Portfolio Investment Assets</w:t>
            </w:r>
          </w:p>
        </w:tc>
        <w:tc>
          <w:tcPr>
            <w:tcW w:w="6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1" w:type="dxa"/>
            <w:tcBorders/>
            <w:shd w:fill="FFFFFF" w:val="clear"/>
            <w:vAlign w:val="center"/>
          </w:tcPr>
          <w:p>
            <w:pPr>
              <w:pStyle w:val="TableContents"/>
              <w:bidi w:val="0"/>
              <w:spacing w:before="0" w:after="283"/>
              <w:jc w:val="left"/>
            </w:pPr>
            <w:r>
              <w:t> </w:t>
            </w:r>
          </w:p>
        </w:tc>
        <w:tc>
          <w:tcPr>
            <w:tcW w:w="69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7,765</w:t>
            </w:r>
          </w:p>
        </w:tc>
        <w:tc>
          <w:tcPr>
            <w:tcW w:w="75" w:type="dxa"/>
            <w:tcBorders/>
            <w:shd w:fill="FFFFFF" w:val="clear"/>
            <w:vAlign w:val="center"/>
          </w:tcPr>
          <w:p>
            <w:pPr>
              <w:pStyle w:val="TableContents"/>
              <w:bidi w:val="0"/>
              <w:spacing w:before="0" w:after="283"/>
              <w:jc w:val="left"/>
            </w:pPr>
            <w:r>
              <w:t> </w:t>
            </w:r>
          </w:p>
        </w:tc>
      </w:tr>
      <w:tr>
        <w:tc>
          <w:tcPr>
            <w:tcW w:w="35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left"/>
            </w:pPr>
            <w:r>
              <w:t> </w:t>
            </w:r>
          </w:p>
        </w:tc>
        <w:tc>
          <w:tcPr>
            <w:tcW w:w="69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Total Portfolio Investment Assets — 179.5% (8)</w:t>
            </w:r>
          </w:p>
        </w:tc>
        <w:tc>
          <w:tcPr>
            <w:tcW w:w="6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1" w:type="dxa"/>
            <w:tcBorders/>
            <w:shd w:fill="FFFFFF" w:val="clear"/>
            <w:vAlign w:val="center"/>
          </w:tcPr>
          <w:p>
            <w:pPr>
              <w:pStyle w:val="TableContents"/>
              <w:bidi w:val="0"/>
              <w:spacing w:before="0" w:after="283"/>
              <w:jc w:val="left"/>
            </w:pPr>
            <w:r>
              <w:t> </w:t>
            </w:r>
          </w:p>
        </w:tc>
        <w:tc>
          <w:tcPr>
            <w:tcW w:w="69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780,670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650,323</w:t>
            </w:r>
          </w:p>
        </w:tc>
        <w:tc>
          <w:tcPr>
            <w:tcW w:w="75"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5005" w:type="dxa"/>
        <w:jc w:val="left"/>
        <w:tblInd w:w="0" w:type="dxa"/>
        <w:tblLayout w:type="fixed"/>
        <w:tblCellMar>
          <w:top w:w="0" w:type="dxa"/>
          <w:left w:w="0" w:type="dxa"/>
          <w:bottom w:w="0" w:type="dxa"/>
          <w:right w:w="0" w:type="dxa"/>
        </w:tblCellMar>
      </w:tblPr>
      <w:tblGrid>
        <w:gridCol w:w="3725"/>
        <w:gridCol w:w="60"/>
        <w:gridCol w:w="95"/>
        <w:gridCol w:w="425"/>
        <w:gridCol w:w="60"/>
        <w:gridCol w:w="60"/>
        <w:gridCol w:w="95"/>
        <w:gridCol w:w="425"/>
        <w:gridCol w:w="60"/>
      </w:tblGrid>
      <w:t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Short Term Investments - Unrestricted Investments - 23.5% (8)</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4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4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US Bank Money Market Deposit Account</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14"/>
              </w:rPr>
            </w:pPr>
            <w:r>
              <w:rPr>
                <w:color w:val="000000"/>
                <w:sz w:val="14"/>
              </w:rPr>
              <w:t>85,146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14"/>
              </w:rPr>
            </w:pPr>
            <w:r>
              <w:rPr>
                <w:color w:val="000000"/>
                <w:sz w:val="14"/>
              </w:rPr>
              <w:t>85,146</w:t>
            </w:r>
          </w:p>
        </w:tc>
        <w:tc>
          <w:tcPr>
            <w:tcW w:w="60" w:type="dxa"/>
            <w:tcBorders/>
            <w:shd w:fill="FFFFFF" w:val="clear"/>
            <w:vAlign w:val="center"/>
          </w:tcPr>
          <w:p>
            <w:pPr>
              <w:pStyle w:val="TableContents"/>
              <w:bidi w:val="0"/>
              <w:spacing w:before="0" w:after="283"/>
              <w:jc w:val="left"/>
            </w:pPr>
            <w:r>
              <w:t> </w:t>
            </w:r>
          </w:p>
        </w:tc>
      </w:tr>
      <w:t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Short Term Investments - Unrestricted Investments</w:t>
            </w:r>
          </w:p>
        </w:tc>
        <w:tc>
          <w:tcPr>
            <w:tcW w:w="60" w:type="dxa"/>
            <w:tcBorders/>
            <w:shd w:fill="CCEEFF" w:val="clear"/>
            <w:vAlign w:val="center"/>
          </w:tcPr>
          <w:p>
            <w:pPr>
              <w:pStyle w:val="TableContents"/>
              <w:bidi w:val="0"/>
              <w:spacing w:before="0" w:after="283"/>
              <w:ind w:left="0" w:right="0" w:hanging="0"/>
              <w:jc w:val="left"/>
            </w:pPr>
            <w: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14"/>
              </w:rPr>
            </w:pPr>
            <w:r>
              <w:rPr>
                <w:sz w:val="14"/>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14"/>
              </w:rPr>
            </w:pPr>
            <w:r>
              <w:rPr>
                <w:sz w:val="14"/>
              </w:rPr>
              <w:t>85,146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14"/>
              </w:rPr>
            </w:pPr>
            <w:r>
              <w:rPr>
                <w:sz w:val="14"/>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14"/>
              </w:rPr>
            </w:pPr>
            <w:r>
              <w:rPr>
                <w:sz w:val="14"/>
              </w:rPr>
              <w:t>85,146</w:t>
            </w:r>
          </w:p>
        </w:tc>
        <w:tc>
          <w:tcPr>
            <w:tcW w:w="60" w:type="dxa"/>
            <w:tcBorders/>
            <w:shd w:fill="CCEEFF" w:val="clear"/>
            <w:vAlign w:val="center"/>
          </w:tcPr>
          <w:p>
            <w:pPr>
              <w:pStyle w:val="TableContents"/>
              <w:bidi w:val="0"/>
              <w:spacing w:before="0" w:after="283"/>
              <w:jc w:val="left"/>
            </w:pPr>
            <w:r>
              <w:t> </w:t>
            </w:r>
          </w:p>
        </w:tc>
      </w:tr>
      <w:tr>
        <w:tc>
          <w:tcPr>
            <w:tcW w:w="37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Short Term Investments - Restricted Investments - 0.7% (8)</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4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4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US Bank Money Market Deposit Account</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14"/>
              </w:rPr>
            </w:pPr>
            <w:r>
              <w:rPr>
                <w:color w:val="000000"/>
                <w:sz w:val="14"/>
              </w:rPr>
              <w:t>2,636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14"/>
              </w:rPr>
            </w:pPr>
            <w:r>
              <w:rPr>
                <w:color w:val="000000"/>
                <w:sz w:val="14"/>
              </w:rPr>
              <w:t>2,636</w:t>
            </w:r>
          </w:p>
        </w:tc>
        <w:tc>
          <w:tcPr>
            <w:tcW w:w="60" w:type="dxa"/>
            <w:tcBorders/>
            <w:shd w:fill="FFFFFF" w:val="clear"/>
            <w:vAlign w:val="center"/>
          </w:tcPr>
          <w:p>
            <w:pPr>
              <w:pStyle w:val="TableContents"/>
              <w:bidi w:val="0"/>
              <w:spacing w:before="0" w:after="283"/>
              <w:jc w:val="left"/>
            </w:pPr>
            <w:r>
              <w:t> </w:t>
            </w:r>
          </w:p>
        </w:tc>
      </w:tr>
      <w:t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Short Term Investments - Restricted Investments</w:t>
            </w:r>
          </w:p>
        </w:tc>
        <w:tc>
          <w:tcPr>
            <w:tcW w:w="60" w:type="dxa"/>
            <w:tcBorders/>
            <w:shd w:fill="CCEEFF" w:val="clear"/>
            <w:vAlign w:val="center"/>
          </w:tcPr>
          <w:p>
            <w:pPr>
              <w:pStyle w:val="TableContents"/>
              <w:bidi w:val="0"/>
              <w:spacing w:before="0" w:after="283"/>
              <w:ind w:left="0" w:right="0" w:hanging="0"/>
              <w:jc w:val="left"/>
            </w:pPr>
            <w: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14"/>
              </w:rPr>
            </w:pPr>
            <w:r>
              <w:rPr>
                <w:sz w:val="14"/>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14"/>
              </w:rPr>
            </w:pPr>
            <w:r>
              <w:rPr>
                <w:sz w:val="14"/>
              </w:rPr>
              <w:t>2,636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14"/>
              </w:rPr>
            </w:pPr>
            <w:r>
              <w:rPr>
                <w:sz w:val="14"/>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14"/>
              </w:rPr>
            </w:pPr>
            <w:r>
              <w:rPr>
                <w:sz w:val="14"/>
              </w:rPr>
              <w:t>2,636</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16"/>
        </w:rPr>
      </w:pPr>
      <w:r>
        <w:rPr>
          <w:rFonts w:ascii="Times New Roman" w:hAnsi="Times New Roman"/>
          <w:sz w:val="16"/>
        </w:rPr>
        <w:t>See Notes to Consolidated Financial Statements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 (Unaudited)</w:t>
      </w:r>
    </w:p>
    <w:p>
      <w:pPr>
        <w:pStyle w:val="TextBody"/>
        <w:bidi w:val="0"/>
        <w:spacing w:before="0" w:after="0"/>
        <w:ind w:left="0" w:right="0" w:hanging="0"/>
        <w:jc w:val="center"/>
      </w:pPr>
      <w:r>
        <w:rPr>
          <w:rStyle w:val="Emphasis"/>
          <w:rFonts w:ascii="Times New Roman" w:hAnsi="Times New Roman"/>
          <w:b/>
          <w:caps w:val="false"/>
          <w:smallCaps w:val="false"/>
          <w:sz w:val="20"/>
        </w:rPr>
        <w:t>September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c>
          <w:tcPr>
            <w:tcW w:w="219"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998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All investments of the Company are in entities organized under the laws of the United States and have a principal place of business in the United States, unless otherwise noted.</w:t>
            </w:r>
          </w:p>
        </w:tc>
      </w:tr>
    </w:tbl>
    <w:tbl>
      <w:tblPr>
        <w:tblW w:w="10205" w:type="dxa"/>
        <w:jc w:val="left"/>
        <w:tblInd w:w="0" w:type="dxa"/>
        <w:tblLayout w:type="fixed"/>
        <w:tblCellMar>
          <w:top w:w="0" w:type="dxa"/>
          <w:left w:w="0" w:type="dxa"/>
          <w:bottom w:w="0" w:type="dxa"/>
          <w:right w:w="0" w:type="dxa"/>
        </w:tblCellMar>
      </w:tblPr>
      <w:tblGrid>
        <w:gridCol w:w="149"/>
        <w:gridCol w:w="10056"/>
      </w:tblGrid>
      <w:tr>
        <w:tc>
          <w:tcPr>
            <w:tcW w:w="149" w:type="dxa"/>
            <w:tcBorders/>
            <w:vAlign w:val="center"/>
          </w:tcPr>
          <w:p>
            <w:pPr>
              <w:pStyle w:val="TableContents"/>
              <w:bidi w:val="0"/>
              <w:spacing w:before="0" w:after="283"/>
              <w:jc w:val="left"/>
            </w:pPr>
            <w:r>
              <w:rPr>
                <w:rFonts w:ascii="Times New Roman;Times;serif" w:hAnsi="Times New Roman;Times;serif"/>
                <w:sz w:val="18"/>
              </w:rPr>
              <w:t>(</w:t>
            </w:r>
            <w:r>
              <w:rPr>
                <w:rStyle w:val="Emphasis"/>
                <w:rFonts w:ascii="Times New Roman;Times;serif" w:hAnsi="Times New Roman;Times;serif"/>
                <w:sz w:val="18"/>
              </w:rPr>
              <w:t>2</w:t>
            </w:r>
            <w:r>
              <w:rPr>
                <w:rFonts w:ascii="Times New Roman;Times;serif" w:hAnsi="Times New Roman;Times;serif"/>
                <w:sz w:val="18"/>
              </w:rPr>
              <w:t>)</w:t>
            </w:r>
          </w:p>
        </w:tc>
        <w:tc>
          <w:tcPr>
            <w:tcW w:w="1005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Has been pledged as collateral under the revolving credit facility (the “Key Facility”) with KeyBank National Association (“Key”), a credit facility (the “NYL Facility”) led by New York Life Insurance Company and/or a credit facility (the “Nuveen Facility”, and together with the Key Facility and the NYL Facility, the “Credit Facilities”) led by Nuveen Alternatives Advisors LLC.</w:t>
            </w:r>
          </w:p>
        </w:tc>
      </w:tr>
      <w:tr>
        <w:tc>
          <w:tcPr>
            <w:tcW w:w="149"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10056"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All non-affiliate investments are investments in which the Company owns less than </w:t>
            </w:r>
            <w:r>
              <w:rPr>
                <w:rStyle w:val="Emphasis"/>
                <w:rFonts w:ascii="Times New Roman;Times;serif" w:hAnsi="Times New Roman;Times;serif"/>
                <w:caps w:val="false"/>
                <w:smallCaps w:val="false"/>
                <w:sz w:val="18"/>
              </w:rPr>
              <w:t>5%</w:t>
            </w:r>
            <w:r>
              <w:rPr>
                <w:rFonts w:ascii="Times New Roman;Times;serif" w:hAnsi="Times New Roman;Times;serif"/>
                <w:caps w:val="false"/>
                <w:smallCaps w:val="false"/>
                <w:sz w:val="18"/>
              </w:rPr>
              <w:t xml:space="preserve"> of the voting securities of the portfolio company. All non-controlled affiliate investments are investments in which the Company owns </w:t>
            </w:r>
            <w:r>
              <w:rPr>
                <w:rStyle w:val="Emphasis"/>
                <w:rFonts w:ascii="Times New Roman;Times;serif" w:hAnsi="Times New Roman;Times;serif"/>
                <w:caps w:val="false"/>
                <w:smallCaps w:val="false"/>
                <w:sz w:val="18"/>
              </w:rPr>
              <w:t>5%</w:t>
            </w:r>
            <w:r>
              <w:rPr>
                <w:rFonts w:ascii="Times New Roman;Times;serif" w:hAnsi="Times New Roman;Times;serif"/>
                <w:caps w:val="false"/>
                <w:smallCaps w:val="false"/>
                <w:sz w:val="18"/>
              </w:rPr>
              <w:t xml:space="preserve"> or more of the voting securities of the portfolio company but </w:t>
            </w:r>
            <w:r>
              <w:rPr>
                <w:rStyle w:val="Emphasis"/>
                <w:rFonts w:ascii="Times New Roman;Times;serif" w:hAnsi="Times New Roman;Times;serif"/>
                <w:caps w:val="false"/>
                <w:smallCaps w:val="false"/>
                <w:sz w:val="18"/>
              </w:rPr>
              <w:t>not</w:t>
            </w:r>
            <w:r>
              <w:rPr>
                <w:rFonts w:ascii="Times New Roman;Times;serif" w:hAnsi="Times New Roman;Times;serif"/>
                <w:caps w:val="false"/>
                <w:smallCaps w:val="false"/>
                <w:sz w:val="18"/>
              </w:rPr>
              <w:t xml:space="preserve"> more than </w:t>
            </w:r>
            <w:r>
              <w:rPr>
                <w:rStyle w:val="Emphasis"/>
                <w:rFonts w:ascii="Times New Roman;Times;serif" w:hAnsi="Times New Roman;Times;serif"/>
                <w:caps w:val="false"/>
                <w:smallCaps w:val="false"/>
                <w:sz w:val="18"/>
              </w:rPr>
              <w:t>25%</w:t>
            </w:r>
            <w:r>
              <w:rPr>
                <w:rFonts w:ascii="Times New Roman;Times;serif" w:hAnsi="Times New Roman;Times;serif"/>
                <w:caps w:val="false"/>
                <w:smallCaps w:val="false"/>
                <w:sz w:val="18"/>
              </w:rPr>
              <w:t xml:space="preserve"> of the voting securities of the portfolio company. All controlled affiliate investments are investments in which the Company owns more than </w:t>
            </w:r>
            <w:r>
              <w:rPr>
                <w:rStyle w:val="Emphasis"/>
                <w:rFonts w:ascii="Times New Roman;Times;serif" w:hAnsi="Times New Roman;Times;serif"/>
                <w:caps w:val="false"/>
                <w:smallCaps w:val="false"/>
                <w:sz w:val="18"/>
              </w:rPr>
              <w:t>25%</w:t>
            </w:r>
            <w:r>
              <w:rPr>
                <w:rFonts w:ascii="Times New Roman;Times;serif" w:hAnsi="Times New Roman;Times;serif"/>
                <w:caps w:val="false"/>
                <w:smallCaps w:val="false"/>
                <w:sz w:val="18"/>
              </w:rPr>
              <w:t xml:space="preserve"> of the portfolio company’s outstanding voting securities or has the power to exercise control over management or policies of such portfolio company (including through a management agreement).</w:t>
            </w:r>
          </w:p>
        </w:tc>
      </w:tr>
    </w:tbl>
    <w:tbl>
      <w:tblPr>
        <w:tblW w:w="10205" w:type="dxa"/>
        <w:jc w:val="left"/>
        <w:tblInd w:w="0" w:type="dxa"/>
        <w:tblLayout w:type="fixed"/>
        <w:tblCellMar>
          <w:top w:w="0" w:type="dxa"/>
          <w:left w:w="0" w:type="dxa"/>
          <w:bottom w:w="0" w:type="dxa"/>
          <w:right w:w="0" w:type="dxa"/>
        </w:tblCellMar>
      </w:tblPr>
      <w:tblGrid>
        <w:gridCol w:w="138"/>
        <w:gridCol w:w="10067"/>
      </w:tblGrid>
      <w:tr>
        <w:tc>
          <w:tcPr>
            <w:tcW w:w="13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4</w:t>
            </w:r>
            <w:r>
              <w:rPr>
                <w:rFonts w:ascii="Times New Roman;Times;serif" w:hAnsi="Times New Roman;Times;serif"/>
                <w:caps w:val="false"/>
                <w:smallCaps w:val="false"/>
                <w:sz w:val="18"/>
              </w:rPr>
              <w:t>)</w:t>
            </w:r>
          </w:p>
        </w:tc>
        <w:tc>
          <w:tcPr>
            <w:tcW w:w="10067"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All interest is payable in cash due monthly in arrears, unless otherwise indicated, and applies only to the Company’s debt investments. Interest rate is the annual interest rate on the debt investment and does </w:t>
            </w:r>
            <w:r>
              <w:rPr>
                <w:rStyle w:val="Emphasis"/>
                <w:rFonts w:ascii="Times New Roman;Times;serif" w:hAnsi="Times New Roman;Times;serif"/>
                <w:caps w:val="false"/>
                <w:smallCaps w:val="false"/>
                <w:sz w:val="18"/>
              </w:rPr>
              <w:t>not</w:t>
            </w:r>
            <w:r>
              <w:rPr>
                <w:rFonts w:ascii="Times New Roman;Times;serif" w:hAnsi="Times New Roman;Times;serif"/>
                <w:caps w:val="false"/>
                <w:smallCaps w:val="false"/>
                <w:sz w:val="18"/>
              </w:rPr>
              <w:t xml:space="preserve"> include end-of-term payments (“ETPs”), and any additional fees related to the investments, such as deferred interest, commitment fees or prepayment fees. Debt investments are at variable rates for the term of the debt investment, unless otherwise indicated. For each debt investment, the current interest rate in effect as of </w:t>
            </w:r>
            <w:r>
              <w:rPr>
                <w:rStyle w:val="Emphasis"/>
                <w:rFonts w:ascii="Times New Roman;Times;serif" w:hAnsi="Times New Roman;Times;serif"/>
                <w:caps w:val="false"/>
                <w:smallCaps w:val="false"/>
                <w:sz w:val="18"/>
              </w:rPr>
              <w:t xml:space="preserve"> September 30, 2026</w:t>
            </w:r>
            <w:r>
              <w:rPr>
                <w:rFonts w:ascii="Times New Roman;Times;serif" w:hAnsi="Times New Roman;Times;serif"/>
                <w:caps w:val="false"/>
                <w:smallCaps w:val="false"/>
                <w:sz w:val="18"/>
              </w:rPr>
              <w:t xml:space="preserve"> is provided.</w:t>
            </w:r>
          </w:p>
        </w:tc>
      </w:tr>
    </w:tbl>
    <w:tbl>
      <w:tblPr>
        <w:tblW w:w="3070" w:type="dxa"/>
        <w:jc w:val="left"/>
        <w:tblInd w:w="0" w:type="dxa"/>
        <w:tblLayout w:type="fixed"/>
        <w:tblCellMar>
          <w:top w:w="0" w:type="dxa"/>
          <w:left w:w="0" w:type="dxa"/>
          <w:bottom w:w="0" w:type="dxa"/>
          <w:right w:w="0" w:type="dxa"/>
        </w:tblCellMar>
      </w:tblPr>
      <w:tblGrid>
        <w:gridCol w:w="230"/>
        <w:gridCol w:w="2840"/>
      </w:tblGrid>
      <w:tr>
        <w:tc>
          <w:tcPr>
            <w:tcW w:w="23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5</w:t>
            </w:r>
            <w:r>
              <w:rPr>
                <w:rFonts w:ascii="Times New Roman;Times;serif" w:hAnsi="Times New Roman;Times;serif"/>
                <w:caps w:val="false"/>
                <w:smallCaps w:val="false"/>
                <w:sz w:val="18"/>
              </w:rPr>
              <w:t>)</w:t>
            </w:r>
          </w:p>
        </w:tc>
        <w:tc>
          <w:tcPr>
            <w:tcW w:w="2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Portfolio company is a public company.</w:t>
            </w:r>
          </w:p>
        </w:tc>
      </w:tr>
    </w:tbl>
    <w:tbl>
      <w:tblPr>
        <w:tblW w:w="5380" w:type="dxa"/>
        <w:jc w:val="left"/>
        <w:tblInd w:w="0" w:type="dxa"/>
        <w:tblLayout w:type="fixed"/>
        <w:tblCellMar>
          <w:top w:w="0" w:type="dxa"/>
          <w:left w:w="0" w:type="dxa"/>
          <w:bottom w:w="0" w:type="dxa"/>
          <w:right w:w="0" w:type="dxa"/>
        </w:tblCellMar>
      </w:tblPr>
      <w:tblGrid>
        <w:gridCol w:w="230"/>
        <w:gridCol w:w="5150"/>
      </w:tblGrid>
      <w:tr>
        <w:tc>
          <w:tcPr>
            <w:tcW w:w="23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6</w:t>
            </w:r>
            <w:r>
              <w:rPr>
                <w:rFonts w:ascii="Times New Roman;Times;serif" w:hAnsi="Times New Roman;Times;serif"/>
                <w:caps w:val="false"/>
                <w:smallCaps w:val="false"/>
                <w:sz w:val="18"/>
              </w:rPr>
              <w:t>)</w:t>
            </w:r>
          </w:p>
        </w:tc>
        <w:tc>
          <w:tcPr>
            <w:tcW w:w="51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For debt investments, represents principal balance less unearned income.</w:t>
            </w:r>
          </w:p>
        </w:tc>
      </w:tr>
    </w:tbl>
    <w:tbl>
      <w:tblPr>
        <w:tblW w:w="5050" w:type="dxa"/>
        <w:jc w:val="left"/>
        <w:tblInd w:w="0" w:type="dxa"/>
        <w:tblLayout w:type="fixed"/>
        <w:tblCellMar>
          <w:top w:w="0" w:type="dxa"/>
          <w:left w:w="0" w:type="dxa"/>
          <w:bottom w:w="0" w:type="dxa"/>
          <w:right w:w="0" w:type="dxa"/>
        </w:tblCellMar>
      </w:tblPr>
      <w:tblGrid>
        <w:gridCol w:w="230"/>
        <w:gridCol w:w="4820"/>
      </w:tblGrid>
      <w:tr>
        <w:tc>
          <w:tcPr>
            <w:tcW w:w="23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7</w:t>
            </w:r>
            <w:r>
              <w:rPr>
                <w:rFonts w:ascii="Times New Roman;Times;serif" w:hAnsi="Times New Roman;Times;serif"/>
                <w:caps w:val="false"/>
                <w:smallCaps w:val="false"/>
                <w:sz w:val="18"/>
              </w:rPr>
              <w:t>)</w:t>
            </w:r>
          </w:p>
        </w:tc>
        <w:tc>
          <w:tcPr>
            <w:tcW w:w="48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Warrants, Equity and Other Investments are non-income producing.</w:t>
            </w:r>
          </w:p>
        </w:tc>
      </w:tr>
    </w:tbl>
    <w:tbl>
      <w:tblPr>
        <w:tblW w:w="2500" w:type="dxa"/>
        <w:jc w:val="left"/>
        <w:tblInd w:w="0" w:type="dxa"/>
        <w:tblLayout w:type="fixed"/>
        <w:tblCellMar>
          <w:top w:w="0" w:type="dxa"/>
          <w:left w:w="0" w:type="dxa"/>
          <w:bottom w:w="0" w:type="dxa"/>
          <w:right w:w="0" w:type="dxa"/>
        </w:tblCellMar>
      </w:tblPr>
      <w:tblGrid>
        <w:gridCol w:w="230"/>
        <w:gridCol w:w="2270"/>
      </w:tblGrid>
      <w:tr>
        <w:tc>
          <w:tcPr>
            <w:tcW w:w="23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8</w:t>
            </w:r>
            <w:r>
              <w:rPr>
                <w:rFonts w:ascii="Times New Roman;Times;serif" w:hAnsi="Times New Roman;Times;serif"/>
                <w:caps w:val="false"/>
                <w:smallCaps w:val="false"/>
                <w:sz w:val="18"/>
              </w:rPr>
              <w:t>)</w:t>
            </w:r>
          </w:p>
        </w:tc>
        <w:tc>
          <w:tcPr>
            <w:tcW w:w="22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Value as a percent of net assets.</w:t>
            </w:r>
          </w:p>
        </w:tc>
      </w:tr>
    </w:tbl>
    <w:tbl>
      <w:tblPr>
        <w:tblW w:w="10205" w:type="dxa"/>
        <w:jc w:val="left"/>
        <w:tblInd w:w="0" w:type="dxa"/>
        <w:tblLayout w:type="fixed"/>
        <w:tblCellMar>
          <w:top w:w="0" w:type="dxa"/>
          <w:left w:w="0" w:type="dxa"/>
          <w:bottom w:w="0" w:type="dxa"/>
          <w:right w:w="0" w:type="dxa"/>
        </w:tblCellMar>
      </w:tblPr>
      <w:tblGrid>
        <w:gridCol w:w="152"/>
        <w:gridCol w:w="10053"/>
      </w:tblGrid>
      <w:tr>
        <w:tc>
          <w:tcPr>
            <w:tcW w:w="152"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9</w:t>
            </w:r>
            <w:r>
              <w:rPr>
                <w:rFonts w:ascii="Times New Roman;Times;serif" w:hAnsi="Times New Roman;Times;serif"/>
                <w:caps w:val="false"/>
                <w:smallCaps w:val="false"/>
                <w:sz w:val="18"/>
              </w:rPr>
              <w:t>)</w:t>
            </w:r>
          </w:p>
        </w:tc>
        <w:tc>
          <w:tcPr>
            <w:tcW w:w="10053"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As of </w:t>
            </w:r>
            <w:r>
              <w:rPr>
                <w:rStyle w:val="Emphasis"/>
                <w:rFonts w:ascii="Times New Roman;Times;serif" w:hAnsi="Times New Roman;Times;serif"/>
                <w:caps w:val="false"/>
                <w:smallCaps w:val="false"/>
                <w:sz w:val="18"/>
              </w:rPr>
              <w:t>September 30, 2026</w:t>
            </w:r>
            <w:r>
              <w:rPr>
                <w:rFonts w:ascii="Times New Roman;Times;serif" w:hAnsi="Times New Roman;Times;serif"/>
                <w:caps w:val="false"/>
                <w:smallCaps w:val="false"/>
                <w:sz w:val="18"/>
              </w:rPr>
              <w:t xml:space="preserve">, 1.5% and 1.0% the Company's total assets on a cost and fair value basis, respectively, are in non-qualifying assets under Section </w:t>
            </w:r>
            <w:r>
              <w:rPr>
                <w:rStyle w:val="Emphasis"/>
                <w:rFonts w:ascii="Times New Roman;Times;serif" w:hAnsi="Times New Roman;Times;serif"/>
                <w:caps w:val="false"/>
                <w:smallCaps w:val="false"/>
                <w:sz w:val="18"/>
              </w:rPr>
              <w:t>55</w:t>
            </w:r>
            <w:r>
              <w:rPr>
                <w:rFonts w:ascii="Times New Roman;Times;serif" w:hAnsi="Times New Roman;Times;serif"/>
                <w:caps w:val="false"/>
                <w:smallCaps w:val="false"/>
                <w:sz w:val="18"/>
              </w:rPr>
              <w:t xml:space="preserve">(a) of the </w:t>
            </w:r>
            <w:r>
              <w:rPr>
                <w:rStyle w:val="Emphasis"/>
                <w:rFonts w:ascii="Times New Roman;Times;serif" w:hAnsi="Times New Roman;Times;serif"/>
                <w:caps w:val="false"/>
                <w:smallCaps w:val="false"/>
                <w:sz w:val="18"/>
              </w:rPr>
              <w:t>1940</w:t>
            </w:r>
            <w:r>
              <w:rPr>
                <w:rFonts w:ascii="Times New Roman;Times;serif" w:hAnsi="Times New Roman;Times;serif"/>
                <w:caps w:val="false"/>
                <w:smallCaps w:val="false"/>
                <w:sz w:val="18"/>
              </w:rPr>
              <w:t xml:space="preserve"> Act. Under the </w:t>
            </w:r>
            <w:r>
              <w:rPr>
                <w:rStyle w:val="Emphasis"/>
                <w:rFonts w:ascii="Times New Roman;Times;serif" w:hAnsi="Times New Roman;Times;serif"/>
                <w:caps w:val="false"/>
                <w:smallCaps w:val="false"/>
                <w:sz w:val="18"/>
              </w:rPr>
              <w:t>1940</w:t>
            </w:r>
            <w:r>
              <w:rPr>
                <w:rFonts w:ascii="Times New Roman;Times;serif" w:hAnsi="Times New Roman;Times;serif"/>
                <w:caps w:val="false"/>
                <w:smallCaps w:val="false"/>
                <w:sz w:val="18"/>
              </w:rPr>
              <w:t xml:space="preserve"> Act, the Company </w:t>
            </w:r>
            <w:r>
              <w:rPr>
                <w:rStyle w:val="Emphasis"/>
                <w:rFonts w:ascii="Times New Roman;Times;serif" w:hAnsi="Times New Roman;Times;serif"/>
                <w:caps w:val="false"/>
                <w:smallCaps w:val="false"/>
                <w:sz w:val="18"/>
              </w:rPr>
              <w:t>may not</w:t>
            </w:r>
            <w:r>
              <w:rPr>
                <w:rFonts w:ascii="Times New Roman;Times;serif" w:hAnsi="Times New Roman;Times;serif"/>
                <w:caps w:val="false"/>
                <w:smallCaps w:val="false"/>
                <w:sz w:val="18"/>
              </w:rPr>
              <w:t xml:space="preserve"> acquire any non-qualifying assets unless, at the time the acquisition is made, qualifying assets represent at least </w:t>
            </w:r>
            <w:r>
              <w:rPr>
                <w:rStyle w:val="Emphasis"/>
                <w:rFonts w:ascii="Times New Roman;Times;serif" w:hAnsi="Times New Roman;Times;serif"/>
                <w:caps w:val="false"/>
                <w:smallCaps w:val="false"/>
                <w:sz w:val="18"/>
              </w:rPr>
              <w:t>70%</w:t>
            </w:r>
            <w:r>
              <w:rPr>
                <w:rFonts w:ascii="Times New Roman;Times;serif" w:hAnsi="Times New Roman;Times;serif"/>
                <w:caps w:val="false"/>
                <w:smallCaps w:val="false"/>
                <w:sz w:val="18"/>
              </w:rPr>
              <w:t xml:space="preserve"> of the Company’s total assets.</w:t>
            </w:r>
          </w:p>
        </w:tc>
      </w:tr>
    </w:tbl>
    <w:tbl>
      <w:tblPr>
        <w:tblW w:w="10205" w:type="dxa"/>
        <w:jc w:val="left"/>
        <w:tblInd w:w="0" w:type="dxa"/>
        <w:tblLayout w:type="fixed"/>
        <w:tblCellMar>
          <w:top w:w="0" w:type="dxa"/>
          <w:left w:w="0" w:type="dxa"/>
          <w:bottom w:w="0" w:type="dxa"/>
          <w:right w:w="0" w:type="dxa"/>
        </w:tblCellMar>
      </w:tblPr>
      <w:tblGrid>
        <w:gridCol w:w="228"/>
        <w:gridCol w:w="9977"/>
      </w:tblGrid>
      <w:tr>
        <w:tc>
          <w:tcPr>
            <w:tcW w:w="22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10</w:t>
            </w:r>
            <w:r>
              <w:rPr>
                <w:rFonts w:ascii="Times New Roman;Times;serif" w:hAnsi="Times New Roman;Times;serif"/>
                <w:caps w:val="false"/>
                <w:smallCaps w:val="false"/>
                <w:sz w:val="18"/>
              </w:rPr>
              <w:t>)</w:t>
            </w:r>
          </w:p>
        </w:tc>
        <w:tc>
          <w:tcPr>
            <w:tcW w:w="9977"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w:t>
            </w:r>
            <w:r>
              <w:rPr>
                <w:rStyle w:val="Emphasis"/>
                <w:rFonts w:ascii="Times New Roman;Times;serif" w:hAnsi="Times New Roman;Times;serif"/>
                <w:caps w:val="false"/>
                <w:smallCaps w:val="false"/>
                <w:sz w:val="18"/>
              </w:rPr>
              <w:t xml:space="preserve">may </w:t>
            </w:r>
            <w:r>
              <w:rPr>
                <w:rFonts w:ascii="Times New Roman;Times;serif" w:hAnsi="Times New Roman;Times;serif"/>
                <w:caps w:val="false"/>
                <w:smallCaps w:val="false"/>
                <w:sz w:val="18"/>
              </w:rPr>
              <w:t xml:space="preserve">pay its Advisor will be based on income that the Company has </w:t>
            </w:r>
            <w:r>
              <w:rPr>
                <w:rStyle w:val="Emphasis"/>
                <w:rFonts w:ascii="Times New Roman;Times;serif" w:hAnsi="Times New Roman;Times;serif"/>
                <w:caps w:val="false"/>
                <w:smallCaps w:val="false"/>
                <w:sz w:val="18"/>
              </w:rPr>
              <w:t>not</w:t>
            </w:r>
            <w:r>
              <w:rPr>
                <w:rFonts w:ascii="Times New Roman;Times;serif" w:hAnsi="Times New Roman;Times;serif"/>
                <w:caps w:val="false"/>
                <w:smallCaps w:val="false"/>
                <w:sz w:val="18"/>
              </w:rPr>
              <w:t xml:space="preserve"> yet received in cash.</w:t>
            </w:r>
          </w:p>
        </w:tc>
      </w:tr>
    </w:tbl>
    <w:tbl>
      <w:tblPr>
        <w:tblW w:w="10205" w:type="dxa"/>
        <w:jc w:val="left"/>
        <w:tblInd w:w="0" w:type="dxa"/>
        <w:tblLayout w:type="fixed"/>
        <w:tblCellMar>
          <w:top w:w="0" w:type="dxa"/>
          <w:left w:w="0" w:type="dxa"/>
          <w:bottom w:w="0" w:type="dxa"/>
          <w:right w:w="0" w:type="dxa"/>
        </w:tblCellMar>
      </w:tblPr>
      <w:tblGrid>
        <w:gridCol w:w="302"/>
        <w:gridCol w:w="9903"/>
      </w:tblGrid>
      <w:tr>
        <w:tc>
          <w:tcPr>
            <w:tcW w:w="302"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11</w:t>
            </w:r>
            <w:r>
              <w:rPr>
                <w:rFonts w:ascii="Times New Roman;Times;serif" w:hAnsi="Times New Roman;Times;serif"/>
                <w:caps w:val="false"/>
                <w:smallCaps w:val="false"/>
                <w:sz w:val="18"/>
              </w:rPr>
              <w:t>)</w:t>
            </w:r>
          </w:p>
        </w:tc>
        <w:tc>
          <w:tcPr>
            <w:tcW w:w="99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Investment has a PIK feature in which the accrued interest or a portion of the accrued interest is added to the then-outstanding principal amount of the investment.</w:t>
            </w:r>
          </w:p>
        </w:tc>
      </w:tr>
    </w:tbl>
    <w:tbl>
      <w:tblPr>
        <w:tblW w:w="6145" w:type="dxa"/>
        <w:jc w:val="left"/>
        <w:tblInd w:w="0" w:type="dxa"/>
        <w:tblLayout w:type="fixed"/>
        <w:tblCellMar>
          <w:top w:w="0" w:type="dxa"/>
          <w:left w:w="0" w:type="dxa"/>
          <w:bottom w:w="0" w:type="dxa"/>
          <w:right w:w="0" w:type="dxa"/>
        </w:tblCellMar>
      </w:tblPr>
      <w:tblGrid>
        <w:gridCol w:w="320"/>
        <w:gridCol w:w="5825"/>
      </w:tblGrid>
      <w:tr>
        <w:tc>
          <w:tcPr>
            <w:tcW w:w="32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12</w:t>
            </w:r>
            <w:r>
              <w:rPr>
                <w:rFonts w:ascii="Times New Roman;Times;serif" w:hAnsi="Times New Roman;Times;serif"/>
                <w:caps w:val="false"/>
                <w:smallCaps w:val="false"/>
                <w:sz w:val="18"/>
              </w:rPr>
              <w:t>)</w:t>
            </w:r>
          </w:p>
        </w:tc>
        <w:tc>
          <w:tcPr>
            <w:tcW w:w="5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The fair value of the investment was valued using significant unobservable inputs.</w:t>
            </w:r>
          </w:p>
        </w:tc>
      </w:tr>
    </w:tbl>
    <w:tbl>
      <w:tblPr>
        <w:tblW w:w="5110" w:type="dxa"/>
        <w:jc w:val="left"/>
        <w:tblInd w:w="0" w:type="dxa"/>
        <w:tblLayout w:type="fixed"/>
        <w:tblCellMar>
          <w:top w:w="0" w:type="dxa"/>
          <w:left w:w="0" w:type="dxa"/>
          <w:bottom w:w="0" w:type="dxa"/>
          <w:right w:w="0" w:type="dxa"/>
        </w:tblCellMar>
      </w:tblPr>
      <w:tblGrid>
        <w:gridCol w:w="320"/>
        <w:gridCol w:w="4790"/>
      </w:tblGrid>
      <w:tr>
        <w:tc>
          <w:tcPr>
            <w:tcW w:w="32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13</w:t>
            </w:r>
            <w:r>
              <w:rPr>
                <w:rFonts w:ascii="Times New Roman;Times;serif" w:hAnsi="Times New Roman;Times;serif"/>
                <w:caps w:val="false"/>
                <w:smallCaps w:val="false"/>
                <w:sz w:val="18"/>
              </w:rPr>
              <w:t>)</w:t>
            </w:r>
          </w:p>
        </w:tc>
        <w:tc>
          <w:tcPr>
            <w:tcW w:w="479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Debt investment is on non-accrual status as of </w:t>
            </w:r>
            <w:r>
              <w:rPr>
                <w:rStyle w:val="Emphasis"/>
                <w:rFonts w:ascii="Times New Roman;Times;serif" w:hAnsi="Times New Roman;Times;serif"/>
                <w:caps w:val="false"/>
                <w:smallCaps w:val="false"/>
                <w:sz w:val="18"/>
              </w:rPr>
              <w:t>September 30, 2026</w:t>
            </w:r>
            <w:r>
              <w:rPr>
                <w:rFonts w:ascii="Times New Roman;Times;serif" w:hAnsi="Times New Roman;Times;serif"/>
                <w:caps w:val="false"/>
                <w:smallCaps w:val="false"/>
                <w:sz w:val="18"/>
              </w:rPr>
              <w:t>.</w:t>
            </w:r>
          </w:p>
        </w:tc>
      </w:tr>
    </w:tbl>
    <w:tbl>
      <w:tblPr>
        <w:tblW w:w="9880" w:type="dxa"/>
        <w:jc w:val="left"/>
        <w:tblInd w:w="0" w:type="dxa"/>
        <w:tblLayout w:type="fixed"/>
        <w:tblCellMar>
          <w:top w:w="0" w:type="dxa"/>
          <w:left w:w="0" w:type="dxa"/>
          <w:bottom w:w="0" w:type="dxa"/>
          <w:right w:w="0" w:type="dxa"/>
        </w:tblCellMar>
      </w:tblPr>
      <w:tblGrid>
        <w:gridCol w:w="320"/>
        <w:gridCol w:w="9560"/>
      </w:tblGrid>
      <w:tr>
        <w:tc>
          <w:tcPr>
            <w:tcW w:w="32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14</w:t>
            </w:r>
            <w:r>
              <w:rPr>
                <w:rFonts w:ascii="Times New Roman;Times;serif" w:hAnsi="Times New Roman;Times;serif"/>
                <w:caps w:val="false"/>
                <w:smallCaps w:val="false"/>
                <w:sz w:val="18"/>
              </w:rPr>
              <w:t>)</w:t>
            </w:r>
          </w:p>
        </w:tc>
        <w:tc>
          <w:tcPr>
            <w:tcW w:w="956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Debt investment is on non-accrual status as of </w:t>
            </w:r>
            <w:r>
              <w:rPr>
                <w:rStyle w:val="Emphasis"/>
                <w:rFonts w:ascii="Times New Roman;Times;serif" w:hAnsi="Times New Roman;Times;serif"/>
                <w:caps w:val="false"/>
                <w:smallCaps w:val="false"/>
                <w:sz w:val="18"/>
              </w:rPr>
              <w:t>September 30, 2026</w:t>
            </w:r>
            <w:r>
              <w:rPr>
                <w:rFonts w:ascii="Times New Roman;Times;serif" w:hAnsi="Times New Roman;Times;serif"/>
                <w:caps w:val="false"/>
                <w:smallCaps w:val="false"/>
                <w:sz w:val="18"/>
              </w:rPr>
              <w:t> and interest payments will be recognized as income on a cash basis.</w:t>
            </w:r>
          </w:p>
        </w:tc>
      </w:tr>
    </w:tbl>
    <w:tbl>
      <w:tblPr>
        <w:tblW w:w="10205" w:type="dxa"/>
        <w:jc w:val="left"/>
        <w:tblInd w:w="0" w:type="dxa"/>
        <w:tblLayout w:type="fixed"/>
        <w:tblCellMar>
          <w:top w:w="0" w:type="dxa"/>
          <w:left w:w="0" w:type="dxa"/>
          <w:bottom w:w="0" w:type="dxa"/>
          <w:right w:w="0" w:type="dxa"/>
        </w:tblCellMar>
      </w:tblPr>
      <w:tblGrid>
        <w:gridCol w:w="216"/>
        <w:gridCol w:w="9989"/>
      </w:tblGrid>
      <w:tr>
        <w:tc>
          <w:tcPr>
            <w:tcW w:w="216" w:type="dxa"/>
            <w:tcBorders/>
            <w:vAlign w:val="center"/>
          </w:tcPr>
          <w:p>
            <w:pPr>
              <w:pStyle w:val="TableContents"/>
              <w:bidi w:val="0"/>
              <w:spacing w:before="0" w:after="283"/>
              <w:jc w:val="both"/>
            </w:pPr>
            <w:r>
              <w:rPr>
                <w:sz w:val="18"/>
              </w:rPr>
              <w:t>(</w:t>
            </w:r>
            <w:r>
              <w:rPr>
                <w:rStyle w:val="Emphasis"/>
                <w:sz w:val="18"/>
              </w:rPr>
              <w:t>15</w:t>
            </w:r>
            <w:r>
              <w:rPr>
                <w:sz w:val="18"/>
              </w:rPr>
              <w:t>)</w:t>
            </w:r>
          </w:p>
        </w:tc>
        <w:tc>
          <w:tcPr>
            <w:tcW w:w="9989" w:type="dxa"/>
            <w:tcBorders/>
            <w:vAlign w:val="center"/>
          </w:tcPr>
          <w:p>
            <w:pPr>
              <w:pStyle w:val="TableContents"/>
              <w:bidi w:val="0"/>
              <w:spacing w:before="0" w:after="283"/>
              <w:jc w:val="both"/>
            </w:pPr>
            <w:r>
              <w:rPr>
                <w:sz w:val="18"/>
              </w:rPr>
              <w:t xml:space="preserve">The investment originally consisted of debt investments in Evelo Biosciences Inc. (“Evelo”). Evelo was a clinical stage life science company that was unable to raise additional capital to continue as a going concern and, through a series of transactions, Evelo became a subsidiary of Evelo Holdings, Inc. (“Evelo Holdings”) and Evelo Holdings assumed the indebtedness of Evelo to the Company.  Evelo Holdings is </w:t>
            </w:r>
            <w:r>
              <w:rPr>
                <w:rStyle w:val="Emphasis"/>
                <w:sz w:val="18"/>
              </w:rPr>
              <w:t>not</w:t>
            </w:r>
            <w:r>
              <w:rPr>
                <w:sz w:val="18"/>
              </w:rPr>
              <w:t xml:space="preserve"> an operating company but holds certain contractual rights to contingent payments and owns equity in Evelo. The Company has a </w:t>
            </w:r>
            <w:r>
              <w:rPr>
                <w:rStyle w:val="Emphasis"/>
                <w:sz w:val="18"/>
              </w:rPr>
              <w:t>first</w:t>
            </w:r>
            <w:r>
              <w:rPr>
                <w:sz w:val="18"/>
              </w:rPr>
              <w:t xml:space="preserve"> priority security interest in the assets of Evelo Holdings, so if any payments are received by Evelo Holdings or any of its equity holdings, the Company will receive substantially all of the proceeds from the same, until such time, if ever, that all of the indebtedness is repaid. Accordingly, the Company characterizes this investment as an “Other Investment” rather than a “Debt Investment".</w:t>
            </w:r>
          </w:p>
        </w:tc>
      </w:tr>
    </w:tbl>
    <w:tbl>
      <w:tblPr>
        <w:tblW w:w="10205" w:type="dxa"/>
        <w:jc w:val="left"/>
        <w:tblInd w:w="0" w:type="dxa"/>
        <w:tblLayout w:type="fixed"/>
        <w:tblCellMar>
          <w:top w:w="0" w:type="dxa"/>
          <w:left w:w="0" w:type="dxa"/>
          <w:bottom w:w="0" w:type="dxa"/>
          <w:right w:w="0" w:type="dxa"/>
        </w:tblCellMar>
      </w:tblPr>
      <w:tblGrid>
        <w:gridCol w:w="216"/>
        <w:gridCol w:w="9989"/>
      </w:tblGrid>
      <w:tr>
        <w:tc>
          <w:tcPr>
            <w:tcW w:w="216" w:type="dxa"/>
            <w:tcBorders/>
            <w:vAlign w:val="center"/>
          </w:tcPr>
          <w:p>
            <w:pPr>
              <w:pStyle w:val="TableContents"/>
              <w:bidi w:val="0"/>
              <w:spacing w:before="0" w:after="283"/>
              <w:jc w:val="left"/>
            </w:pPr>
            <w:r>
              <w:rPr>
                <w:sz w:val="18"/>
              </w:rPr>
              <w:t>(</w:t>
            </w:r>
            <w:r>
              <w:rPr>
                <w:rStyle w:val="Emphasis"/>
                <w:sz w:val="18"/>
              </w:rPr>
              <w:t>16</w:t>
            </w:r>
            <w:r>
              <w:rPr>
                <w:sz w:val="18"/>
              </w:rPr>
              <w:t>)</w:t>
            </w:r>
          </w:p>
        </w:tc>
        <w:tc>
          <w:tcPr>
            <w:tcW w:w="9989" w:type="dxa"/>
            <w:tcBorders/>
            <w:vAlign w:val="center"/>
          </w:tcPr>
          <w:p>
            <w:pPr>
              <w:pStyle w:val="TableContents"/>
              <w:bidi w:val="0"/>
              <w:spacing w:before="0" w:after="283"/>
              <w:jc w:val="both"/>
            </w:pPr>
            <w:r>
              <w:rPr>
                <w:sz w:val="18"/>
              </w:rPr>
              <w:t xml:space="preserve">The investment originally consisted of debt investments in Better Place Forests Co. (“Better Place”).  On </w:t>
            </w:r>
            <w:r>
              <w:rPr>
                <w:rStyle w:val="Emphasis"/>
                <w:sz w:val="18"/>
              </w:rPr>
              <w:t xml:space="preserve">April 30, 2025, </w:t>
            </w:r>
            <w:r>
              <w:rPr>
                <w:sz w:val="18"/>
              </w:rPr>
              <w:t xml:space="preserve">Better Place transferred ownership of all of its right, title and interest in and to all of its tangible and intangible assets to Better Place ABC, LLC, a California limited liability company (“BP ABC”) and BP ABC sold a portion of such assets to Memorial Forests Foundation in consideration for, among other things, the assumption of certain liabilities of BP ABC. The Company has a </w:t>
            </w:r>
            <w:r>
              <w:rPr>
                <w:rStyle w:val="Emphasis"/>
                <w:sz w:val="18"/>
              </w:rPr>
              <w:t>first</w:t>
            </w:r>
            <w:r>
              <w:rPr>
                <w:sz w:val="18"/>
              </w:rPr>
              <w:t xml:space="preserve"> priority security interest in the remaining assets of BP ABC, including certain rights to employee retention tax credits, so if any payments are received by BP ABC, the Company will receive a portion of the proceeds from the same, until such time, if ever, that all of the obligations of BP ABC to the Company are repaid. Accordingly, the Company characterizes this investment as an “Other Investment” rather than a “Debt Investment".</w:t>
            </w:r>
          </w:p>
        </w:tc>
      </w:tr>
    </w:tbl>
    <w:tbl>
      <w:tblPr>
        <w:tblW w:w="10205" w:type="dxa"/>
        <w:jc w:val="left"/>
        <w:tblInd w:w="0" w:type="dxa"/>
        <w:tblLayout w:type="fixed"/>
        <w:tblCellMar>
          <w:top w:w="0" w:type="dxa"/>
          <w:left w:w="0" w:type="dxa"/>
          <w:bottom w:w="0" w:type="dxa"/>
          <w:right w:w="0" w:type="dxa"/>
        </w:tblCellMar>
      </w:tblPr>
      <w:tblGrid>
        <w:gridCol w:w="219"/>
        <w:gridCol w:w="9986"/>
      </w:tblGrid>
      <w:tr>
        <w:tc>
          <w:tcPr>
            <w:tcW w:w="219" w:type="dxa"/>
            <w:tcBorders/>
            <w:vAlign w:val="center"/>
          </w:tcPr>
          <w:p>
            <w:pPr>
              <w:pStyle w:val="TableContents"/>
              <w:bidi w:val="0"/>
              <w:spacing w:before="0" w:after="283"/>
              <w:jc w:val="left"/>
            </w:pPr>
            <w:r>
              <w:rPr>
                <w:sz w:val="18"/>
              </w:rPr>
              <w:t>(</w:t>
            </w:r>
            <w:r>
              <w:rPr>
                <w:rStyle w:val="Emphasis"/>
                <w:sz w:val="18"/>
              </w:rPr>
              <w:t>17</w:t>
            </w:r>
            <w:r>
              <w:rPr>
                <w:sz w:val="18"/>
              </w:rPr>
              <w:t>)</w:t>
            </w:r>
          </w:p>
        </w:tc>
        <w:tc>
          <w:tcPr>
            <w:tcW w:w="9986" w:type="dxa"/>
            <w:tcBorders/>
            <w:vAlign w:val="center"/>
          </w:tcPr>
          <w:p>
            <w:pPr>
              <w:pStyle w:val="TableContents"/>
              <w:bidi w:val="0"/>
              <w:spacing w:before="0" w:after="283"/>
              <w:jc w:val="both"/>
            </w:pPr>
            <w:r>
              <w:rPr>
                <w:sz w:val="18"/>
              </w:rPr>
              <w:t xml:space="preserve">On </w:t>
            </w:r>
            <w:r>
              <w:rPr>
                <w:rStyle w:val="Emphasis"/>
                <w:sz w:val="18"/>
              </w:rPr>
              <w:t xml:space="preserve">August 6, 2025, </w:t>
            </w:r>
            <w:r>
              <w:rPr>
                <w:sz w:val="18"/>
              </w:rPr>
              <w:t xml:space="preserve">the Company purchased a portfolio of debt and related investments of Powerscourt XXV LP, a fund managed by Waterfall Asset Management (“WAM”), for a purchase price of $22.5 million, which assets at the purchase date had a fair value of $36.5 million and included debt investments on accrual status with a principal balance of $34.9 million. WAM and the Advisor (as defined in Note </w:t>
            </w:r>
            <w:r>
              <w:rPr>
                <w:rStyle w:val="Emphasis"/>
                <w:sz w:val="18"/>
              </w:rPr>
              <w:t>1</w:t>
            </w:r>
            <w:r>
              <w:rPr>
                <w:sz w:val="18"/>
              </w:rPr>
              <w:t xml:space="preserve">) had previously entered into Master Program Agreement in </w:t>
            </w:r>
            <w:r>
              <w:rPr>
                <w:rStyle w:val="Emphasis"/>
                <w:sz w:val="18"/>
              </w:rPr>
              <w:t xml:space="preserve">March 2021 </w:t>
            </w:r>
            <w:r>
              <w:rPr>
                <w:sz w:val="18"/>
              </w:rPr>
              <w:t xml:space="preserve">whereby the Advisor offered WAM the opportunity to participate, as a co-lender with the Company, in debt investments originated by the Advisor. WAM retained all investment decisions. In </w:t>
            </w:r>
            <w:r>
              <w:rPr>
                <w:rStyle w:val="Emphasis"/>
                <w:sz w:val="18"/>
              </w:rPr>
              <w:t>2023,</w:t>
            </w:r>
            <w:r>
              <w:rPr>
                <w:sz w:val="18"/>
              </w:rPr>
              <w:t xml:space="preserve"> WAM ceased making new investments under the program, as it </w:t>
            </w:r>
            <w:r>
              <w:rPr>
                <w:rStyle w:val="Emphasis"/>
                <w:sz w:val="18"/>
              </w:rPr>
              <w:t>no</w:t>
            </w:r>
            <w:r>
              <w:rPr>
                <w:sz w:val="18"/>
              </w:rPr>
              <w:t xml:space="preserve"> longer wished to pursue a venture debt strategy.</w:t>
            </w:r>
          </w:p>
        </w:tc>
      </w:tr>
    </w:tbl>
    <w:tbl>
      <w:tblPr>
        <w:tblW w:w="10205" w:type="dxa"/>
        <w:jc w:val="left"/>
        <w:tblInd w:w="0" w:type="dxa"/>
        <w:tblLayout w:type="fixed"/>
        <w:tblCellMar>
          <w:top w:w="0" w:type="dxa"/>
          <w:left w:w="0" w:type="dxa"/>
          <w:bottom w:w="0" w:type="dxa"/>
          <w:right w:w="0" w:type="dxa"/>
        </w:tblCellMar>
      </w:tblPr>
      <w:tblGrid>
        <w:gridCol w:w="222"/>
        <w:gridCol w:w="9983"/>
      </w:tblGrid>
      <w:tr>
        <w:tc>
          <w:tcPr>
            <w:tcW w:w="222"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18</w:t>
            </w:r>
            <w:r>
              <w:rPr>
                <w:rFonts w:ascii="Times New Roman;Times;serif" w:hAnsi="Times New Roman;Times;serif"/>
                <w:caps w:val="false"/>
                <w:smallCaps w:val="false"/>
                <w:sz w:val="18"/>
              </w:rPr>
              <w:t>)</w:t>
            </w:r>
          </w:p>
        </w:tc>
        <w:tc>
          <w:tcPr>
            <w:tcW w:w="9983"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On </w:t>
            </w:r>
            <w:r>
              <w:rPr>
                <w:rStyle w:val="Emphasis"/>
                <w:rFonts w:ascii="Times New Roman;Times;serif" w:hAnsi="Times New Roman;Times;serif"/>
                <w:caps w:val="false"/>
                <w:smallCaps w:val="false"/>
                <w:sz w:val="18"/>
              </w:rPr>
              <w:t xml:space="preserve">March 18, 2026, </w:t>
            </w:r>
            <w:r>
              <w:rPr>
                <w:rFonts w:ascii="Times New Roman;Times;serif" w:hAnsi="Times New Roman;Times;serif"/>
                <w:caps w:val="false"/>
                <w:smallCaps w:val="false"/>
                <w:sz w:val="18"/>
              </w:rPr>
              <w:t>the Company and CR Financial Holdings, Inc. (“CRFH”) entered into a limited liability company agreement (the “LLC Agreement”) to form a new joint venture, RoHo Capital Opportunity Fund LLC f/k/a HRZN CRFH LLC (the “RoHo Joint Venture”). The RoHo Joint Venture is intended to enhance the investment strategy of the Company by providing growth capital financing solutions to small and micro-cap public companies.  All investments by the RoHo Joint Venture must be approved by the unanimous vote of the RoHo Joint Venture’s investment committee, which is comprised of an equal number of representatives designated by each of the Company and CRFH.</w:t>
            </w:r>
          </w:p>
        </w:tc>
      </w:tr>
    </w:tbl>
    <w:p>
      <w:pPr>
        <w:pStyle w:val="TextBody"/>
        <w:bidi w:val="0"/>
        <w:spacing w:before="0" w:after="0"/>
        <w:ind w:left="0" w:right="0" w:hanging="0"/>
        <w:jc w:val="left"/>
      </w:pPr>
      <w: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57"/>
        <w:gridCol w:w="60"/>
        <w:gridCol w:w="860"/>
        <w:gridCol w:w="60"/>
        <w:gridCol w:w="828"/>
        <w:gridCol w:w="60"/>
        <w:gridCol w:w="67"/>
        <w:gridCol w:w="431"/>
        <w:gridCol w:w="224"/>
        <w:gridCol w:w="421"/>
        <w:gridCol w:w="60"/>
        <w:gridCol w:w="84"/>
        <w:gridCol w:w="386"/>
        <w:gridCol w:w="125"/>
        <w:gridCol w:w="60"/>
        <w:gridCol w:w="60"/>
        <w:gridCol w:w="350"/>
        <w:gridCol w:w="125"/>
        <w:gridCol w:w="60"/>
        <w:gridCol w:w="85"/>
        <w:gridCol w:w="370"/>
        <w:gridCol w:w="60"/>
        <w:gridCol w:w="60"/>
        <w:gridCol w:w="68"/>
        <w:gridCol w:w="312"/>
        <w:gridCol w:w="125"/>
        <w:gridCol w:w="672"/>
        <w:gridCol w:w="60"/>
        <w:gridCol w:w="124"/>
        <w:gridCol w:w="559"/>
        <w:gridCol w:w="60"/>
        <w:gridCol w:w="60"/>
        <w:gridCol w:w="167"/>
        <w:gridCol w:w="751"/>
        <w:gridCol w:w="60"/>
        <w:gridCol w:w="60"/>
        <w:gridCol w:w="108"/>
        <w:gridCol w:w="483"/>
        <w:gridCol w:w="83"/>
      </w:tblGrid>
      <w:tr>
        <w:tc>
          <w:tcPr>
            <w:tcW w:w="155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tcMar>
              <w:bottom w:w="0" w:type="dxa"/>
            </w:tcMar>
            <w:vAlign w:val="center"/>
          </w:tcPr>
          <w:p>
            <w:pPr>
              <w:pStyle w:val="TableContents"/>
              <w:bidi w:val="0"/>
              <w:spacing w:before="0" w:after="283"/>
              <w:ind w:left="0" w:right="0" w:hanging="0"/>
              <w:jc w:val="center"/>
            </w:pPr>
            <w: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Sector</w:t>
            </w:r>
          </w:p>
        </w:tc>
        <w:tc>
          <w:tcPr>
            <w:tcW w:w="60" w:type="dxa"/>
            <w:tcBorders/>
            <w:tcMar>
              <w:bottom w:w="0" w:type="dxa"/>
            </w:tcMar>
            <w:vAlign w:val="center"/>
          </w:tcPr>
          <w:p>
            <w:pPr>
              <w:pStyle w:val="TableContents"/>
              <w:bidi w:val="0"/>
              <w:spacing w:before="0" w:after="283"/>
              <w:ind w:left="0" w:right="0" w:hanging="0"/>
              <w:jc w:val="center"/>
            </w:pPr>
            <w:r>
              <w:t> </w:t>
            </w:r>
          </w:p>
        </w:tc>
        <w:tc>
          <w:tcPr>
            <w:tcW w:w="82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Type of Investment (7)</w:t>
            </w:r>
          </w:p>
        </w:tc>
        <w:tc>
          <w:tcPr>
            <w:tcW w:w="60" w:type="dxa"/>
            <w:tcBorders/>
            <w:tcMar>
              <w:bottom w:w="0" w:type="dxa"/>
            </w:tcMar>
            <w:vAlign w:val="center"/>
          </w:tcPr>
          <w:p>
            <w:pPr>
              <w:pStyle w:val="TableContents"/>
              <w:bidi w:val="0"/>
              <w:spacing w:before="0" w:after="283"/>
              <w:ind w:left="0" w:right="0" w:hanging="0"/>
              <w:jc w:val="left"/>
            </w:pPr>
            <w:r>
              <w:t> </w:t>
            </w:r>
          </w:p>
        </w:tc>
        <w:tc>
          <w:tcPr>
            <w:tcW w:w="498"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Cash Rate (4)</w:t>
            </w:r>
          </w:p>
        </w:tc>
        <w:tc>
          <w:tcPr>
            <w:tcW w:w="224" w:type="dxa"/>
            <w:tcBorders/>
            <w:tcMar>
              <w:bottom w:w="0" w:type="dxa"/>
            </w:tcMar>
            <w:vAlign w:val="center"/>
          </w:tcPr>
          <w:p>
            <w:pPr>
              <w:pStyle w:val="TableContents"/>
              <w:bidi w:val="0"/>
              <w:spacing w:before="0" w:after="283"/>
              <w:ind w:left="0" w:right="0" w:hanging="0"/>
              <w:jc w:val="left"/>
            </w:pPr>
            <w:r>
              <w:t> </w:t>
            </w:r>
          </w:p>
        </w:tc>
        <w:tc>
          <w:tcPr>
            <w:tcW w:w="4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Index</w:t>
            </w:r>
          </w:p>
        </w:tc>
        <w:tc>
          <w:tcPr>
            <w:tcW w:w="60" w:type="dxa"/>
            <w:tcBorders/>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Margin</w:t>
            </w:r>
          </w:p>
        </w:tc>
        <w:tc>
          <w:tcPr>
            <w:tcW w:w="12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Floor</w:t>
            </w:r>
          </w:p>
        </w:tc>
        <w:tc>
          <w:tcPr>
            <w:tcW w:w="12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Ceiling</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38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ETP (10)</w:t>
            </w:r>
          </w:p>
        </w:tc>
        <w:tc>
          <w:tcPr>
            <w:tcW w:w="125" w:type="dxa"/>
            <w:tcBorders/>
            <w:tcMar>
              <w:bottom w:w="0" w:type="dxa"/>
            </w:tcMar>
            <w:vAlign w:val="center"/>
          </w:tcPr>
          <w:p>
            <w:pPr>
              <w:pStyle w:val="TableContents"/>
              <w:bidi w:val="0"/>
              <w:spacing w:before="0" w:after="283"/>
              <w:ind w:left="0" w:right="0" w:hanging="0"/>
              <w:jc w:val="left"/>
            </w:pPr>
            <w:r>
              <w:t> </w:t>
            </w:r>
          </w:p>
        </w:tc>
        <w:tc>
          <w:tcPr>
            <w:tcW w:w="67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Maturity Date</w:t>
            </w:r>
          </w:p>
        </w:tc>
        <w:tc>
          <w:tcPr>
            <w:tcW w:w="60" w:type="dxa"/>
            <w:tcBorders/>
            <w:tcMar>
              <w:bottom w:w="0" w:type="dxa"/>
            </w:tcMar>
            <w:vAlign w:val="center"/>
          </w:tcPr>
          <w:p>
            <w:pPr>
              <w:pStyle w:val="TableContents"/>
              <w:bidi w:val="0"/>
              <w:spacing w:before="0" w:after="283"/>
              <w:ind w:left="0" w:right="0" w:hanging="0"/>
              <w:jc w:val="left"/>
            </w:pPr>
            <w:r>
              <w:t> </w:t>
            </w:r>
          </w:p>
        </w:tc>
        <w:tc>
          <w:tcPr>
            <w:tcW w:w="683"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Principal Amount</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918"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Cost of Investments (6)(9)</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59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Fair Value (9)</w:t>
            </w:r>
          </w:p>
        </w:tc>
        <w:tc>
          <w:tcPr>
            <w:tcW w:w="83" w:type="dxa"/>
            <w:tcBorders/>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b/>
                <w:caps w:val="false"/>
                <w:smallCaps w:val="false"/>
                <w:sz w:val="14"/>
              </w:rPr>
              <w:t xml:space="preserve">Non-Affiliate Investments </w:t>
            </w:r>
            <w:r>
              <w:rPr>
                <w:rFonts w:ascii="Times New Roman;Times;serif" w:hAnsi="Times New Roman;Times;serif"/>
                <w:caps w:val="false"/>
                <w:smallCaps w:val="false"/>
                <w:sz w:val="14"/>
              </w:rPr>
              <w:t xml:space="preserve">— </w:t>
            </w:r>
            <w:r>
              <w:rPr>
                <w:rFonts w:ascii="Times New Roman;Times;serif" w:hAnsi="Times New Roman;Times;serif"/>
                <w:b/>
                <w:caps w:val="false"/>
                <w:smallCaps w:val="false"/>
                <w:sz w:val="14"/>
              </w:rPr>
              <w:t>183.3% (8)</w:t>
            </w:r>
          </w:p>
        </w:tc>
        <w:tc>
          <w:tcPr>
            <w:tcW w:w="60" w:type="dxa"/>
            <w:tcBorders/>
            <w:shd w:fill="CCEEFF" w:val="clear"/>
            <w:tcMar>
              <w:bottom w:w="0" w:type="dxa"/>
            </w:tcMar>
            <w:vAlign w:val="center"/>
          </w:tcPr>
          <w:p>
            <w:pPr>
              <w:pStyle w:val="TableContents"/>
              <w:bidi w:val="0"/>
              <w:spacing w:before="0" w:after="283"/>
              <w:jc w:val="left"/>
            </w:pPr>
            <w:r>
              <w:t> </w:t>
            </w:r>
          </w:p>
        </w:tc>
        <w:tc>
          <w:tcPr>
            <w:tcW w:w="8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28"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jc w:val="left"/>
            </w:pPr>
            <w:r>
              <w:t> </w:t>
            </w:r>
          </w:p>
        </w:tc>
        <w:tc>
          <w:tcPr>
            <w:tcW w:w="431" w:type="dxa"/>
            <w:tcBorders/>
            <w:shd w:fill="CCEEFF" w:val="clear"/>
            <w:tcMar>
              <w:bottom w:w="0" w:type="dxa"/>
            </w:tcMar>
            <w:vAlign w:val="center"/>
          </w:tcPr>
          <w:p>
            <w:pPr>
              <w:pStyle w:val="TableContents"/>
              <w:bidi w:val="0"/>
              <w:spacing w:before="0" w:after="283"/>
              <w:jc w:val="left"/>
            </w:pPr>
            <w:r>
              <w:t> </w:t>
            </w:r>
          </w:p>
        </w:tc>
        <w:tc>
          <w:tcPr>
            <w:tcW w:w="224" w:type="dxa"/>
            <w:tcBorders/>
            <w:shd w:fill="CCEEFF" w:val="clear"/>
            <w:tcMar>
              <w:bottom w:w="0" w:type="dxa"/>
            </w:tcMar>
            <w:vAlign w:val="center"/>
          </w:tcPr>
          <w:p>
            <w:pPr>
              <w:pStyle w:val="TableContents"/>
              <w:bidi w:val="0"/>
              <w:spacing w:before="0" w:after="283"/>
              <w:jc w:val="left"/>
            </w:pPr>
            <w:r>
              <w:t> </w:t>
            </w:r>
          </w:p>
        </w:tc>
        <w:tc>
          <w:tcPr>
            <w:tcW w:w="42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7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jc w:val="left"/>
            </w:pPr>
            <w:r>
              <w:t> </w:t>
            </w:r>
          </w:p>
        </w:tc>
        <w:tc>
          <w:tcPr>
            <w:tcW w:w="55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jc w:val="left"/>
            </w:pPr>
            <w:r>
              <w:t> </w:t>
            </w:r>
          </w:p>
        </w:tc>
        <w:tc>
          <w:tcPr>
            <w:tcW w:w="75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b/>
                <w:caps w:val="false"/>
                <w:smallCaps w:val="false"/>
                <w:sz w:val="14"/>
              </w:rPr>
              <w:t xml:space="preserve">Non-Affiliate Debt Investments </w:t>
            </w:r>
            <w:r>
              <w:rPr>
                <w:rFonts w:ascii="Times New Roman;Times;serif" w:hAnsi="Times New Roman;Times;serif"/>
                <w:caps w:val="false"/>
                <w:smallCaps w:val="false"/>
                <w:sz w:val="14"/>
              </w:rPr>
              <w:t xml:space="preserve">— </w:t>
            </w:r>
            <w:r>
              <w:rPr>
                <w:rFonts w:ascii="Times New Roman;Times;serif" w:hAnsi="Times New Roman;Times;serif"/>
                <w:b/>
                <w:caps w:val="false"/>
                <w:smallCaps w:val="false"/>
                <w:sz w:val="14"/>
              </w:rPr>
              <w:t>175.4% (8)</w:t>
            </w:r>
          </w:p>
        </w:tc>
        <w:tc>
          <w:tcPr>
            <w:tcW w:w="60" w:type="dxa"/>
            <w:tcBorders/>
            <w:shd w:fill="FFFFFF" w:val="clear"/>
            <w:tcMar>
              <w:bottom w:w="0" w:type="dxa"/>
            </w:tcMar>
            <w:vAlign w:val="center"/>
          </w:tcPr>
          <w:p>
            <w:pPr>
              <w:pStyle w:val="TableContents"/>
              <w:bidi w:val="0"/>
              <w:spacing w:before="0" w:after="283"/>
              <w:jc w:val="left"/>
            </w:pPr>
            <w:r>
              <w:t> </w:t>
            </w:r>
          </w:p>
        </w:tc>
        <w:tc>
          <w:tcPr>
            <w:tcW w:w="8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28"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jc w:val="left"/>
            </w:pPr>
            <w:r>
              <w:t> </w:t>
            </w:r>
          </w:p>
        </w:tc>
        <w:tc>
          <w:tcPr>
            <w:tcW w:w="431" w:type="dxa"/>
            <w:tcBorders/>
            <w:shd w:fill="FFFFFF" w:val="clear"/>
            <w:tcMar>
              <w:bottom w:w="0" w:type="dxa"/>
            </w:tcMar>
            <w:vAlign w:val="center"/>
          </w:tcPr>
          <w:p>
            <w:pPr>
              <w:pStyle w:val="TableContents"/>
              <w:bidi w:val="0"/>
              <w:spacing w:before="0" w:after="283"/>
              <w:jc w:val="left"/>
            </w:pPr>
            <w:r>
              <w:t> </w:t>
            </w:r>
          </w:p>
        </w:tc>
        <w:tc>
          <w:tcPr>
            <w:tcW w:w="224" w:type="dxa"/>
            <w:tcBorders/>
            <w:shd w:fill="FFFFFF" w:val="clear"/>
            <w:tcMar>
              <w:bottom w:w="0" w:type="dxa"/>
            </w:tcMar>
            <w:vAlign w:val="center"/>
          </w:tcPr>
          <w:p>
            <w:pPr>
              <w:pStyle w:val="TableContents"/>
              <w:bidi w:val="0"/>
              <w:spacing w:before="0" w:after="283"/>
              <w:jc w:val="left"/>
            </w:pPr>
            <w:r>
              <w:t> </w:t>
            </w:r>
          </w:p>
        </w:tc>
        <w:tc>
          <w:tcPr>
            <w:tcW w:w="42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7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 w:type="dxa"/>
            <w:tcBorders/>
            <w:shd w:fill="FFFFFF" w:val="clear"/>
            <w:tcMar>
              <w:bottom w:w="0" w:type="dxa"/>
            </w:tcMar>
            <w:vAlign w:val="center"/>
          </w:tcPr>
          <w:p>
            <w:pPr>
              <w:pStyle w:val="TableContents"/>
              <w:bidi w:val="0"/>
              <w:spacing w:before="0" w:after="283"/>
              <w:jc w:val="left"/>
            </w:pPr>
            <w:r>
              <w:t> </w:t>
            </w:r>
          </w:p>
        </w:tc>
        <w:tc>
          <w:tcPr>
            <w:tcW w:w="55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7" w:type="dxa"/>
            <w:tcBorders/>
            <w:shd w:fill="FFFFFF" w:val="clear"/>
            <w:tcMar>
              <w:bottom w:w="0" w:type="dxa"/>
            </w:tcMar>
            <w:vAlign w:val="center"/>
          </w:tcPr>
          <w:p>
            <w:pPr>
              <w:pStyle w:val="TableContents"/>
              <w:bidi w:val="0"/>
              <w:spacing w:before="0" w:after="283"/>
              <w:jc w:val="left"/>
            </w:pPr>
            <w:r>
              <w:t> </w:t>
            </w:r>
          </w:p>
        </w:tc>
        <w:tc>
          <w:tcPr>
            <w:tcW w:w="75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8"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b/>
                <w:caps w:val="false"/>
                <w:smallCaps w:val="false"/>
                <w:sz w:val="14"/>
              </w:rPr>
              <w:t xml:space="preserve">Non-Affiliate Debt Investments </w:t>
            </w:r>
            <w:r>
              <w:rPr>
                <w:rFonts w:ascii="Times New Roman;Times;serif" w:hAnsi="Times New Roman;Times;serif"/>
                <w:caps w:val="false"/>
                <w:smallCaps w:val="false"/>
                <w:sz w:val="14"/>
              </w:rPr>
              <w:t xml:space="preserve">— </w:t>
            </w:r>
            <w:r>
              <w:rPr>
                <w:rFonts w:ascii="Times New Roman;Times;serif" w:hAnsi="Times New Roman;Times;serif"/>
                <w:b/>
                <w:caps w:val="false"/>
                <w:smallCaps w:val="false"/>
                <w:sz w:val="14"/>
              </w:rPr>
              <w:t xml:space="preserve">Life Science </w:t>
            </w:r>
            <w:r>
              <w:rPr>
                <w:rFonts w:ascii="Times New Roman;Times;serif" w:hAnsi="Times New Roman;Times;serif"/>
                <w:caps w:val="false"/>
                <w:smallCaps w:val="false"/>
                <w:sz w:val="14"/>
              </w:rPr>
              <w:t xml:space="preserve">— </w:t>
            </w:r>
            <w:r>
              <w:rPr>
                <w:rFonts w:ascii="Times New Roman;Times;serif" w:hAnsi="Times New Roman;Times;serif"/>
                <w:b/>
                <w:caps w:val="false"/>
                <w:smallCaps w:val="false"/>
                <w:sz w:val="14"/>
              </w:rPr>
              <w:t>85.2% (8)</w:t>
            </w:r>
          </w:p>
        </w:tc>
        <w:tc>
          <w:tcPr>
            <w:tcW w:w="60" w:type="dxa"/>
            <w:tcBorders/>
            <w:shd w:fill="CCEEFF" w:val="clear"/>
            <w:tcMar>
              <w:bottom w:w="0" w:type="dxa"/>
            </w:tcMar>
            <w:vAlign w:val="center"/>
          </w:tcPr>
          <w:p>
            <w:pPr>
              <w:pStyle w:val="TableContents"/>
              <w:bidi w:val="0"/>
              <w:spacing w:before="0" w:after="283"/>
              <w:jc w:val="left"/>
            </w:pPr>
            <w:r>
              <w:t> </w:t>
            </w:r>
          </w:p>
        </w:tc>
        <w:tc>
          <w:tcPr>
            <w:tcW w:w="8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28"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jc w:val="left"/>
            </w:pPr>
            <w:r>
              <w:t> </w:t>
            </w:r>
          </w:p>
        </w:tc>
        <w:tc>
          <w:tcPr>
            <w:tcW w:w="431" w:type="dxa"/>
            <w:tcBorders/>
            <w:shd w:fill="CCEEFF" w:val="clear"/>
            <w:tcMar>
              <w:bottom w:w="0" w:type="dxa"/>
            </w:tcMar>
            <w:vAlign w:val="center"/>
          </w:tcPr>
          <w:p>
            <w:pPr>
              <w:pStyle w:val="TableContents"/>
              <w:bidi w:val="0"/>
              <w:spacing w:before="0" w:after="283"/>
              <w:jc w:val="left"/>
            </w:pPr>
            <w:r>
              <w:t> </w:t>
            </w:r>
          </w:p>
        </w:tc>
        <w:tc>
          <w:tcPr>
            <w:tcW w:w="224" w:type="dxa"/>
            <w:tcBorders/>
            <w:shd w:fill="CCEEFF" w:val="clear"/>
            <w:tcMar>
              <w:bottom w:w="0" w:type="dxa"/>
            </w:tcMar>
            <w:vAlign w:val="center"/>
          </w:tcPr>
          <w:p>
            <w:pPr>
              <w:pStyle w:val="TableContents"/>
              <w:bidi w:val="0"/>
              <w:spacing w:before="0" w:after="283"/>
              <w:jc w:val="left"/>
            </w:pPr>
            <w:r>
              <w:t> </w:t>
            </w:r>
          </w:p>
        </w:tc>
        <w:tc>
          <w:tcPr>
            <w:tcW w:w="42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7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jc w:val="left"/>
            </w:pPr>
            <w:r>
              <w:t> </w:t>
            </w:r>
          </w:p>
        </w:tc>
        <w:tc>
          <w:tcPr>
            <w:tcW w:w="55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jc w:val="left"/>
            </w:pPr>
            <w:r>
              <w:t> </w:t>
            </w:r>
          </w:p>
        </w:tc>
        <w:tc>
          <w:tcPr>
            <w:tcW w:w="75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Castle Creek Biosciences,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60"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8"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224"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2028</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6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9,947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9,947</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0"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8"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4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224"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2028</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ind w:left="0" w:right="0" w:hanging="0"/>
              <w:jc w:val="left"/>
            </w:pPr>
            <w:r>
              <w:t> </w:t>
            </w:r>
          </w:p>
        </w:tc>
        <w:tc>
          <w:tcPr>
            <w:tcW w:w="5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ind w:left="0" w:right="0" w:hanging="0"/>
              <w:jc w:val="left"/>
            </w:pPr>
            <w: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5,471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5,471</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0"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8"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224"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2028</w:t>
            </w:r>
          </w:p>
        </w:tc>
        <w:tc>
          <w:tcPr>
            <w:tcW w:w="60" w:type="dxa"/>
            <w:tcBorders/>
            <w:shd w:fill="FFFFFF" w:val="clear"/>
            <w:tcMar>
              <w:bottom w:w="0" w:type="dxa"/>
            </w:tcMar>
            <w:vAlign w:val="center"/>
          </w:tcPr>
          <w:p>
            <w:pPr>
              <w:pStyle w:val="TableContents"/>
              <w:bidi w:val="0"/>
              <w:spacing w:before="0" w:after="283"/>
              <w:jc w:val="left"/>
            </w:pPr>
            <w:r>
              <w:t> </w:t>
            </w:r>
          </w:p>
        </w:tc>
        <w:tc>
          <w:tcPr>
            <w:tcW w:w="124" w:type="dxa"/>
            <w:tcBorders/>
            <w:shd w:fill="FFFFFF" w:val="clear"/>
            <w:tcMar>
              <w:bottom w:w="0" w:type="dxa"/>
            </w:tcMar>
            <w:vAlign w:val="center"/>
          </w:tcPr>
          <w:p>
            <w:pPr>
              <w:pStyle w:val="TableContents"/>
              <w:bidi w:val="0"/>
              <w:spacing w:before="0" w:after="283"/>
              <w:ind w:left="0" w:right="0" w:hanging="0"/>
              <w:jc w:val="left"/>
            </w:pPr>
            <w:r>
              <w:t> </w:t>
            </w:r>
          </w:p>
        </w:tc>
        <w:tc>
          <w:tcPr>
            <w:tcW w:w="5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7" w:type="dxa"/>
            <w:tcBorders/>
            <w:shd w:fill="FFFFFF" w:val="clear"/>
            <w:tcMar>
              <w:bottom w:w="0" w:type="dxa"/>
            </w:tcMar>
            <w:vAlign w:val="center"/>
          </w:tcPr>
          <w:p>
            <w:pPr>
              <w:pStyle w:val="TableContents"/>
              <w:bidi w:val="0"/>
              <w:spacing w:before="0" w:after="283"/>
              <w:ind w:left="0" w:right="0" w:hanging="0"/>
              <w:jc w:val="left"/>
            </w:pPr>
            <w: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4,974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8" w:type="dxa"/>
            <w:tcBorders/>
            <w:shd w:fill="FFFFFF" w:val="clear"/>
            <w:tcMar>
              <w:bottom w:w="0" w:type="dxa"/>
            </w:tcMar>
            <w:vAlign w:val="center"/>
          </w:tcPr>
          <w:p>
            <w:pPr>
              <w:pStyle w:val="TableContents"/>
              <w:bidi w:val="0"/>
              <w:spacing w:before="0" w:after="283"/>
              <w:ind w:left="0" w:right="0" w:hanging="0"/>
              <w:jc w:val="left"/>
            </w:pPr>
            <w:r>
              <w:t> </w:t>
            </w:r>
          </w:p>
        </w:tc>
        <w:tc>
          <w:tcPr>
            <w:tcW w:w="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4,974</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0"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8"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4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224"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2028</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ind w:left="0" w:right="0" w:hanging="0"/>
              <w:jc w:val="left"/>
            </w:pPr>
            <w:r>
              <w:t> </w:t>
            </w:r>
          </w:p>
        </w:tc>
        <w:tc>
          <w:tcPr>
            <w:tcW w:w="5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ind w:left="0" w:right="0" w:hanging="0"/>
              <w:jc w:val="left"/>
            </w:pPr>
            <w: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4,974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4,974</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Emalex Biosciences,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60"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8"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11.47</w:t>
            </w:r>
          </w:p>
        </w:tc>
        <w:tc>
          <w:tcPr>
            <w:tcW w:w="224"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4.72</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May 1, 2026</w:t>
            </w:r>
          </w:p>
        </w:tc>
        <w:tc>
          <w:tcPr>
            <w:tcW w:w="60" w:type="dxa"/>
            <w:tcBorders/>
            <w:shd w:fill="FFFFFF" w:val="clear"/>
            <w:tcMar>
              <w:bottom w:w="0" w:type="dxa"/>
            </w:tcMar>
            <w:vAlign w:val="center"/>
          </w:tcPr>
          <w:p>
            <w:pPr>
              <w:pStyle w:val="TableContents"/>
              <w:bidi w:val="0"/>
              <w:spacing w:before="0" w:after="283"/>
              <w:jc w:val="left"/>
            </w:pPr>
            <w:r>
              <w:t> </w:t>
            </w:r>
          </w:p>
        </w:tc>
        <w:tc>
          <w:tcPr>
            <w:tcW w:w="124" w:type="dxa"/>
            <w:tcBorders/>
            <w:shd w:fill="FFFFFF" w:val="clear"/>
            <w:tcMar>
              <w:bottom w:w="0" w:type="dxa"/>
            </w:tcMar>
            <w:vAlign w:val="center"/>
          </w:tcPr>
          <w:p>
            <w:pPr>
              <w:pStyle w:val="TableContents"/>
              <w:bidi w:val="0"/>
              <w:spacing w:before="0" w:after="283"/>
              <w:ind w:left="0" w:right="0" w:hanging="0"/>
              <w:jc w:val="left"/>
            </w:pPr>
            <w:r>
              <w:t> </w:t>
            </w:r>
          </w:p>
        </w:tc>
        <w:tc>
          <w:tcPr>
            <w:tcW w:w="5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1,667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7" w:type="dxa"/>
            <w:tcBorders/>
            <w:shd w:fill="FFFFFF" w:val="clear"/>
            <w:tcMar>
              <w:bottom w:w="0" w:type="dxa"/>
            </w:tcMar>
            <w:vAlign w:val="center"/>
          </w:tcPr>
          <w:p>
            <w:pPr>
              <w:pStyle w:val="TableContents"/>
              <w:bidi w:val="0"/>
              <w:spacing w:before="0" w:after="283"/>
              <w:ind w:left="0" w:right="0" w:hanging="0"/>
              <w:jc w:val="left"/>
            </w:pPr>
            <w: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1,665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8" w:type="dxa"/>
            <w:tcBorders/>
            <w:shd w:fill="FFFFFF" w:val="clear"/>
            <w:tcMar>
              <w:bottom w:w="0" w:type="dxa"/>
            </w:tcMar>
            <w:vAlign w:val="center"/>
          </w:tcPr>
          <w:p>
            <w:pPr>
              <w:pStyle w:val="TableContents"/>
              <w:bidi w:val="0"/>
              <w:spacing w:before="0" w:after="283"/>
              <w:ind w:left="0" w:right="0" w:hanging="0"/>
              <w:jc w:val="left"/>
            </w:pPr>
            <w:r>
              <w:t> </w:t>
            </w:r>
          </w:p>
        </w:tc>
        <w:tc>
          <w:tcPr>
            <w:tcW w:w="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1,665</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KSQ Therapeutics,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60"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8"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4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224"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ind w:left="0" w:right="0" w:hanging="0"/>
              <w:jc w:val="left"/>
            </w:pPr>
            <w:r>
              <w:t> </w:t>
            </w:r>
          </w:p>
        </w:tc>
        <w:tc>
          <w:tcPr>
            <w:tcW w:w="5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ind w:left="0" w:right="0" w:hanging="0"/>
              <w:jc w:val="left"/>
            </w:pPr>
            <w: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4,237</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0"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8"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224"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FFFFFF" w:val="clear"/>
            <w:tcMar>
              <w:bottom w:w="0" w:type="dxa"/>
            </w:tcMar>
            <w:vAlign w:val="center"/>
          </w:tcPr>
          <w:p>
            <w:pPr>
              <w:pStyle w:val="TableContents"/>
              <w:bidi w:val="0"/>
              <w:spacing w:before="0" w:after="283"/>
              <w:jc w:val="left"/>
            </w:pPr>
            <w:r>
              <w:t> </w:t>
            </w:r>
          </w:p>
        </w:tc>
        <w:tc>
          <w:tcPr>
            <w:tcW w:w="124" w:type="dxa"/>
            <w:tcBorders/>
            <w:shd w:fill="FFFFFF" w:val="clear"/>
            <w:tcMar>
              <w:bottom w:w="0" w:type="dxa"/>
            </w:tcMar>
            <w:vAlign w:val="center"/>
          </w:tcPr>
          <w:p>
            <w:pPr>
              <w:pStyle w:val="TableContents"/>
              <w:bidi w:val="0"/>
              <w:spacing w:before="0" w:after="283"/>
              <w:ind w:left="0" w:right="0" w:hanging="0"/>
              <w:jc w:val="left"/>
            </w:pPr>
            <w:r>
              <w:t> </w:t>
            </w:r>
          </w:p>
        </w:tc>
        <w:tc>
          <w:tcPr>
            <w:tcW w:w="5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7" w:type="dxa"/>
            <w:tcBorders/>
            <w:shd w:fill="FFFFFF" w:val="clear"/>
            <w:tcMar>
              <w:bottom w:w="0" w:type="dxa"/>
            </w:tcMar>
            <w:vAlign w:val="center"/>
          </w:tcPr>
          <w:p>
            <w:pPr>
              <w:pStyle w:val="TableContents"/>
              <w:bidi w:val="0"/>
              <w:spacing w:before="0" w:after="283"/>
              <w:ind w:left="0" w:right="0" w:hanging="0"/>
              <w:jc w:val="left"/>
            </w:pPr>
            <w: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8" w:type="dxa"/>
            <w:tcBorders/>
            <w:shd w:fill="FFFFFF" w:val="clear"/>
            <w:tcMar>
              <w:bottom w:w="0" w:type="dxa"/>
            </w:tcMar>
            <w:vAlign w:val="center"/>
          </w:tcPr>
          <w:p>
            <w:pPr>
              <w:pStyle w:val="TableContents"/>
              <w:bidi w:val="0"/>
              <w:spacing w:before="0" w:after="283"/>
              <w:ind w:left="0" w:right="0" w:hanging="0"/>
              <w:jc w:val="left"/>
            </w:pPr>
            <w:r>
              <w:t> </w:t>
            </w:r>
          </w:p>
        </w:tc>
        <w:tc>
          <w:tcPr>
            <w:tcW w:w="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4,237</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0"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8"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4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224"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ind w:left="0" w:right="0" w:hanging="0"/>
              <w:jc w:val="left"/>
            </w:pPr>
            <w:r>
              <w:t> </w:t>
            </w:r>
          </w:p>
        </w:tc>
        <w:tc>
          <w:tcPr>
            <w:tcW w:w="5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ind w:left="0" w:right="0" w:hanging="0"/>
              <w:jc w:val="left"/>
            </w:pPr>
            <w: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4,237</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0"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8"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224"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4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2030</w:t>
            </w:r>
          </w:p>
        </w:tc>
        <w:tc>
          <w:tcPr>
            <w:tcW w:w="60" w:type="dxa"/>
            <w:tcBorders/>
            <w:shd w:fill="FFFFFF" w:val="clear"/>
            <w:tcMar>
              <w:bottom w:w="0" w:type="dxa"/>
            </w:tcMar>
            <w:vAlign w:val="center"/>
          </w:tcPr>
          <w:p>
            <w:pPr>
              <w:pStyle w:val="TableContents"/>
              <w:bidi w:val="0"/>
              <w:spacing w:before="0" w:after="283"/>
              <w:jc w:val="left"/>
            </w:pPr>
            <w:r>
              <w:t> </w:t>
            </w:r>
          </w:p>
        </w:tc>
        <w:tc>
          <w:tcPr>
            <w:tcW w:w="124" w:type="dxa"/>
            <w:tcBorders/>
            <w:shd w:fill="FFFFFF" w:val="clear"/>
            <w:tcMar>
              <w:bottom w:w="0" w:type="dxa"/>
            </w:tcMar>
            <w:vAlign w:val="center"/>
          </w:tcPr>
          <w:p>
            <w:pPr>
              <w:pStyle w:val="TableContents"/>
              <w:bidi w:val="0"/>
              <w:spacing w:before="0" w:after="283"/>
              <w:ind w:left="0" w:right="0" w:hanging="0"/>
              <w:jc w:val="left"/>
            </w:pPr>
            <w:r>
              <w:t> </w:t>
            </w:r>
          </w:p>
        </w:tc>
        <w:tc>
          <w:tcPr>
            <w:tcW w:w="5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7" w:type="dxa"/>
            <w:tcBorders/>
            <w:shd w:fill="FFFFFF" w:val="clear"/>
            <w:tcMar>
              <w:bottom w:w="0" w:type="dxa"/>
            </w:tcMar>
            <w:vAlign w:val="center"/>
          </w:tcPr>
          <w:p>
            <w:pPr>
              <w:pStyle w:val="TableContents"/>
              <w:bidi w:val="0"/>
              <w:spacing w:before="0" w:after="283"/>
              <w:ind w:left="0" w:right="0" w:hanging="0"/>
              <w:jc w:val="left"/>
            </w:pPr>
            <w: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8" w:type="dxa"/>
            <w:tcBorders/>
            <w:shd w:fill="FFFFFF" w:val="clear"/>
            <w:tcMar>
              <w:bottom w:w="0" w:type="dxa"/>
            </w:tcMar>
            <w:vAlign w:val="center"/>
          </w:tcPr>
          <w:p>
            <w:pPr>
              <w:pStyle w:val="TableContents"/>
              <w:bidi w:val="0"/>
              <w:spacing w:before="0" w:after="283"/>
              <w:ind w:left="0" w:right="0" w:hanging="0"/>
              <w:jc w:val="left"/>
            </w:pPr>
            <w:r>
              <w:t> </w:t>
            </w:r>
          </w:p>
        </w:tc>
        <w:tc>
          <w:tcPr>
            <w:tcW w:w="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4,237</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Long Grove Pharmaceuticals, LLC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60"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8"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4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7.87%</w:t>
            </w:r>
          </w:p>
        </w:tc>
        <w:tc>
          <w:tcPr>
            <w:tcW w:w="224"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(11)</w:t>
            </w:r>
          </w:p>
        </w:tc>
        <w:tc>
          <w:tcPr>
            <w:tcW w:w="4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1-month</w:t>
              <w:br/>
              <w:t>SOFR</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February 27, 2031</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ind w:left="0" w:right="0" w:hanging="0"/>
              <w:jc w:val="left"/>
            </w:pPr>
            <w:r>
              <w:t> </w:t>
            </w:r>
          </w:p>
        </w:tc>
        <w:tc>
          <w:tcPr>
            <w:tcW w:w="5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10,298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ind w:left="0" w:right="0" w:hanging="0"/>
              <w:jc w:val="left"/>
            </w:pPr>
            <w: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10,086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10,086</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Provivi, Inc. (2)(12)(13)</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60"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8"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12.11%</w:t>
            </w:r>
          </w:p>
        </w:tc>
        <w:tc>
          <w:tcPr>
            <w:tcW w:w="224"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(11)</w:t>
            </w:r>
          </w:p>
        </w:tc>
        <w:tc>
          <w:tcPr>
            <w:tcW w:w="4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FFFFFF" w:val="clear"/>
            <w:tcMar>
              <w:bottom w:w="0" w:type="dxa"/>
            </w:tcMar>
            <w:vAlign w:val="center"/>
          </w:tcPr>
          <w:p>
            <w:pPr>
              <w:pStyle w:val="TableContents"/>
              <w:bidi w:val="0"/>
              <w:spacing w:before="0" w:after="283"/>
              <w:jc w:val="left"/>
            </w:pPr>
            <w:r>
              <w:t> </w:t>
            </w:r>
          </w:p>
        </w:tc>
        <w:tc>
          <w:tcPr>
            <w:tcW w:w="124" w:type="dxa"/>
            <w:tcBorders/>
            <w:shd w:fill="FFFFFF" w:val="clear"/>
            <w:tcMar>
              <w:bottom w:w="0" w:type="dxa"/>
            </w:tcMar>
            <w:vAlign w:val="center"/>
          </w:tcPr>
          <w:p>
            <w:pPr>
              <w:pStyle w:val="TableContents"/>
              <w:bidi w:val="0"/>
              <w:spacing w:before="0" w:after="283"/>
              <w:ind w:left="0" w:right="0" w:hanging="0"/>
              <w:jc w:val="left"/>
            </w:pPr>
            <w:r>
              <w:t> </w:t>
            </w:r>
          </w:p>
        </w:tc>
        <w:tc>
          <w:tcPr>
            <w:tcW w:w="5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1,906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7" w:type="dxa"/>
            <w:tcBorders/>
            <w:shd w:fill="FFFFFF" w:val="clear"/>
            <w:tcMar>
              <w:bottom w:w="0" w:type="dxa"/>
            </w:tcMar>
            <w:vAlign w:val="center"/>
          </w:tcPr>
          <w:p>
            <w:pPr>
              <w:pStyle w:val="TableContents"/>
              <w:bidi w:val="0"/>
              <w:spacing w:before="0" w:after="283"/>
              <w:ind w:left="0" w:right="0" w:hanging="0"/>
              <w:jc w:val="left"/>
            </w:pPr>
            <w: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1,683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8" w:type="dxa"/>
            <w:tcBorders/>
            <w:shd w:fill="FFFFFF" w:val="clear"/>
            <w:tcMar>
              <w:bottom w:w="0" w:type="dxa"/>
            </w:tcMar>
            <w:vAlign w:val="center"/>
          </w:tcPr>
          <w:p>
            <w:pPr>
              <w:pStyle w:val="TableContents"/>
              <w:bidi w:val="0"/>
              <w:spacing w:before="0" w:after="283"/>
              <w:ind w:left="0" w:right="0" w:hanging="0"/>
              <w:jc w:val="left"/>
            </w:pPr>
            <w:r>
              <w:t> </w:t>
            </w:r>
          </w:p>
        </w:tc>
        <w:tc>
          <w:tcPr>
            <w:tcW w:w="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924</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0"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8"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4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12.11%</w:t>
            </w:r>
          </w:p>
        </w:tc>
        <w:tc>
          <w:tcPr>
            <w:tcW w:w="224"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(11)</w:t>
            </w:r>
          </w:p>
        </w:tc>
        <w:tc>
          <w:tcPr>
            <w:tcW w:w="4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ind w:left="0" w:right="0" w:hanging="0"/>
              <w:jc w:val="left"/>
            </w:pPr>
            <w:r>
              <w:t> </w:t>
            </w:r>
          </w:p>
        </w:tc>
        <w:tc>
          <w:tcPr>
            <w:tcW w:w="5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1,906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ind w:left="0" w:right="0" w:hanging="0"/>
              <w:jc w:val="left"/>
            </w:pPr>
            <w: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1,683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924</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0"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8"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12.11%</w:t>
            </w:r>
          </w:p>
        </w:tc>
        <w:tc>
          <w:tcPr>
            <w:tcW w:w="224"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(11)</w:t>
            </w:r>
          </w:p>
        </w:tc>
        <w:tc>
          <w:tcPr>
            <w:tcW w:w="4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FFFFFF" w:val="clear"/>
            <w:tcMar>
              <w:bottom w:w="0" w:type="dxa"/>
            </w:tcMar>
            <w:vAlign w:val="center"/>
          </w:tcPr>
          <w:p>
            <w:pPr>
              <w:pStyle w:val="TableContents"/>
              <w:bidi w:val="0"/>
              <w:spacing w:before="0" w:after="283"/>
              <w:jc w:val="left"/>
            </w:pPr>
            <w:r>
              <w:t> </w:t>
            </w:r>
          </w:p>
        </w:tc>
        <w:tc>
          <w:tcPr>
            <w:tcW w:w="124" w:type="dxa"/>
            <w:tcBorders/>
            <w:shd w:fill="FFFFFF" w:val="clear"/>
            <w:tcMar>
              <w:bottom w:w="0" w:type="dxa"/>
            </w:tcMar>
            <w:vAlign w:val="center"/>
          </w:tcPr>
          <w:p>
            <w:pPr>
              <w:pStyle w:val="TableContents"/>
              <w:bidi w:val="0"/>
              <w:spacing w:before="0" w:after="283"/>
              <w:ind w:left="0" w:right="0" w:hanging="0"/>
              <w:jc w:val="left"/>
            </w:pPr>
            <w:r>
              <w:t> </w:t>
            </w:r>
          </w:p>
        </w:tc>
        <w:tc>
          <w:tcPr>
            <w:tcW w:w="5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7" w:type="dxa"/>
            <w:tcBorders/>
            <w:shd w:fill="FFFFFF" w:val="clear"/>
            <w:tcMar>
              <w:bottom w:w="0" w:type="dxa"/>
            </w:tcMar>
            <w:vAlign w:val="center"/>
          </w:tcPr>
          <w:p>
            <w:pPr>
              <w:pStyle w:val="TableContents"/>
              <w:bidi w:val="0"/>
              <w:spacing w:before="0" w:after="283"/>
              <w:ind w:left="0" w:right="0" w:hanging="0"/>
              <w:jc w:val="left"/>
            </w:pPr>
            <w: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8" w:type="dxa"/>
            <w:tcBorders/>
            <w:shd w:fill="FFFFFF" w:val="clear"/>
            <w:tcMar>
              <w:bottom w:w="0" w:type="dxa"/>
            </w:tcMar>
            <w:vAlign w:val="center"/>
          </w:tcPr>
          <w:p>
            <w:pPr>
              <w:pStyle w:val="TableContents"/>
              <w:bidi w:val="0"/>
              <w:spacing w:before="0" w:after="283"/>
              <w:ind w:left="0" w:right="0" w:hanging="0"/>
              <w:jc w:val="left"/>
            </w:pPr>
            <w:r>
              <w:t> </w:t>
            </w:r>
          </w:p>
        </w:tc>
        <w:tc>
          <w:tcPr>
            <w:tcW w:w="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460</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0"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8"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4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12.11%</w:t>
            </w:r>
          </w:p>
        </w:tc>
        <w:tc>
          <w:tcPr>
            <w:tcW w:w="224"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(11)</w:t>
            </w:r>
          </w:p>
        </w:tc>
        <w:tc>
          <w:tcPr>
            <w:tcW w:w="4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ind w:left="0" w:right="0" w:hanging="0"/>
              <w:jc w:val="left"/>
            </w:pPr>
            <w:r>
              <w:t> </w:t>
            </w:r>
          </w:p>
        </w:tc>
        <w:tc>
          <w:tcPr>
            <w:tcW w:w="5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ind w:left="0" w:right="0" w:hanging="0"/>
              <w:jc w:val="left"/>
            </w:pPr>
            <w: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460</w:t>
            </w:r>
          </w:p>
        </w:tc>
        <w:tc>
          <w:tcPr>
            <w:tcW w:w="83" w:type="dxa"/>
            <w:tcBorders/>
            <w:shd w:fill="CCEEFF" w:val="clear"/>
            <w:tcMar>
              <w:bottom w:w="0" w:type="dxa"/>
            </w:tcMar>
            <w:vAlign w:val="center"/>
          </w:tcPr>
          <w:p>
            <w:pPr>
              <w:pStyle w:val="TableContents"/>
              <w:bidi w:val="0"/>
              <w:spacing w:before="0" w:after="283"/>
              <w:jc w:val="left"/>
            </w:pPr>
            <w:r>
              <w:t> </w:t>
            </w:r>
          </w:p>
        </w:tc>
      </w:tr>
      <w:tr>
        <w:tc>
          <w:tcPr>
            <w:tcW w:w="15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0"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8"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4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12.11%</w:t>
            </w:r>
          </w:p>
        </w:tc>
        <w:tc>
          <w:tcPr>
            <w:tcW w:w="224"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(11)</w:t>
            </w:r>
          </w:p>
        </w:tc>
        <w:tc>
          <w:tcPr>
            <w:tcW w:w="4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FFFFFF" w:val="clear"/>
            <w:tcMar>
              <w:bottom w:w="0" w:type="dxa"/>
            </w:tcMar>
            <w:vAlign w:val="center"/>
          </w:tcPr>
          <w:p>
            <w:pPr>
              <w:pStyle w:val="TableContents"/>
              <w:bidi w:val="0"/>
              <w:spacing w:before="0" w:after="283"/>
              <w:jc w:val="left"/>
            </w:pPr>
            <w:r>
              <w:t> </w:t>
            </w:r>
          </w:p>
        </w:tc>
        <w:tc>
          <w:tcPr>
            <w:tcW w:w="124" w:type="dxa"/>
            <w:tcBorders/>
            <w:shd w:fill="FFFFFF" w:val="clear"/>
            <w:tcMar>
              <w:bottom w:w="0" w:type="dxa"/>
            </w:tcMar>
            <w:vAlign w:val="center"/>
          </w:tcPr>
          <w:p>
            <w:pPr>
              <w:pStyle w:val="TableContents"/>
              <w:bidi w:val="0"/>
              <w:spacing w:before="0" w:after="283"/>
              <w:ind w:left="0" w:right="0" w:hanging="0"/>
              <w:jc w:val="left"/>
            </w:pPr>
            <w:r>
              <w:t> </w:t>
            </w:r>
          </w:p>
        </w:tc>
        <w:tc>
          <w:tcPr>
            <w:tcW w:w="5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7" w:type="dxa"/>
            <w:tcBorders/>
            <w:shd w:fill="FFFFFF" w:val="clear"/>
            <w:tcMar>
              <w:bottom w:w="0" w:type="dxa"/>
            </w:tcMar>
            <w:vAlign w:val="center"/>
          </w:tcPr>
          <w:p>
            <w:pPr>
              <w:pStyle w:val="TableContents"/>
              <w:bidi w:val="0"/>
              <w:spacing w:before="0" w:after="283"/>
              <w:ind w:left="0" w:right="0" w:hanging="0"/>
              <w:jc w:val="left"/>
            </w:pPr>
            <w: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8" w:type="dxa"/>
            <w:tcBorders/>
            <w:shd w:fill="FFFFFF" w:val="clear"/>
            <w:tcMar>
              <w:bottom w:w="0" w:type="dxa"/>
            </w:tcMar>
            <w:vAlign w:val="center"/>
          </w:tcPr>
          <w:p>
            <w:pPr>
              <w:pStyle w:val="TableContents"/>
              <w:bidi w:val="0"/>
              <w:spacing w:before="0" w:after="283"/>
              <w:ind w:left="0" w:right="0" w:hanging="0"/>
              <w:jc w:val="left"/>
            </w:pPr>
            <w:r>
              <w:t> </w:t>
            </w:r>
          </w:p>
        </w:tc>
        <w:tc>
          <w:tcPr>
            <w:tcW w:w="4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460</w:t>
            </w:r>
          </w:p>
        </w:tc>
        <w:tc>
          <w:tcPr>
            <w:tcW w:w="83" w:type="dxa"/>
            <w:tcBorders/>
            <w:shd w:fill="FFFFFF" w:val="clear"/>
            <w:tcMar>
              <w:bottom w:w="0" w:type="dxa"/>
            </w:tcMar>
            <w:vAlign w:val="center"/>
          </w:tcPr>
          <w:p>
            <w:pPr>
              <w:pStyle w:val="TableContents"/>
              <w:bidi w:val="0"/>
              <w:spacing w:before="0" w:after="283"/>
              <w:jc w:val="left"/>
            </w:pPr>
            <w:r>
              <w:t> </w:t>
            </w:r>
          </w:p>
        </w:tc>
      </w:tr>
      <w:tr>
        <w:tc>
          <w:tcPr>
            <w:tcW w:w="15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60"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8"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4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12.11%</w:t>
            </w:r>
          </w:p>
        </w:tc>
        <w:tc>
          <w:tcPr>
            <w:tcW w:w="224"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(11)</w:t>
            </w:r>
          </w:p>
        </w:tc>
        <w:tc>
          <w:tcPr>
            <w:tcW w:w="4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2027</w:t>
            </w:r>
          </w:p>
        </w:tc>
        <w:tc>
          <w:tcPr>
            <w:tcW w:w="60" w:type="dxa"/>
            <w:tcBorders/>
            <w:shd w:fill="CCEEFF" w:val="clear"/>
            <w:tcMar>
              <w:bottom w:w="0" w:type="dxa"/>
            </w:tcMar>
            <w:vAlign w:val="center"/>
          </w:tcPr>
          <w:p>
            <w:pPr>
              <w:pStyle w:val="TableContents"/>
              <w:bidi w:val="0"/>
              <w:spacing w:before="0" w:after="283"/>
              <w:jc w:val="left"/>
            </w:pPr>
            <w:r>
              <w:t> </w:t>
            </w:r>
          </w:p>
        </w:tc>
        <w:tc>
          <w:tcPr>
            <w:tcW w:w="124" w:type="dxa"/>
            <w:tcBorders/>
            <w:shd w:fill="CCEEFF" w:val="clear"/>
            <w:tcMar>
              <w:bottom w:w="0" w:type="dxa"/>
            </w:tcMar>
            <w:vAlign w:val="center"/>
          </w:tcPr>
          <w:p>
            <w:pPr>
              <w:pStyle w:val="TableContents"/>
              <w:bidi w:val="0"/>
              <w:spacing w:before="0" w:after="283"/>
              <w:ind w:left="0" w:right="0" w:hanging="0"/>
              <w:jc w:val="left"/>
            </w:pPr>
            <w:r>
              <w:t> </w:t>
            </w:r>
          </w:p>
        </w:tc>
        <w:tc>
          <w:tcPr>
            <w:tcW w:w="5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7" w:type="dxa"/>
            <w:tcBorders/>
            <w:shd w:fill="CCEEFF" w:val="clear"/>
            <w:tcMar>
              <w:bottom w:w="0" w:type="dxa"/>
            </w:tcMar>
            <w:vAlign w:val="center"/>
          </w:tcPr>
          <w:p>
            <w:pPr>
              <w:pStyle w:val="TableContents"/>
              <w:bidi w:val="0"/>
              <w:spacing w:before="0" w:after="283"/>
              <w:ind w:left="0" w:right="0" w:hanging="0"/>
              <w:jc w:val="left"/>
            </w:pPr>
            <w: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8"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460</w:t>
            </w:r>
          </w:p>
        </w:tc>
        <w:tc>
          <w:tcPr>
            <w:tcW w:w="83"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09"/>
        <w:gridCol w:w="60"/>
        <w:gridCol w:w="585"/>
        <w:gridCol w:w="60"/>
        <w:gridCol w:w="824"/>
        <w:gridCol w:w="60"/>
        <w:gridCol w:w="74"/>
        <w:gridCol w:w="435"/>
        <w:gridCol w:w="361"/>
        <w:gridCol w:w="365"/>
        <w:gridCol w:w="60"/>
        <w:gridCol w:w="84"/>
        <w:gridCol w:w="386"/>
        <w:gridCol w:w="125"/>
        <w:gridCol w:w="60"/>
        <w:gridCol w:w="60"/>
        <w:gridCol w:w="350"/>
        <w:gridCol w:w="125"/>
        <w:gridCol w:w="60"/>
        <w:gridCol w:w="66"/>
        <w:gridCol w:w="389"/>
        <w:gridCol w:w="125"/>
        <w:gridCol w:w="60"/>
        <w:gridCol w:w="64"/>
        <w:gridCol w:w="375"/>
        <w:gridCol w:w="125"/>
        <w:gridCol w:w="735"/>
        <w:gridCol w:w="60"/>
        <w:gridCol w:w="86"/>
        <w:gridCol w:w="611"/>
        <w:gridCol w:w="60"/>
        <w:gridCol w:w="60"/>
        <w:gridCol w:w="135"/>
        <w:gridCol w:w="790"/>
        <w:gridCol w:w="60"/>
        <w:gridCol w:w="60"/>
        <w:gridCol w:w="76"/>
        <w:gridCol w:w="445"/>
        <w:gridCol w:w="80"/>
      </w:tblGrid>
      <w:tr>
        <w:tc>
          <w:tcPr>
            <w:tcW w:w="1609"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58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24"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09"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Cash Rate (4)</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36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Ceiling</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39"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3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97"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2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21"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 Value (9)</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Ceribell, Inc. (2)(5)(12)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8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4,833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4,833</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4,954</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3,963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3,963</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Conventus Orthopaedics,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13.07</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6.32</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10.88</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July 1, 2026</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2,801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2,785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2,785</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13.07</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6.32</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10.88</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2026</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2,801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2,785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2,785</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Infobionic,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September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jc w:val="left"/>
            </w:pPr>
            <w:r>
              <w:t> </w:t>
            </w:r>
          </w:p>
        </w:tc>
        <w:tc>
          <w:tcPr>
            <w:tcW w:w="43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361"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jc w:val="left"/>
            </w:pPr>
            <w:r>
              <w:t> </w:t>
            </w:r>
          </w:p>
        </w:tc>
        <w:tc>
          <w:tcPr>
            <w:tcW w:w="3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September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jc w:val="left"/>
            </w:pPr>
            <w:r>
              <w:t> </w:t>
            </w:r>
          </w:p>
        </w:tc>
        <w:tc>
          <w:tcPr>
            <w:tcW w:w="61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jc w:val="left"/>
            </w:pPr>
            <w:r>
              <w:t> </w:t>
            </w:r>
          </w:p>
        </w:tc>
        <w:tc>
          <w:tcPr>
            <w:tcW w:w="7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2,379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jc w:val="left"/>
            </w:pPr>
            <w:r>
              <w:t> </w:t>
            </w:r>
          </w:p>
        </w:tc>
        <w:tc>
          <w:tcPr>
            <w:tcW w:w="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2,379</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September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2,429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2,429</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Mobia Medical, Inc. fka Microtransponder,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8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3,710</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3,710</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MML US,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8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2,565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2,444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2,444</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March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2,565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2,543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2,543</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5,129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5,086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5,086</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5,129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5,086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5,086</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5,091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5,046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5,046</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5,091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5,046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5,046</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Onkos Surgical,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8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9,874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9,874</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9,874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9,874</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4,937</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4,926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4,926</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Scientia Vascular,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8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9,890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9,890</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July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9,890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9,890</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4,945</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July 1, 2030</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1,483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1,483</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2030</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3,459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3,459</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Sonex Health,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8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2027</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2,489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2,489</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September 1, 2027</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2,489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2,489</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2027</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4,977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4,977</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ind w:left="0" w:right="0" w:hanging="0"/>
              <w:jc w:val="left"/>
            </w:pPr>
            <w:r>
              <w:t> </w:t>
            </w:r>
          </w:p>
        </w:tc>
        <w:tc>
          <w:tcPr>
            <w:tcW w:w="4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FFFF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89"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ind w:left="0" w:right="0" w:hanging="0"/>
              <w:jc w:val="left"/>
            </w:pPr>
            <w:r>
              <w:t> </w:t>
            </w:r>
          </w:p>
        </w:tc>
        <w:tc>
          <w:tcPr>
            <w:tcW w:w="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September 1, 2027</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4,977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ind w:left="0" w:right="0" w:hanging="0"/>
              <w:jc w:val="left"/>
            </w:pPr>
            <w:r>
              <w:t> </w:t>
            </w:r>
          </w:p>
        </w:tc>
        <w:tc>
          <w:tcPr>
            <w:tcW w:w="4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4,977</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ind w:left="0" w:right="0" w:hanging="0"/>
              <w:jc w:val="left"/>
            </w:pPr>
            <w:r>
              <w:t> </w:t>
            </w:r>
          </w:p>
        </w:tc>
        <w:tc>
          <w:tcPr>
            <w:tcW w:w="4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1" w:type="dxa"/>
            <w:tcBorders/>
            <w:shd w:fill="CCEEFF" w:val="clear"/>
            <w:tcMar>
              <w:bottom w:w="0" w:type="dxa"/>
            </w:tcMar>
            <w:vAlign w:val="center"/>
          </w:tcPr>
          <w:p>
            <w:pPr>
              <w:pStyle w:val="TableContents"/>
              <w:bidi w:val="0"/>
              <w:spacing w:before="0" w:after="283"/>
              <w:ind w:left="0" w:right="0" w:hanging="0"/>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89"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ind w:left="0" w:right="0" w:hanging="0"/>
              <w:jc w:val="left"/>
            </w:pPr>
            <w:r>
              <w:t> </w:t>
            </w:r>
          </w:p>
        </w:tc>
        <w:tc>
          <w:tcPr>
            <w:tcW w:w="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April 1, 2028</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3,725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ind w:left="0" w:right="0" w:hanging="0"/>
              <w:jc w:val="left"/>
            </w:pPr>
            <w:r>
              <w:t> </w:t>
            </w:r>
          </w:p>
        </w:tc>
        <w:tc>
          <w:tcPr>
            <w:tcW w:w="4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3,725</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jc w:val="left"/>
            </w:pPr>
            <w:r>
              <w:t> </w:t>
            </w:r>
          </w:p>
        </w:tc>
        <w:tc>
          <w:tcPr>
            <w:tcW w:w="43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11.75</w:t>
            </w:r>
          </w:p>
        </w:tc>
        <w:tc>
          <w:tcPr>
            <w:tcW w:w="361"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jc w:val="left"/>
            </w:pPr>
            <w:r>
              <w:t> </w:t>
            </w:r>
          </w:p>
        </w:tc>
        <w:tc>
          <w:tcPr>
            <w:tcW w:w="3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April 1, 2028</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jc w:val="left"/>
            </w:pPr>
            <w:r>
              <w:t> </w:t>
            </w:r>
          </w:p>
        </w:tc>
        <w:tc>
          <w:tcPr>
            <w:tcW w:w="61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jc w:val="left"/>
            </w:pPr>
            <w:r>
              <w:t> </w:t>
            </w:r>
          </w:p>
        </w:tc>
        <w:tc>
          <w:tcPr>
            <w:tcW w:w="7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3,725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jc w:val="left"/>
            </w:pPr>
            <w:r>
              <w:t> </w:t>
            </w:r>
          </w:p>
        </w:tc>
        <w:tc>
          <w:tcPr>
            <w:tcW w:w="4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3,725</w:t>
            </w:r>
          </w:p>
        </w:tc>
        <w:tc>
          <w:tcPr>
            <w:tcW w:w="80" w:type="dxa"/>
            <w:tcBorders/>
            <w:shd w:fill="FFFFFF" w:val="clear"/>
            <w:tcMar>
              <w:bottom w:w="0" w:type="dxa"/>
            </w:tcMar>
            <w:vAlign w:val="center"/>
          </w:tcPr>
          <w:p>
            <w:pPr>
              <w:pStyle w:val="TableContents"/>
              <w:bidi w:val="0"/>
              <w:spacing w:before="0" w:after="283"/>
              <w:jc w:val="left"/>
            </w:pPr>
            <w:r>
              <w:t> </w:t>
            </w:r>
          </w:p>
        </w:tc>
      </w:tr>
      <w:tr>
        <w:tc>
          <w:tcPr>
            <w:tcW w:w="160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8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24"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4" w:type="dxa"/>
            <w:tcBorders/>
            <w:shd w:fill="CCEEFF" w:val="clear"/>
            <w:tcMar>
              <w:bottom w:w="0" w:type="dxa"/>
            </w:tcMar>
            <w:vAlign w:val="center"/>
          </w:tcPr>
          <w:p>
            <w:pPr>
              <w:pStyle w:val="TableContents"/>
              <w:bidi w:val="0"/>
              <w:spacing w:before="0" w:after="283"/>
              <w:jc w:val="left"/>
            </w:pPr>
            <w:r>
              <w:t> </w:t>
            </w:r>
          </w:p>
        </w:tc>
        <w:tc>
          <w:tcPr>
            <w:tcW w:w="43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11.75</w:t>
            </w:r>
          </w:p>
        </w:tc>
        <w:tc>
          <w:tcPr>
            <w:tcW w:w="361" w:type="dxa"/>
            <w:tcBorders/>
            <w:shd w:fill="CCEE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89" w:type="dxa"/>
            <w:tcBorders/>
            <w:shd w:fill="CCEEFF" w:val="clear"/>
            <w:tcMar>
              <w:bottom w:w="0" w:type="dxa"/>
            </w:tcMar>
            <w:vAlign w:val="center"/>
          </w:tcPr>
          <w:p>
            <w:pPr>
              <w:pStyle w:val="TableContents"/>
              <w:bidi w:val="0"/>
              <w:spacing w:before="0" w:after="283"/>
              <w:jc w:val="right"/>
            </w:pPr>
            <w:r>
              <w:t>—</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4" w:type="dxa"/>
            <w:tcBorders/>
            <w:shd w:fill="CCEEFF" w:val="clear"/>
            <w:tcMar>
              <w:bottom w:w="0" w:type="dxa"/>
            </w:tcMar>
            <w:vAlign w:val="center"/>
          </w:tcPr>
          <w:p>
            <w:pPr>
              <w:pStyle w:val="TableContents"/>
              <w:bidi w:val="0"/>
              <w:spacing w:before="0" w:after="283"/>
              <w:jc w:val="left"/>
            </w:pPr>
            <w:r>
              <w:t> </w:t>
            </w:r>
          </w:p>
        </w:tc>
        <w:tc>
          <w:tcPr>
            <w:tcW w:w="3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April 1, 2028</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jc w:val="left"/>
            </w:pPr>
            <w:r>
              <w:t> </w:t>
            </w:r>
          </w:p>
        </w:tc>
        <w:tc>
          <w:tcPr>
            <w:tcW w:w="61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5" w:type="dxa"/>
            <w:tcBorders/>
            <w:shd w:fill="CCEEFF" w:val="clear"/>
            <w:tcMar>
              <w:bottom w:w="0" w:type="dxa"/>
            </w:tcMar>
            <w:vAlign w:val="center"/>
          </w:tcPr>
          <w:p>
            <w:pPr>
              <w:pStyle w:val="TableContents"/>
              <w:bidi w:val="0"/>
              <w:spacing w:before="0" w:after="283"/>
              <w:jc w:val="left"/>
            </w:pPr>
            <w:r>
              <w:t> </w:t>
            </w:r>
          </w:p>
        </w:tc>
        <w:tc>
          <w:tcPr>
            <w:tcW w:w="7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3,725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6" w:type="dxa"/>
            <w:tcBorders/>
            <w:shd w:fill="CCEEFF" w:val="clear"/>
            <w:tcMar>
              <w:bottom w:w="0" w:type="dxa"/>
            </w:tcMar>
            <w:vAlign w:val="center"/>
          </w:tcPr>
          <w:p>
            <w:pPr>
              <w:pStyle w:val="TableContents"/>
              <w:bidi w:val="0"/>
              <w:spacing w:before="0" w:after="283"/>
              <w:jc w:val="left"/>
            </w:pPr>
            <w:r>
              <w:t> </w:t>
            </w:r>
          </w:p>
        </w:tc>
        <w:tc>
          <w:tcPr>
            <w:tcW w:w="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3,725</w:t>
            </w:r>
          </w:p>
        </w:tc>
        <w:tc>
          <w:tcPr>
            <w:tcW w:w="80" w:type="dxa"/>
            <w:tcBorders/>
            <w:shd w:fill="CCEEFF" w:val="clear"/>
            <w:tcMar>
              <w:bottom w:w="0" w:type="dxa"/>
            </w:tcMar>
            <w:vAlign w:val="center"/>
          </w:tcPr>
          <w:p>
            <w:pPr>
              <w:pStyle w:val="TableContents"/>
              <w:bidi w:val="0"/>
              <w:spacing w:before="0" w:after="283"/>
              <w:jc w:val="left"/>
            </w:pPr>
            <w:r>
              <w:t> </w:t>
            </w:r>
          </w:p>
        </w:tc>
      </w:tr>
      <w:tr>
        <w:tc>
          <w:tcPr>
            <w:tcW w:w="160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8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24"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4" w:type="dxa"/>
            <w:tcBorders/>
            <w:shd w:fill="FFFFFF" w:val="clear"/>
            <w:tcMar>
              <w:bottom w:w="0" w:type="dxa"/>
            </w:tcMar>
            <w:vAlign w:val="center"/>
          </w:tcPr>
          <w:p>
            <w:pPr>
              <w:pStyle w:val="TableContents"/>
              <w:bidi w:val="0"/>
              <w:spacing w:before="0" w:after="283"/>
              <w:jc w:val="left"/>
            </w:pPr>
            <w:r>
              <w:t> </w:t>
            </w:r>
          </w:p>
        </w:tc>
        <w:tc>
          <w:tcPr>
            <w:tcW w:w="43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11.75</w:t>
            </w:r>
          </w:p>
        </w:tc>
        <w:tc>
          <w:tcPr>
            <w:tcW w:w="361" w:type="dxa"/>
            <w:tcBorders/>
            <w:shd w:fill="FFFFFF" w:val="clear"/>
            <w:tcMar>
              <w:bottom w:w="0" w:type="dxa"/>
            </w:tcMar>
            <w:vAlign w:val="center"/>
          </w:tcPr>
          <w:p>
            <w:pPr>
              <w:pStyle w:val="TableContents"/>
              <w:bidi w:val="0"/>
              <w:spacing w:before="0" w:after="283"/>
              <w:jc w:val="left"/>
            </w:pPr>
            <w:r>
              <w:rPr>
                <w:rStyle w:val="Emphasis"/>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89" w:type="dxa"/>
            <w:tcBorders/>
            <w:shd w:fill="FFFFFF" w:val="clear"/>
            <w:tcMar>
              <w:bottom w:w="0" w:type="dxa"/>
            </w:tcMar>
            <w:vAlign w:val="center"/>
          </w:tcPr>
          <w:p>
            <w:pPr>
              <w:pStyle w:val="TableContents"/>
              <w:bidi w:val="0"/>
              <w:spacing w:before="0" w:after="283"/>
              <w:jc w:val="right"/>
            </w:pPr>
            <w:r>
              <w:t>—</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4" w:type="dxa"/>
            <w:tcBorders/>
            <w:shd w:fill="FFFFFF" w:val="clear"/>
            <w:tcMar>
              <w:bottom w:w="0" w:type="dxa"/>
            </w:tcMar>
            <w:vAlign w:val="center"/>
          </w:tcPr>
          <w:p>
            <w:pPr>
              <w:pStyle w:val="TableContents"/>
              <w:bidi w:val="0"/>
              <w:spacing w:before="0" w:after="283"/>
              <w:jc w:val="left"/>
            </w:pPr>
            <w:r>
              <w:t> </w:t>
            </w:r>
          </w:p>
        </w:tc>
        <w:tc>
          <w:tcPr>
            <w:tcW w:w="3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7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April 1, 2028</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jc w:val="left"/>
            </w:pPr>
            <w:r>
              <w:t> </w:t>
            </w:r>
          </w:p>
        </w:tc>
        <w:tc>
          <w:tcPr>
            <w:tcW w:w="61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5" w:type="dxa"/>
            <w:tcBorders/>
            <w:shd w:fill="FFFFFF" w:val="clear"/>
            <w:tcMar>
              <w:bottom w:w="0" w:type="dxa"/>
            </w:tcMar>
            <w:vAlign w:val="center"/>
          </w:tcPr>
          <w:p>
            <w:pPr>
              <w:pStyle w:val="TableContents"/>
              <w:bidi w:val="0"/>
              <w:spacing w:before="0" w:after="283"/>
              <w:jc w:val="left"/>
            </w:pPr>
            <w:r>
              <w:t> </w:t>
            </w:r>
          </w:p>
        </w:tc>
        <w:tc>
          <w:tcPr>
            <w:tcW w:w="7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3,725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6" w:type="dxa"/>
            <w:tcBorders/>
            <w:shd w:fill="FFFFFF" w:val="clear"/>
            <w:tcMar>
              <w:bottom w:w="0" w:type="dxa"/>
            </w:tcMar>
            <w:vAlign w:val="center"/>
          </w:tcPr>
          <w:p>
            <w:pPr>
              <w:pStyle w:val="TableContents"/>
              <w:bidi w:val="0"/>
              <w:spacing w:before="0" w:after="283"/>
              <w:jc w:val="left"/>
            </w:pPr>
            <w:r>
              <w:t> </w:t>
            </w:r>
          </w:p>
        </w:tc>
        <w:tc>
          <w:tcPr>
            <w:tcW w:w="4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3,725</w:t>
            </w:r>
          </w:p>
        </w:tc>
        <w:tc>
          <w:tcPr>
            <w:tcW w:w="80"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9"/>
        <w:gridCol w:w="60"/>
        <w:gridCol w:w="777"/>
        <w:gridCol w:w="60"/>
        <w:gridCol w:w="832"/>
        <w:gridCol w:w="60"/>
        <w:gridCol w:w="75"/>
        <w:gridCol w:w="439"/>
        <w:gridCol w:w="125"/>
        <w:gridCol w:w="365"/>
        <w:gridCol w:w="60"/>
        <w:gridCol w:w="84"/>
        <w:gridCol w:w="386"/>
        <w:gridCol w:w="125"/>
        <w:gridCol w:w="60"/>
        <w:gridCol w:w="60"/>
        <w:gridCol w:w="350"/>
        <w:gridCol w:w="125"/>
        <w:gridCol w:w="60"/>
        <w:gridCol w:w="85"/>
        <w:gridCol w:w="370"/>
        <w:gridCol w:w="60"/>
        <w:gridCol w:w="60"/>
        <w:gridCol w:w="68"/>
        <w:gridCol w:w="316"/>
        <w:gridCol w:w="125"/>
        <w:gridCol w:w="646"/>
        <w:gridCol w:w="60"/>
        <w:gridCol w:w="86"/>
        <w:gridCol w:w="616"/>
        <w:gridCol w:w="60"/>
        <w:gridCol w:w="60"/>
        <w:gridCol w:w="99"/>
        <w:gridCol w:w="835"/>
        <w:gridCol w:w="60"/>
        <w:gridCol w:w="60"/>
        <w:gridCol w:w="68"/>
        <w:gridCol w:w="569"/>
        <w:gridCol w:w="80"/>
      </w:tblGrid>
      <w:tr>
        <w:tc>
          <w:tcPr>
            <w:tcW w:w="1719"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777"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32"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14"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Cash Rate (4)</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36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Ceiling</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84"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46"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02"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37"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 Value (9)</w:t>
            </w:r>
          </w:p>
        </w:tc>
        <w:tc>
          <w:tcPr>
            <w:tcW w:w="80"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Spineology,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3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5" w:type="dxa"/>
            <w:tcBorders/>
            <w:shd w:fill="CCEEFF" w:val="clear"/>
            <w:tcMar>
              <w:bottom w:w="0" w:type="dxa"/>
            </w:tcMar>
            <w:vAlign w:val="center"/>
          </w:tcPr>
          <w:p>
            <w:pPr>
              <w:pStyle w:val="TableContents"/>
              <w:bidi w:val="0"/>
              <w:spacing w:before="0" w:after="283"/>
              <w:ind w:left="0" w:right="0" w:hanging="0"/>
              <w:jc w:val="left"/>
            </w:pPr>
            <w: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shd w:fill="CCEEFF" w:val="clear"/>
            <w:tcMar>
              <w:bottom w:w="0" w:type="dxa"/>
            </w:tcMar>
            <w:vAlign w:val="center"/>
          </w:tcPr>
          <w:p>
            <w:pPr>
              <w:pStyle w:val="TableContents"/>
              <w:bidi w:val="0"/>
              <w:spacing w:before="0" w:after="283"/>
              <w:ind w:left="0" w:right="0" w:hanging="0"/>
              <w:jc w:val="left"/>
            </w:pPr>
            <w:r>
              <w:t> </w:t>
            </w:r>
          </w:p>
        </w:tc>
        <w:tc>
          <w:tcPr>
            <w:tcW w:w="8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4,936</w:t>
            </w:r>
          </w:p>
        </w:tc>
        <w:tc>
          <w:tcPr>
            <w:tcW w:w="80"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7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5" w:type="dxa"/>
            <w:tcBorders/>
            <w:shd w:fill="FFFFFF" w:val="clear"/>
            <w:tcMar>
              <w:bottom w:w="0" w:type="dxa"/>
            </w:tcMar>
            <w:vAlign w:val="center"/>
          </w:tcPr>
          <w:p>
            <w:pPr>
              <w:pStyle w:val="TableContents"/>
              <w:bidi w:val="0"/>
              <w:spacing w:before="0" w:after="283"/>
              <w:ind w:left="0" w:right="0" w:hanging="0"/>
              <w:jc w:val="left"/>
            </w:pPr>
            <w: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August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ind w:left="0" w:right="0" w:hanging="0"/>
              <w:jc w:val="left"/>
            </w:pPr>
            <w:r>
              <w:t> </w:t>
            </w:r>
          </w:p>
        </w:tc>
        <w:tc>
          <w:tcPr>
            <w:tcW w:w="8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4,195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4,195</w:t>
            </w:r>
          </w:p>
        </w:tc>
        <w:tc>
          <w:tcPr>
            <w:tcW w:w="80"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7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3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5" w:type="dxa"/>
            <w:tcBorders/>
            <w:shd w:fill="CCEEFF" w:val="clear"/>
            <w:tcMar>
              <w:bottom w:w="0" w:type="dxa"/>
            </w:tcMar>
            <w:vAlign w:val="center"/>
          </w:tcPr>
          <w:p>
            <w:pPr>
              <w:pStyle w:val="TableContents"/>
              <w:bidi w:val="0"/>
              <w:spacing w:before="0" w:after="283"/>
              <w:ind w:left="0" w:right="0" w:hanging="0"/>
              <w:jc w:val="left"/>
            </w:pPr>
            <w: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shd w:fill="CCEEFF" w:val="clear"/>
            <w:tcMar>
              <w:bottom w:w="0" w:type="dxa"/>
            </w:tcMar>
            <w:vAlign w:val="center"/>
          </w:tcPr>
          <w:p>
            <w:pPr>
              <w:pStyle w:val="TableContents"/>
              <w:bidi w:val="0"/>
              <w:spacing w:before="0" w:after="283"/>
              <w:ind w:left="0" w:right="0" w:hanging="0"/>
              <w:jc w:val="left"/>
            </w:pPr>
            <w:r>
              <w:t> </w:t>
            </w:r>
          </w:p>
        </w:tc>
        <w:tc>
          <w:tcPr>
            <w:tcW w:w="8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4,196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4,196</w:t>
            </w:r>
          </w:p>
        </w:tc>
        <w:tc>
          <w:tcPr>
            <w:tcW w:w="80"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7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5" w:type="dxa"/>
            <w:tcBorders/>
            <w:shd w:fill="FFFFFF" w:val="clear"/>
            <w:tcMar>
              <w:bottom w:w="0" w:type="dxa"/>
            </w:tcMar>
            <w:vAlign w:val="center"/>
          </w:tcPr>
          <w:p>
            <w:pPr>
              <w:pStyle w:val="TableContents"/>
              <w:bidi w:val="0"/>
              <w:spacing w:before="0" w:after="283"/>
              <w:ind w:left="0" w:right="0" w:hanging="0"/>
              <w:jc w:val="left"/>
            </w:pPr>
            <w: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ind w:left="0" w:right="0" w:hanging="0"/>
              <w:jc w:val="left"/>
            </w:pPr>
            <w:r>
              <w:t> </w:t>
            </w:r>
          </w:p>
        </w:tc>
        <w:tc>
          <w:tcPr>
            <w:tcW w:w="8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2,468</w:t>
            </w:r>
          </w:p>
        </w:tc>
        <w:tc>
          <w:tcPr>
            <w:tcW w:w="80"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Vero Biotech,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3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5" w:type="dxa"/>
            <w:tcBorders/>
            <w:shd w:fill="CCEEFF" w:val="clear"/>
            <w:tcMar>
              <w:bottom w:w="0" w:type="dxa"/>
            </w:tcMar>
            <w:vAlign w:val="center"/>
          </w:tcPr>
          <w:p>
            <w:pPr>
              <w:pStyle w:val="TableContents"/>
              <w:bidi w:val="0"/>
              <w:spacing w:before="0" w:after="283"/>
              <w:ind w:left="0" w:right="0" w:hanging="0"/>
              <w:jc w:val="left"/>
            </w:pPr>
            <w: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shd w:fill="CCEEFF" w:val="clear"/>
            <w:tcMar>
              <w:bottom w:w="0" w:type="dxa"/>
            </w:tcMar>
            <w:vAlign w:val="center"/>
          </w:tcPr>
          <w:p>
            <w:pPr>
              <w:pStyle w:val="TableContents"/>
              <w:bidi w:val="0"/>
              <w:spacing w:before="0" w:after="283"/>
              <w:ind w:left="0" w:right="0" w:hanging="0"/>
              <w:jc w:val="left"/>
            </w:pPr>
            <w:r>
              <w:t> </w:t>
            </w:r>
          </w:p>
        </w:tc>
        <w:tc>
          <w:tcPr>
            <w:tcW w:w="8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14,803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14,803</w:t>
            </w:r>
          </w:p>
        </w:tc>
        <w:tc>
          <w:tcPr>
            <w:tcW w:w="80"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7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5" w:type="dxa"/>
            <w:tcBorders/>
            <w:shd w:fill="FFFFFF" w:val="clear"/>
            <w:tcMar>
              <w:bottom w:w="0" w:type="dxa"/>
            </w:tcMar>
            <w:vAlign w:val="center"/>
          </w:tcPr>
          <w:p>
            <w:pPr>
              <w:pStyle w:val="TableContents"/>
              <w:bidi w:val="0"/>
              <w:spacing w:before="0" w:after="283"/>
              <w:ind w:left="0" w:right="0" w:hanging="0"/>
              <w:jc w:val="left"/>
            </w:pPr>
            <w: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ind w:left="0" w:right="0" w:hanging="0"/>
              <w:jc w:val="left"/>
            </w:pPr>
            <w:r>
              <w:t> </w:t>
            </w:r>
          </w:p>
        </w:tc>
        <w:tc>
          <w:tcPr>
            <w:tcW w:w="8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9,869</w:t>
            </w:r>
          </w:p>
        </w:tc>
        <w:tc>
          <w:tcPr>
            <w:tcW w:w="80"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7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3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5" w:type="dxa"/>
            <w:tcBorders/>
            <w:shd w:fill="CCEEFF" w:val="clear"/>
            <w:tcMar>
              <w:bottom w:w="0" w:type="dxa"/>
            </w:tcMar>
            <w:vAlign w:val="center"/>
          </w:tcPr>
          <w:p>
            <w:pPr>
              <w:pStyle w:val="TableContents"/>
              <w:bidi w:val="0"/>
              <w:spacing w:before="0" w:after="283"/>
              <w:ind w:left="0" w:right="0" w:hanging="0"/>
              <w:jc w:val="left"/>
            </w:pPr>
            <w: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shd w:fill="CCEEFF" w:val="clear"/>
            <w:tcMar>
              <w:bottom w:w="0" w:type="dxa"/>
            </w:tcMar>
            <w:vAlign w:val="center"/>
          </w:tcPr>
          <w:p>
            <w:pPr>
              <w:pStyle w:val="TableContents"/>
              <w:bidi w:val="0"/>
              <w:spacing w:before="0" w:after="283"/>
              <w:ind w:left="0" w:right="0" w:hanging="0"/>
              <w:jc w:val="left"/>
            </w:pPr>
            <w:r>
              <w:t> </w:t>
            </w:r>
          </w:p>
        </w:tc>
        <w:tc>
          <w:tcPr>
            <w:tcW w:w="8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4,933</w:t>
            </w:r>
          </w:p>
        </w:tc>
        <w:tc>
          <w:tcPr>
            <w:tcW w:w="80"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7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5" w:type="dxa"/>
            <w:tcBorders/>
            <w:shd w:fill="FFFFFF" w:val="clear"/>
            <w:tcMar>
              <w:bottom w:w="0" w:type="dxa"/>
            </w:tcMar>
            <w:vAlign w:val="center"/>
          </w:tcPr>
          <w:p>
            <w:pPr>
              <w:pStyle w:val="TableContents"/>
              <w:bidi w:val="0"/>
              <w:spacing w:before="0" w:after="283"/>
              <w:ind w:left="0" w:right="0" w:hanging="0"/>
              <w:jc w:val="left"/>
            </w:pPr>
            <w: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ind w:left="0" w:right="0" w:hanging="0"/>
              <w:jc w:val="left"/>
            </w:pPr>
            <w:r>
              <w:t> </w:t>
            </w:r>
          </w:p>
        </w:tc>
        <w:tc>
          <w:tcPr>
            <w:tcW w:w="8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2,466</w:t>
            </w:r>
          </w:p>
        </w:tc>
        <w:tc>
          <w:tcPr>
            <w:tcW w:w="80"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Total Non-Affiliate Debt Investments — Life Science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7"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32"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5" w:type="dxa"/>
            <w:tcBorders/>
            <w:shd w:fill="CCEEFF" w:val="clear"/>
            <w:tcMar>
              <w:bottom w:w="0" w:type="dxa"/>
            </w:tcMar>
            <w:vAlign w:val="center"/>
          </w:tcPr>
          <w:p>
            <w:pPr>
              <w:pStyle w:val="TableContents"/>
              <w:bidi w:val="0"/>
              <w:spacing w:before="0" w:after="283"/>
              <w:ind w:left="0" w:right="0" w:hanging="0"/>
              <w:jc w:val="left"/>
            </w:pPr>
            <w:r>
              <w:t> </w:t>
            </w:r>
          </w:p>
        </w:tc>
        <w:tc>
          <w:tcPr>
            <w:tcW w:w="439"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365"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6"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46"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6"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pPr>
            <w:r>
              <w:t> </w:t>
            </w:r>
          </w:p>
        </w:tc>
        <w:tc>
          <w:tcPr>
            <w:tcW w:w="835"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274,306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pPr>
            <w:r>
              <w:t> </w:t>
            </w:r>
          </w:p>
        </w:tc>
        <w:tc>
          <w:tcPr>
            <w:tcW w:w="569"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271,276</w:t>
            </w:r>
          </w:p>
        </w:tc>
        <w:tc>
          <w:tcPr>
            <w:tcW w:w="80"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Non-Affiliate Debt Investments — Sustainability — 1.5% (8)</w:t>
            </w:r>
          </w:p>
        </w:tc>
        <w:tc>
          <w:tcPr>
            <w:tcW w:w="60" w:type="dxa"/>
            <w:tcBorders/>
            <w:shd w:fill="FFFFFF" w:val="clear"/>
            <w:tcMar>
              <w:bottom w:w="0" w:type="dxa"/>
            </w:tcMar>
            <w:vAlign w:val="center"/>
          </w:tcPr>
          <w:p>
            <w:pPr>
              <w:pStyle w:val="TableContents"/>
              <w:bidi w:val="0"/>
              <w:spacing w:before="0" w:after="283"/>
              <w:jc w:val="left"/>
            </w:pPr>
            <w:r>
              <w:t> </w:t>
            </w:r>
          </w:p>
        </w:tc>
        <w:tc>
          <w:tcPr>
            <w:tcW w:w="77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3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5" w:type="dxa"/>
            <w:tcBorders/>
            <w:shd w:fill="FFFFFF" w:val="clear"/>
            <w:tcMar>
              <w:bottom w:w="0" w:type="dxa"/>
            </w:tcMar>
            <w:vAlign w:val="center"/>
          </w:tcPr>
          <w:p>
            <w:pPr>
              <w:pStyle w:val="TableContents"/>
              <w:bidi w:val="0"/>
              <w:spacing w:before="0" w:after="283"/>
              <w:jc w:val="left"/>
            </w:pPr>
            <w:r>
              <w:t> </w:t>
            </w:r>
          </w:p>
        </w:tc>
        <w:tc>
          <w:tcPr>
            <w:tcW w:w="439"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36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c>
          <w:tcPr>
            <w:tcW w:w="316"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4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jc w:val="left"/>
            </w:pPr>
            <w:r>
              <w:t> </w:t>
            </w:r>
          </w:p>
        </w:tc>
        <w:tc>
          <w:tcPr>
            <w:tcW w:w="61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jc w:val="left"/>
            </w:pPr>
            <w:r>
              <w:t> </w:t>
            </w:r>
          </w:p>
        </w:tc>
        <w:tc>
          <w:tcPr>
            <w:tcW w:w="83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jc w:val="left"/>
            </w:pPr>
            <w:r>
              <w:t> </w:t>
            </w:r>
          </w:p>
        </w:tc>
        <w:tc>
          <w:tcPr>
            <w:tcW w:w="569" w:type="dxa"/>
            <w:tcBorders/>
            <w:shd w:fill="FFFFFF" w:val="clear"/>
            <w:tcMar>
              <w:bottom w:w="0" w:type="dxa"/>
            </w:tcMar>
            <w:vAlign w:val="center"/>
          </w:tcPr>
          <w:p>
            <w:pPr>
              <w:pStyle w:val="TableContents"/>
              <w:bidi w:val="0"/>
              <w:spacing w:before="0" w:after="283"/>
              <w:jc w:val="left"/>
            </w:pPr>
            <w:r>
              <w:t> </w:t>
            </w:r>
          </w:p>
        </w:tc>
        <w:tc>
          <w:tcPr>
            <w:tcW w:w="80"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SparkCharge,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sz w:val="14"/>
              </w:rPr>
              <w:t>Alternative Energy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32"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5" w:type="dxa"/>
            <w:tcBorders/>
            <w:shd w:fill="CCEEFF" w:val="clear"/>
            <w:tcMar>
              <w:bottom w:w="0" w:type="dxa"/>
            </w:tcMar>
            <w:vAlign w:val="center"/>
          </w:tcPr>
          <w:p>
            <w:pPr>
              <w:pStyle w:val="TableContents"/>
              <w:bidi w:val="0"/>
              <w:spacing w:before="0" w:after="283"/>
              <w:ind w:left="0" w:right="0" w:hanging="0"/>
              <w:jc w:val="left"/>
            </w:pPr>
            <w: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May 1, 2029</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shd w:fill="CCEEFF" w:val="clear"/>
            <w:tcMar>
              <w:bottom w:w="0" w:type="dxa"/>
            </w:tcMar>
            <w:vAlign w:val="center"/>
          </w:tcPr>
          <w:p>
            <w:pPr>
              <w:pStyle w:val="TableContents"/>
              <w:bidi w:val="0"/>
              <w:spacing w:before="0" w:after="283"/>
              <w:ind w:left="0" w:right="0" w:hanging="0"/>
              <w:jc w:val="left"/>
            </w:pPr>
            <w:r>
              <w:t> </w:t>
            </w:r>
          </w:p>
        </w:tc>
        <w:tc>
          <w:tcPr>
            <w:tcW w:w="8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2,398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5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2,398</w:t>
            </w:r>
          </w:p>
        </w:tc>
        <w:tc>
          <w:tcPr>
            <w:tcW w:w="80"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7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5" w:type="dxa"/>
            <w:tcBorders/>
            <w:shd w:fill="FFFFFF" w:val="clear"/>
            <w:tcMar>
              <w:bottom w:w="0" w:type="dxa"/>
            </w:tcMar>
            <w:vAlign w:val="center"/>
          </w:tcPr>
          <w:p>
            <w:pPr>
              <w:pStyle w:val="TableContents"/>
              <w:bidi w:val="0"/>
              <w:spacing w:before="0" w:after="283"/>
              <w:ind w:left="0" w:right="0" w:hanging="0"/>
              <w:jc w:val="left"/>
            </w:pPr>
            <w: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May 1, 2029</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ind w:left="0" w:right="0" w:hanging="0"/>
              <w:jc w:val="left"/>
            </w:pPr>
            <w:r>
              <w:t> </w:t>
            </w:r>
          </w:p>
        </w:tc>
        <w:tc>
          <w:tcPr>
            <w:tcW w:w="8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2,471</w:t>
            </w:r>
          </w:p>
        </w:tc>
        <w:tc>
          <w:tcPr>
            <w:tcW w:w="80"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Non-Affiliate Debt Investments — Sustainability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77"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32"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75" w:type="dxa"/>
            <w:tcBorders/>
            <w:shd w:fill="CCEEFF" w:val="clear"/>
            <w:tcMar>
              <w:bottom w:w="0" w:type="dxa"/>
            </w:tcMar>
            <w:vAlign w:val="center"/>
          </w:tcPr>
          <w:p>
            <w:pPr>
              <w:pStyle w:val="TableContents"/>
              <w:bidi w:val="0"/>
              <w:spacing w:before="0" w:after="283"/>
              <w:ind w:left="0" w:right="0" w:hanging="0"/>
              <w:jc w:val="left"/>
            </w:pPr>
            <w:r>
              <w:t> </w:t>
            </w:r>
          </w:p>
        </w:tc>
        <w:tc>
          <w:tcPr>
            <w:tcW w:w="439"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365"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shd w:fill="CCEEFF" w:val="clear"/>
            <w:tcMar>
              <w:bottom w:w="0" w:type="dxa"/>
            </w:tcMar>
            <w:vAlign w:val="center"/>
          </w:tcPr>
          <w:p>
            <w:pPr>
              <w:pStyle w:val="TableContents"/>
              <w:bidi w:val="0"/>
              <w:spacing w:before="0" w:after="283"/>
              <w:ind w:left="0" w:right="0" w:hanging="0"/>
              <w:jc w:val="left"/>
            </w:pPr>
            <w:r>
              <w:t> </w:t>
            </w:r>
          </w:p>
        </w:tc>
        <w:tc>
          <w:tcPr>
            <w:tcW w:w="316"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46" w:type="dxa"/>
            <w:tcBorders/>
            <w:shd w:fill="CCEEFF" w:val="clear"/>
            <w:tcMar>
              <w:bottom w:w="0" w:type="dxa"/>
            </w:tcMar>
            <w:vAlign w:val="center"/>
          </w:tcPr>
          <w:p>
            <w:pPr>
              <w:pStyle w:val="TableContents"/>
              <w:bidi w:val="0"/>
              <w:spacing w:before="0" w:after="283"/>
              <w:jc w:val="center"/>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6" w:type="dxa"/>
            <w:tcBorders/>
            <w:shd w:fill="CCEEFF" w:val="clear"/>
            <w:tcMar>
              <w:bottom w:w="0" w:type="dxa"/>
            </w:tcMar>
            <w:vAlign w:val="center"/>
          </w:tcPr>
          <w:p>
            <w:pPr>
              <w:pStyle w:val="TableContents"/>
              <w:bidi w:val="0"/>
              <w:spacing w:before="0" w:after="283"/>
              <w:ind w:left="0" w:right="0" w:hanging="0"/>
              <w:jc w:val="left"/>
            </w:pPr>
            <w:r>
              <w:t> </w:t>
            </w:r>
          </w:p>
        </w:tc>
        <w:tc>
          <w:tcPr>
            <w:tcW w:w="616" w:type="dxa"/>
            <w:tcBorders/>
            <w:shd w:fill="CCEEFF" w:val="clear"/>
            <w:tcMar>
              <w:bottom w:w="0" w:type="dxa"/>
            </w:tcMar>
            <w:vAlign w:val="center"/>
          </w:tcPr>
          <w:p>
            <w:pPr>
              <w:pStyle w:val="TableContents"/>
              <w:bidi w:val="0"/>
              <w:spacing w:before="0" w:after="283"/>
              <w:ind w:left="0" w:right="0" w:hanging="0"/>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pPr>
            <w:r>
              <w:t> </w:t>
            </w:r>
          </w:p>
        </w:tc>
        <w:tc>
          <w:tcPr>
            <w:tcW w:w="835"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4,869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8"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pPr>
            <w:r>
              <w:t> </w:t>
            </w:r>
          </w:p>
        </w:tc>
        <w:tc>
          <w:tcPr>
            <w:tcW w:w="569"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4,869</w:t>
            </w:r>
          </w:p>
        </w:tc>
        <w:tc>
          <w:tcPr>
            <w:tcW w:w="80"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7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2"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5" w:type="dxa"/>
            <w:tcBorders/>
            <w:shd w:fill="FFFFFF" w:val="clear"/>
            <w:tcMar>
              <w:bottom w:w="0" w:type="dxa"/>
            </w:tcMar>
            <w:vAlign w:val="center"/>
          </w:tcPr>
          <w:p>
            <w:pPr>
              <w:pStyle w:val="TableContents"/>
              <w:bidi w:val="0"/>
              <w:spacing w:before="0" w:after="283"/>
              <w:ind w:left="0" w:right="0" w:hanging="0"/>
              <w:jc w:val="left"/>
            </w:pPr>
            <w:r>
              <w:t> </w:t>
            </w:r>
          </w:p>
        </w:tc>
        <w:tc>
          <w:tcPr>
            <w:tcW w:w="439" w:type="dxa"/>
            <w:tcBorders/>
            <w:shd w:fill="FFFFFF" w:val="clear"/>
            <w:tcMar>
              <w:bottom w:w="0" w:type="dxa"/>
            </w:tcMar>
            <w:vAlign w:val="center"/>
          </w:tcPr>
          <w:p>
            <w:pPr>
              <w:pStyle w:val="TableContents"/>
              <w:bidi w:val="0"/>
              <w:spacing w:before="0" w:after="283"/>
              <w:ind w:left="0" w:right="0" w:hanging="0"/>
              <w:jc w:val="right"/>
            </w:pPr>
            <w:r>
              <w:t> </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365"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316" w:type="dxa"/>
            <w:tcBorders/>
            <w:shd w:fill="FFFFFF" w:val="clear"/>
            <w:tcMar>
              <w:bottom w:w="0" w:type="dxa"/>
            </w:tcMar>
            <w:vAlign w:val="center"/>
          </w:tcPr>
          <w:p>
            <w:pPr>
              <w:pStyle w:val="TableContents"/>
              <w:bidi w:val="0"/>
              <w:spacing w:before="0" w:after="283"/>
              <w:ind w:left="0" w:right="0" w:hanging="0"/>
              <w:jc w:val="right"/>
            </w:pPr>
            <w:r>
              <w:t> </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46"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6" w:type="dxa"/>
            <w:tcBorders/>
            <w:shd w:fill="FFFFFF" w:val="clear"/>
            <w:tcMar>
              <w:bottom w:w="0" w:type="dxa"/>
            </w:tcMar>
            <w:vAlign w:val="center"/>
          </w:tcPr>
          <w:p>
            <w:pPr>
              <w:pStyle w:val="TableContents"/>
              <w:bidi w:val="0"/>
              <w:spacing w:before="0" w:after="283"/>
              <w:ind w:left="0" w:right="0" w:hanging="0"/>
              <w:jc w:val="left"/>
            </w:pPr>
            <w:r>
              <w:t> </w:t>
            </w:r>
          </w:p>
        </w:tc>
        <w:tc>
          <w:tcPr>
            <w:tcW w:w="616" w:type="dxa"/>
            <w:tcBorders/>
            <w:shd w:fill="FFFFFF" w:val="clear"/>
            <w:tcMar>
              <w:bottom w:w="0" w:type="dxa"/>
            </w:tcMar>
            <w:vAlign w:val="center"/>
          </w:tcPr>
          <w:p>
            <w:pPr>
              <w:pStyle w:val="TableContents"/>
              <w:bidi w:val="0"/>
              <w:spacing w:before="0" w:after="283"/>
              <w:ind w:left="0" w:right="0" w:hanging="0"/>
              <w:jc w:val="righ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ind w:left="0" w:right="0" w:hanging="0"/>
              <w:jc w:val="left"/>
            </w:pPr>
            <w:r>
              <w:t> </w:t>
            </w:r>
          </w:p>
        </w:tc>
        <w:tc>
          <w:tcPr>
            <w:tcW w:w="835" w:type="dxa"/>
            <w:tcBorders/>
            <w:shd w:fill="FFFFFF" w:val="clear"/>
            <w:tcMar>
              <w:bottom w:w="0" w:type="dxa"/>
            </w:tcMar>
            <w:vAlign w:val="center"/>
          </w:tcPr>
          <w:p>
            <w:pPr>
              <w:pStyle w:val="TableContents"/>
              <w:bidi w:val="0"/>
              <w:spacing w:before="0" w:after="283"/>
              <w:ind w:left="0" w:right="0" w:hanging="0"/>
              <w:jc w:val="righ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8" w:type="dxa"/>
            <w:tcBorders/>
            <w:shd w:fill="FFFFFF" w:val="clear"/>
            <w:tcMar>
              <w:bottom w:w="0" w:type="dxa"/>
            </w:tcMar>
            <w:vAlign w:val="center"/>
          </w:tcPr>
          <w:p>
            <w:pPr>
              <w:pStyle w:val="TableContents"/>
              <w:bidi w:val="0"/>
              <w:spacing w:before="0" w:after="283"/>
              <w:ind w:left="0" w:right="0" w:hanging="0"/>
              <w:jc w:val="left"/>
            </w:pPr>
            <w:r>
              <w:t> </w:t>
            </w:r>
          </w:p>
        </w:tc>
        <w:tc>
          <w:tcPr>
            <w:tcW w:w="569" w:type="dxa"/>
            <w:tcBorders/>
            <w:shd w:fill="FFFFFF" w:val="clear"/>
            <w:tcMar>
              <w:bottom w:w="0" w:type="dxa"/>
            </w:tcMar>
            <w:vAlign w:val="center"/>
          </w:tcPr>
          <w:p>
            <w:pPr>
              <w:pStyle w:val="TableContents"/>
              <w:bidi w:val="0"/>
              <w:spacing w:before="0" w:after="283"/>
              <w:ind w:left="0" w:right="0" w:hanging="0"/>
              <w:jc w:val="right"/>
            </w:pPr>
            <w:r>
              <w:t> </w:t>
            </w:r>
          </w:p>
        </w:tc>
        <w:tc>
          <w:tcPr>
            <w:tcW w:w="80"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28" w:type="dxa"/>
          <w:right w:w="0" w:type="dxa"/>
        </w:tblCellMar>
      </w:tblPr>
      <w:tblGrid>
        <w:gridCol w:w="1457"/>
        <w:gridCol w:w="60"/>
        <w:gridCol w:w="1243"/>
        <w:gridCol w:w="60"/>
        <w:gridCol w:w="803"/>
        <w:gridCol w:w="60"/>
        <w:gridCol w:w="72"/>
        <w:gridCol w:w="424"/>
        <w:gridCol w:w="125"/>
        <w:gridCol w:w="365"/>
        <w:gridCol w:w="60"/>
        <w:gridCol w:w="84"/>
        <w:gridCol w:w="386"/>
        <w:gridCol w:w="125"/>
        <w:gridCol w:w="60"/>
        <w:gridCol w:w="60"/>
        <w:gridCol w:w="350"/>
        <w:gridCol w:w="125"/>
        <w:gridCol w:w="60"/>
        <w:gridCol w:w="85"/>
        <w:gridCol w:w="370"/>
        <w:gridCol w:w="60"/>
        <w:gridCol w:w="60"/>
        <w:gridCol w:w="63"/>
        <w:gridCol w:w="371"/>
        <w:gridCol w:w="125"/>
        <w:gridCol w:w="641"/>
        <w:gridCol w:w="60"/>
        <w:gridCol w:w="84"/>
        <w:gridCol w:w="597"/>
        <w:gridCol w:w="60"/>
        <w:gridCol w:w="60"/>
        <w:gridCol w:w="131"/>
        <w:gridCol w:w="767"/>
        <w:gridCol w:w="60"/>
        <w:gridCol w:w="60"/>
        <w:gridCol w:w="73"/>
        <w:gridCol w:w="432"/>
        <w:gridCol w:w="67"/>
      </w:tblGrid>
      <w:tr>
        <w:tc>
          <w:tcPr>
            <w:tcW w:w="1457"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1243"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Sector</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9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Cash Rate (4)</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365"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Ceiling</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34"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64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81"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98"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0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14"/>
              </w:rPr>
              <w:t>Fair Value (9)</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Non-Affiliate Debt Investments — Technology — 63.3% (8)</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pPr>
            <w:r>
              <w:t> </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365"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pPr>
            <w:r>
              <w:t> </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641"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pPr>
            <w:r>
              <w:t> </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Havenly,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43"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val="false"/>
                <w:sz w:val="14"/>
              </w:rPr>
              <w:t>Consumer-related Technologies</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11.75</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5.00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5.00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10.40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March 1, 2027</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1,111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982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982</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11.75</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5.00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5.00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10.40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March 1, 2027</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1,667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1,482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1,482</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3"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 (17)</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7.78</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February 1, 2028</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3,375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1,915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3,374</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7.78</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February 1, 2028</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2,813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2,813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2,813</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3"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7.78</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February 1, 2028</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2,813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2,813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2,813</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Lyrical Foods,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val="false"/>
                <w:sz w:val="14"/>
              </w:rPr>
              <w:t>Consumer-related Technologies</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10.25</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9.00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5.00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July 1, 2028</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2,679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2,771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2,400</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3"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 (17)</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10.25</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9.00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5.00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July 1, 2028</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2,679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1,286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2,320</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Apkudo,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4.25</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7.00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October 1, 2029</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4,908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4,908</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3"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4.25</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7.00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October 1, 2029</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4,908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4,908</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BriteCore Holdings,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3.75</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6.50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January 1, 2031</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10,000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9,831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9,831</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3"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3.75</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6.50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January 1, 2031</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7,500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7,410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7,410</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10.50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3.75</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6.50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January 1, 2031</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2,470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2,470</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Crafty Holdings,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43"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12.00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4.50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12.00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4,894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4,894</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12.00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4.50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12.00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January 1, 2029</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4,933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4,933</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3"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12.00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4.50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12.00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January 1, 2029</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4,933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4,933</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12.00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4.50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12.00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January 1, 2029</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1,969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1,969</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Dropoff,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43"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 (17)</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13.25</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6.50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9.75</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June 1, 2026</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7,850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2,450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4,411</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13.25</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6.50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9.75</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June 1, 2026</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6,804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6,785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3,813</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3"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13.25</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6.50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9.75</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June 1, 2026</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6,280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6,263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3,520</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13.25</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6.50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9.75</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June 1, 2026</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2,617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2,613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1,468</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sz w:val="14"/>
              </w:rPr>
            </w:pPr>
            <w:r>
              <w:rPr>
                <w:rFonts w:ascii="Times New Roman;Times;serif" w:hAnsi="Times New Roman;Times;serif"/>
                <w:b w:val="false"/>
                <w:sz w:val="14"/>
              </w:rPr>
              <w:t>HappyCo,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43"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11.13</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3.75</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11.00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2.75</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February 1, 2030</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3,000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2,969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2,969</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11.13</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3.75</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11.00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February 1, 2030</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3,000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2,969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2,969</w:t>
            </w:r>
          </w:p>
        </w:tc>
        <w:tc>
          <w:tcPr>
            <w:tcW w:w="67" w:type="dxa"/>
            <w:tcBorders/>
            <w:shd w:fill="CCEEFF" w:val="clear"/>
            <w:tcMar>
              <w:bottom w:w="0" w:type="dxa"/>
            </w:tcMar>
            <w:vAlign w:val="center"/>
          </w:tcPr>
          <w:p>
            <w:pPr>
              <w:pStyle w:val="TableContents"/>
              <w:bidi w:val="0"/>
              <w:spacing w:before="0" w:after="283"/>
              <w:jc w:val="left"/>
            </w:pPr>
            <w:r>
              <w:t> </w:t>
            </w:r>
          </w:p>
        </w:tc>
      </w:tr>
      <w:tr>
        <w:tc>
          <w:tcPr>
            <w:tcW w:w="145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43"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0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4" w:type="dxa"/>
            <w:tcBorders/>
            <w:shd w:fill="FFFFFF" w:val="clear"/>
            <w:tcMar>
              <w:bottom w:w="0" w:type="dxa"/>
            </w:tcMar>
            <w:vAlign w:val="center"/>
          </w:tcPr>
          <w:p>
            <w:pPr>
              <w:pStyle w:val="TableContents"/>
              <w:bidi w:val="0"/>
              <w:spacing w:before="0" w:after="283"/>
              <w:ind w:left="0" w:right="0" w:hanging="0"/>
              <w:jc w:val="right"/>
              <w:rPr>
                <w:sz w:val="14"/>
              </w:rPr>
            </w:pPr>
            <w:r>
              <w:rPr>
                <w:sz w:val="14"/>
              </w:rPr>
              <w:t>11.13</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sz w:val="14"/>
              </w:rPr>
            </w:pPr>
            <w:r>
              <w:rPr>
                <w:sz w:val="14"/>
              </w:rPr>
              <w:t>3.75</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sz w:val="14"/>
              </w:rPr>
            </w:pPr>
            <w:r>
              <w:rPr>
                <w:sz w:val="14"/>
              </w:rPr>
              <w:t>11.00</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3" w:type="dxa"/>
            <w:tcBorders/>
            <w:shd w:fill="FFFFFF" w:val="clear"/>
            <w:tcMar>
              <w:bottom w:w="0" w:type="dxa"/>
            </w:tcMar>
            <w:vAlign w:val="center"/>
          </w:tcPr>
          <w:p>
            <w:pPr>
              <w:pStyle w:val="TableContents"/>
              <w:bidi w:val="0"/>
              <w:spacing w:before="0" w:after="283"/>
              <w:ind w:left="0" w:right="0" w:hanging="0"/>
              <w:jc w:val="left"/>
            </w:pPr>
            <w:r>
              <w:t> </w:t>
            </w:r>
          </w:p>
        </w:tc>
        <w:tc>
          <w:tcPr>
            <w:tcW w:w="371" w:type="dxa"/>
            <w:tcBorders/>
            <w:shd w:fill="FFFFFF" w:val="clear"/>
            <w:tcMar>
              <w:bottom w:w="0" w:type="dxa"/>
            </w:tcMar>
            <w:vAlign w:val="center"/>
          </w:tcPr>
          <w:p>
            <w:pPr>
              <w:pStyle w:val="TableContents"/>
              <w:bidi w:val="0"/>
              <w:spacing w:before="0" w:after="283"/>
              <w:ind w:left="0" w:right="0" w:hanging="0"/>
              <w:jc w:val="right"/>
              <w:rPr>
                <w:sz w:val="14"/>
              </w:rPr>
            </w:pPr>
            <w:r>
              <w:rPr>
                <w:sz w:val="14"/>
              </w:rPr>
              <w:t>2.75</w:t>
            </w:r>
          </w:p>
        </w:tc>
        <w:tc>
          <w:tcPr>
            <w:tcW w:w="125" w:type="dxa"/>
            <w:tcBorders/>
            <w:shd w:fill="FFFF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February 1, 2030</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597" w:type="dxa"/>
            <w:tcBorders/>
            <w:shd w:fill="FFFFFF" w:val="clear"/>
            <w:tcMar>
              <w:bottom w:w="0" w:type="dxa"/>
            </w:tcMar>
            <w:vAlign w:val="center"/>
          </w:tcPr>
          <w:p>
            <w:pPr>
              <w:pStyle w:val="TableContents"/>
              <w:bidi w:val="0"/>
              <w:spacing w:before="0" w:after="283"/>
              <w:ind w:left="0" w:right="0" w:hanging="0"/>
              <w:jc w:val="right"/>
              <w:rPr>
                <w:sz w:val="14"/>
              </w:rPr>
            </w:pPr>
            <w:r>
              <w:rPr>
                <w:sz w:val="14"/>
              </w:rPr>
              <w:t>2,000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1" w:type="dxa"/>
            <w:tcBorders/>
            <w:shd w:fill="FFFFFF" w:val="clear"/>
            <w:tcMar>
              <w:bottom w:w="0" w:type="dxa"/>
            </w:tcMar>
            <w:vAlign w:val="center"/>
          </w:tcPr>
          <w:p>
            <w:pPr>
              <w:pStyle w:val="TableContents"/>
              <w:bidi w:val="0"/>
              <w:spacing w:before="0" w:after="283"/>
              <w:ind w:left="0" w:right="0" w:hanging="0"/>
              <w:jc w:val="left"/>
            </w:pPr>
            <w:r>
              <w:t> </w:t>
            </w:r>
          </w:p>
        </w:tc>
        <w:tc>
          <w:tcPr>
            <w:tcW w:w="767" w:type="dxa"/>
            <w:tcBorders/>
            <w:shd w:fill="FFFFFF" w:val="clear"/>
            <w:tcMar>
              <w:bottom w:w="0" w:type="dxa"/>
            </w:tcMar>
            <w:vAlign w:val="center"/>
          </w:tcPr>
          <w:p>
            <w:pPr>
              <w:pStyle w:val="TableContents"/>
              <w:bidi w:val="0"/>
              <w:spacing w:before="0" w:after="283"/>
              <w:ind w:left="0" w:right="0" w:hanging="0"/>
              <w:jc w:val="right"/>
              <w:rPr>
                <w:sz w:val="14"/>
              </w:rPr>
            </w:pPr>
            <w:r>
              <w:rPr>
                <w:sz w:val="14"/>
              </w:rPr>
              <w:t>1,978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ind w:left="0" w:right="0" w:hanging="0"/>
              <w:jc w:val="left"/>
            </w:pPr>
            <w:r>
              <w:t> </w:t>
            </w:r>
          </w:p>
        </w:tc>
        <w:tc>
          <w:tcPr>
            <w:tcW w:w="432" w:type="dxa"/>
            <w:tcBorders/>
            <w:shd w:fill="FFFFFF" w:val="clear"/>
            <w:tcMar>
              <w:bottom w:w="0" w:type="dxa"/>
            </w:tcMar>
            <w:vAlign w:val="center"/>
          </w:tcPr>
          <w:p>
            <w:pPr>
              <w:pStyle w:val="TableContents"/>
              <w:bidi w:val="0"/>
              <w:spacing w:before="0" w:after="283"/>
              <w:ind w:left="0" w:right="0" w:hanging="0"/>
              <w:jc w:val="right"/>
              <w:rPr>
                <w:sz w:val="14"/>
              </w:rPr>
            </w:pPr>
            <w:r>
              <w:rPr>
                <w:sz w:val="14"/>
              </w:rPr>
              <w:t>1,978</w:t>
            </w:r>
          </w:p>
        </w:tc>
        <w:tc>
          <w:tcPr>
            <w:tcW w:w="67" w:type="dxa"/>
            <w:tcBorders/>
            <w:shd w:fill="FFFFFF" w:val="clear"/>
            <w:tcMar>
              <w:bottom w:w="0" w:type="dxa"/>
            </w:tcMar>
            <w:vAlign w:val="center"/>
          </w:tcPr>
          <w:p>
            <w:pPr>
              <w:pStyle w:val="TableContents"/>
              <w:bidi w:val="0"/>
              <w:spacing w:before="0" w:after="283"/>
              <w:jc w:val="left"/>
            </w:pPr>
            <w:r>
              <w:t> </w:t>
            </w:r>
          </w:p>
        </w:tc>
      </w:tr>
      <w:tr>
        <w:tc>
          <w:tcPr>
            <w:tcW w:w="145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43"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0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4" w:type="dxa"/>
            <w:tcBorders/>
            <w:shd w:fill="CCEEFF" w:val="clear"/>
            <w:tcMar>
              <w:bottom w:w="0" w:type="dxa"/>
            </w:tcMar>
            <w:vAlign w:val="center"/>
          </w:tcPr>
          <w:p>
            <w:pPr>
              <w:pStyle w:val="TableContents"/>
              <w:bidi w:val="0"/>
              <w:spacing w:before="0" w:after="283"/>
              <w:ind w:left="0" w:right="0" w:hanging="0"/>
              <w:jc w:val="right"/>
              <w:rPr>
                <w:sz w:val="14"/>
              </w:rPr>
            </w:pPr>
            <w:r>
              <w:rPr>
                <w:sz w:val="14"/>
              </w:rPr>
              <w:t>11.13</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sz w:val="14"/>
              </w:rPr>
            </w:pPr>
            <w:r>
              <w:rPr>
                <w:sz w:val="14"/>
              </w:rPr>
              <w:t>3.75</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sz w:val="14"/>
              </w:rPr>
            </w:pPr>
            <w:r>
              <w:rPr>
                <w:sz w:val="14"/>
              </w:rPr>
              <w:t>11.00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3" w:type="dxa"/>
            <w:tcBorders/>
            <w:shd w:fill="CCEEFF" w:val="clear"/>
            <w:tcMar>
              <w:bottom w:w="0" w:type="dxa"/>
            </w:tcMar>
            <w:vAlign w:val="center"/>
          </w:tcPr>
          <w:p>
            <w:pPr>
              <w:pStyle w:val="TableContents"/>
              <w:bidi w:val="0"/>
              <w:spacing w:before="0" w:after="283"/>
              <w:ind w:left="0" w:right="0" w:hanging="0"/>
              <w:jc w:val="left"/>
            </w:pPr>
            <w:r>
              <w:t> </w:t>
            </w:r>
          </w:p>
        </w:tc>
        <w:tc>
          <w:tcPr>
            <w:tcW w:w="371" w:type="dxa"/>
            <w:tcBorders/>
            <w:shd w:fill="CCEEFF" w:val="clear"/>
            <w:tcMar>
              <w:bottom w:w="0" w:type="dxa"/>
            </w:tcMar>
            <w:vAlign w:val="center"/>
          </w:tcPr>
          <w:p>
            <w:pPr>
              <w:pStyle w:val="TableContents"/>
              <w:bidi w:val="0"/>
              <w:spacing w:before="0" w:after="283"/>
              <w:ind w:left="0" w:right="0" w:hanging="0"/>
              <w:jc w:val="right"/>
              <w:rPr>
                <w:sz w:val="14"/>
              </w:rPr>
            </w:pPr>
            <w:r>
              <w:rPr>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sz w:val="14"/>
              </w:rPr>
            </w:pPr>
            <w:r>
              <w:rPr>
                <w:sz w:val="14"/>
              </w:rPr>
              <w:t>%</w:t>
            </w:r>
          </w:p>
        </w:tc>
        <w:tc>
          <w:tcPr>
            <w:tcW w:w="6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sz w:val="14"/>
              </w:rPr>
            </w:pPr>
            <w:r>
              <w:rPr>
                <w:rFonts w:ascii="Times New Roman;Times;serif" w:hAnsi="Times New Roman;Times;serif"/>
                <w:b w:val="false"/>
                <w:sz w:val="14"/>
              </w:rPr>
              <w:t>February 1, 2030</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597" w:type="dxa"/>
            <w:tcBorders/>
            <w:shd w:fill="CCEEFF" w:val="clear"/>
            <w:tcMar>
              <w:bottom w:w="0" w:type="dxa"/>
            </w:tcMar>
            <w:vAlign w:val="center"/>
          </w:tcPr>
          <w:p>
            <w:pPr>
              <w:pStyle w:val="TableContents"/>
              <w:bidi w:val="0"/>
              <w:spacing w:before="0" w:after="283"/>
              <w:ind w:left="0" w:right="0" w:hanging="0"/>
              <w:jc w:val="right"/>
              <w:rPr>
                <w:sz w:val="14"/>
              </w:rPr>
            </w:pPr>
            <w:r>
              <w:rPr>
                <w:sz w:val="14"/>
              </w:rPr>
              <w:t>2,000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1" w:type="dxa"/>
            <w:tcBorders/>
            <w:shd w:fill="CCEEFF" w:val="clear"/>
            <w:tcMar>
              <w:bottom w:w="0" w:type="dxa"/>
            </w:tcMar>
            <w:vAlign w:val="center"/>
          </w:tcPr>
          <w:p>
            <w:pPr>
              <w:pStyle w:val="TableContents"/>
              <w:bidi w:val="0"/>
              <w:spacing w:before="0" w:after="283"/>
              <w:ind w:left="0" w:right="0" w:hanging="0"/>
              <w:jc w:val="left"/>
            </w:pPr>
            <w:r>
              <w:t> </w:t>
            </w:r>
          </w:p>
        </w:tc>
        <w:tc>
          <w:tcPr>
            <w:tcW w:w="767" w:type="dxa"/>
            <w:tcBorders/>
            <w:shd w:fill="CCEEFF" w:val="clear"/>
            <w:tcMar>
              <w:bottom w:w="0" w:type="dxa"/>
            </w:tcMar>
            <w:vAlign w:val="center"/>
          </w:tcPr>
          <w:p>
            <w:pPr>
              <w:pStyle w:val="TableContents"/>
              <w:bidi w:val="0"/>
              <w:spacing w:before="0" w:after="283"/>
              <w:ind w:left="0" w:right="0" w:hanging="0"/>
              <w:jc w:val="right"/>
              <w:rPr>
                <w:sz w:val="14"/>
              </w:rPr>
            </w:pPr>
            <w:r>
              <w:rPr>
                <w:sz w:val="14"/>
              </w:rPr>
              <w:t>1,975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432" w:type="dxa"/>
            <w:tcBorders/>
            <w:shd w:fill="CCEEFF" w:val="clear"/>
            <w:tcMar>
              <w:bottom w:w="0" w:type="dxa"/>
            </w:tcMar>
            <w:vAlign w:val="center"/>
          </w:tcPr>
          <w:p>
            <w:pPr>
              <w:pStyle w:val="TableContents"/>
              <w:bidi w:val="0"/>
              <w:spacing w:before="0" w:after="283"/>
              <w:ind w:left="0" w:right="0" w:hanging="0"/>
              <w:jc w:val="right"/>
              <w:rPr>
                <w:sz w:val="14"/>
              </w:rPr>
            </w:pPr>
            <w:r>
              <w:rPr>
                <w:sz w:val="14"/>
              </w:rPr>
              <w:t>1,975</w:t>
            </w:r>
          </w:p>
        </w:tc>
        <w:tc>
          <w:tcPr>
            <w:tcW w:w="67"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center"/>
      </w:pPr>
      <w:r>
        <w:t> </w:t>
      </w:r>
    </w:p>
    <w:p>
      <w:pPr>
        <w:pStyle w:val="TextBody"/>
        <w:bidi w:val="0"/>
        <w:spacing w:before="0" w:after="0"/>
        <w:jc w:val="cente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28" w:type="dxa"/>
          <w:right w:w="0" w:type="dxa"/>
        </w:tblCellMar>
      </w:tblPr>
      <w:tblGrid>
        <w:gridCol w:w="1419"/>
        <w:gridCol w:w="60"/>
        <w:gridCol w:w="545"/>
        <w:gridCol w:w="60"/>
        <w:gridCol w:w="893"/>
        <w:gridCol w:w="60"/>
        <w:gridCol w:w="78"/>
        <w:gridCol w:w="459"/>
        <w:gridCol w:w="364"/>
        <w:gridCol w:w="365"/>
        <w:gridCol w:w="60"/>
        <w:gridCol w:w="84"/>
        <w:gridCol w:w="386"/>
        <w:gridCol w:w="125"/>
        <w:gridCol w:w="60"/>
        <w:gridCol w:w="60"/>
        <w:gridCol w:w="350"/>
        <w:gridCol w:w="125"/>
        <w:gridCol w:w="60"/>
        <w:gridCol w:w="85"/>
        <w:gridCol w:w="370"/>
        <w:gridCol w:w="60"/>
        <w:gridCol w:w="60"/>
        <w:gridCol w:w="71"/>
        <w:gridCol w:w="329"/>
        <w:gridCol w:w="125"/>
        <w:gridCol w:w="752"/>
        <w:gridCol w:w="60"/>
        <w:gridCol w:w="90"/>
        <w:gridCol w:w="640"/>
        <w:gridCol w:w="60"/>
        <w:gridCol w:w="60"/>
        <w:gridCol w:w="106"/>
        <w:gridCol w:w="889"/>
        <w:gridCol w:w="60"/>
        <w:gridCol w:w="60"/>
        <w:gridCol w:w="69"/>
        <w:gridCol w:w="580"/>
        <w:gridCol w:w="66"/>
      </w:tblGrid>
      <w:tr>
        <w:tc>
          <w:tcPr>
            <w:tcW w:w="1419"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54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Sector</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Type of Investment (7)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3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Cash Rate (4)</w:t>
            </w:r>
          </w:p>
        </w:tc>
        <w:tc>
          <w:tcPr>
            <w:tcW w:w="364" w:type="dxa"/>
            <w:tcBorders/>
            <w:shd w:fill="FFFFFF" w:val="clear"/>
            <w:tcMar>
              <w:bottom w:w="0" w:type="dxa"/>
            </w:tcMar>
            <w:vAlign w:val="center"/>
          </w:tcPr>
          <w:p>
            <w:pPr>
              <w:pStyle w:val="TableContents"/>
              <w:bidi w:val="0"/>
              <w:spacing w:before="0" w:after="283"/>
              <w:ind w:left="0" w:right="0" w:hanging="0"/>
              <w:jc w:val="left"/>
            </w:pPr>
            <w:r>
              <w:t> </w:t>
            </w:r>
          </w:p>
        </w:tc>
        <w:tc>
          <w:tcPr>
            <w:tcW w:w="36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Index</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Margin</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Floor</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Ceiling</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ETP (10)</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5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Maturity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3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Principal Amount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Cost of Investments (6)(9)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Fair Value (9)</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Kodiak Robotics,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14,599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14,599</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7,300</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January 1, 2030</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7,300</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MasteryPrep, LLC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4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11.50</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2029</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7,383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7,383</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11.50</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2029</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7,433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7,433</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Mirantis,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4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2028</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4,583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4,541</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2028</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4,583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4,541</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2028</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4,583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4,541</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2028</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4,583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4,541</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Samba TV,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4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2030</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10,014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9,792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9,792</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2030</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7,510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7,400</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2030</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4,934</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10.25</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 (11)</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1, 2030</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2,467</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Supply Network Visibility Holdings LLC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45"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2028</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2,435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2,280</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2028</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3,495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3,273</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2028</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2,496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2,338</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2028</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1,498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1,403</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2029</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4,988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4,671</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Ursa Space Systems,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2,460</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2,460</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2,445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2,445</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2,445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2,445</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Viken Detection Corporation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545"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2027</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2,833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2,814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2,814</w:t>
            </w:r>
          </w:p>
        </w:tc>
        <w:tc>
          <w:tcPr>
            <w:tcW w:w="66" w:type="dxa"/>
            <w:tcBorders/>
            <w:shd w:fill="CCEEFF" w:val="clear"/>
            <w:tcMar>
              <w:bottom w:w="0" w:type="dxa"/>
            </w:tcMar>
            <w:vAlign w:val="center"/>
          </w:tcPr>
          <w:p>
            <w:pPr>
              <w:pStyle w:val="TableContents"/>
              <w:bidi w:val="0"/>
              <w:spacing w:before="0" w:after="283"/>
              <w:jc w:val="left"/>
            </w:pPr>
            <w:r>
              <w:t> </w:t>
            </w:r>
          </w:p>
        </w:tc>
      </w:tr>
      <w:tr>
        <w:tc>
          <w:tcPr>
            <w:tcW w:w="14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545"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89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ind w:left="0" w:right="0" w:hanging="0"/>
              <w:jc w:val="left"/>
            </w:pPr>
            <w:r>
              <w:t> </w:t>
            </w:r>
          </w:p>
        </w:tc>
        <w:tc>
          <w:tcPr>
            <w:tcW w:w="4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ind w:left="0" w:right="0" w:hanging="0"/>
              <w:jc w:val="left"/>
            </w:pPr>
            <w:r>
              <w:t> </w:t>
            </w:r>
          </w:p>
        </w:tc>
        <w:tc>
          <w:tcPr>
            <w:tcW w:w="3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2027</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ind w:left="0" w:right="0" w:hanging="0"/>
              <w:jc w:val="left"/>
            </w:pPr>
            <w:r>
              <w:t> </w:t>
            </w:r>
          </w:p>
        </w:tc>
        <w:tc>
          <w:tcPr>
            <w:tcW w:w="6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shd w:fill="FFFFFF" w:val="clear"/>
            <w:tcMar>
              <w:bottom w:w="0" w:type="dxa"/>
            </w:tcMar>
            <w:vAlign w:val="center"/>
          </w:tcPr>
          <w:p>
            <w:pPr>
              <w:pStyle w:val="TableContents"/>
              <w:bidi w:val="0"/>
              <w:spacing w:before="0" w:after="283"/>
              <w:ind w:left="0" w:right="0" w:hanging="0"/>
              <w:jc w:val="left"/>
            </w:pPr>
            <w:r>
              <w:t> </w:t>
            </w:r>
          </w:p>
        </w:tc>
        <w:tc>
          <w:tcPr>
            <w:tcW w:w="8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shd w:fill="FFFFFF" w:val="clear"/>
            <w:tcMar>
              <w:bottom w:w="0" w:type="dxa"/>
            </w:tcMar>
            <w:vAlign w:val="center"/>
          </w:tcPr>
          <w:p>
            <w:pPr>
              <w:pStyle w:val="TableContents"/>
              <w:bidi w:val="0"/>
              <w:spacing w:before="0" w:after="283"/>
              <w:ind w:left="0" w:right="0" w:hanging="0"/>
              <w:jc w:val="left"/>
            </w:pPr>
            <w:r>
              <w:t> </w:t>
            </w:r>
          </w:p>
        </w:tc>
        <w:tc>
          <w:tcPr>
            <w:tcW w:w="5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1,407</w:t>
            </w:r>
          </w:p>
        </w:tc>
        <w:tc>
          <w:tcPr>
            <w:tcW w:w="66" w:type="dxa"/>
            <w:tcBorders/>
            <w:shd w:fill="FFFFFF" w:val="clear"/>
            <w:tcMar>
              <w:bottom w:w="0" w:type="dxa"/>
            </w:tcMar>
            <w:vAlign w:val="center"/>
          </w:tcPr>
          <w:p>
            <w:pPr>
              <w:pStyle w:val="TableContents"/>
              <w:bidi w:val="0"/>
              <w:spacing w:before="0" w:after="283"/>
              <w:jc w:val="left"/>
            </w:pPr>
            <w:r>
              <w:t> </w:t>
            </w:r>
          </w:p>
        </w:tc>
      </w:tr>
      <w:tr>
        <w:tc>
          <w:tcPr>
            <w:tcW w:w="14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545"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893"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8" w:type="dxa"/>
            <w:tcBorders/>
            <w:shd w:fill="CCEEFF" w:val="clear"/>
            <w:tcMar>
              <w:bottom w:w="0" w:type="dxa"/>
            </w:tcMar>
            <w:vAlign w:val="center"/>
          </w:tcPr>
          <w:p>
            <w:pPr>
              <w:pStyle w:val="TableContents"/>
              <w:bidi w:val="0"/>
              <w:spacing w:before="0" w:after="283"/>
              <w:ind w:left="0" w:right="0" w:hanging="0"/>
              <w:jc w:val="left"/>
            </w:pPr>
            <w: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1" w:type="dxa"/>
            <w:tcBorders/>
            <w:shd w:fill="CCEEFF" w:val="clear"/>
            <w:tcMar>
              <w:bottom w:w="0" w:type="dxa"/>
            </w:tcMar>
            <w:vAlign w:val="center"/>
          </w:tcPr>
          <w:p>
            <w:pPr>
              <w:pStyle w:val="TableContents"/>
              <w:bidi w:val="0"/>
              <w:spacing w:before="0" w:after="283"/>
              <w:ind w:left="0" w:right="0" w:hanging="0"/>
              <w:jc w:val="left"/>
            </w:pPr>
            <w:r>
              <w:t> </w:t>
            </w:r>
          </w:p>
        </w:tc>
        <w:tc>
          <w:tcPr>
            <w:tcW w:w="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1, 2027</w:t>
            </w:r>
          </w:p>
        </w:tc>
        <w:tc>
          <w:tcPr>
            <w:tcW w:w="60" w:type="dxa"/>
            <w:tcBorders/>
            <w:shd w:fill="CCEEFF" w:val="clear"/>
            <w:tcMar>
              <w:bottom w:w="0" w:type="dxa"/>
            </w:tcMar>
            <w:vAlign w:val="center"/>
          </w:tcPr>
          <w:p>
            <w:pPr>
              <w:pStyle w:val="TableContents"/>
              <w:bidi w:val="0"/>
              <w:spacing w:before="0" w:after="283"/>
              <w:jc w:val="left"/>
            </w:pPr>
            <w:r>
              <w:t> </w:t>
            </w:r>
          </w:p>
        </w:tc>
        <w:tc>
          <w:tcPr>
            <w:tcW w:w="90" w:type="dxa"/>
            <w:tcBorders/>
            <w:shd w:fill="CCEEFF" w:val="clear"/>
            <w:tcMar>
              <w:bottom w:w="0" w:type="dxa"/>
            </w:tcMar>
            <w:vAlign w:val="center"/>
          </w:tcPr>
          <w:p>
            <w:pPr>
              <w:pStyle w:val="TableContents"/>
              <w:bidi w:val="0"/>
              <w:spacing w:before="0" w:after="283"/>
              <w:ind w:left="0" w:right="0" w:hanging="0"/>
              <w:jc w:val="left"/>
            </w:pPr>
            <w:r>
              <w:t> </w:t>
            </w:r>
          </w:p>
        </w:tc>
        <w:tc>
          <w:tcPr>
            <w:tcW w:w="6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6" w:type="dxa"/>
            <w:tcBorders/>
            <w:shd w:fill="CCEEFF" w:val="clear"/>
            <w:tcMar>
              <w:bottom w:w="0" w:type="dxa"/>
            </w:tcMar>
            <w:vAlign w:val="center"/>
          </w:tcPr>
          <w:p>
            <w:pPr>
              <w:pStyle w:val="TableContents"/>
              <w:bidi w:val="0"/>
              <w:spacing w:before="0" w:after="283"/>
              <w:ind w:left="0" w:right="0" w:hanging="0"/>
              <w:jc w:val="left"/>
            </w:pPr>
            <w:r>
              <w:t> </w:t>
            </w:r>
          </w:p>
        </w:tc>
        <w:tc>
          <w:tcPr>
            <w:tcW w:w="8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9" w:type="dxa"/>
            <w:tcBorders/>
            <w:shd w:fill="CCEEFF" w:val="clear"/>
            <w:tcMar>
              <w:bottom w:w="0" w:type="dxa"/>
            </w:tcMar>
            <w:vAlign w:val="center"/>
          </w:tcPr>
          <w:p>
            <w:pPr>
              <w:pStyle w:val="TableContents"/>
              <w:bidi w:val="0"/>
              <w:spacing w:before="0" w:after="283"/>
              <w:ind w:left="0" w:right="0" w:hanging="0"/>
              <w:jc w:val="left"/>
            </w:pPr>
            <w:r>
              <w:t> </w:t>
            </w:r>
          </w:p>
        </w:tc>
        <w:tc>
          <w:tcPr>
            <w:tcW w:w="5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1,407</w:t>
            </w:r>
          </w:p>
        </w:tc>
        <w:tc>
          <w:tcPr>
            <w:tcW w:w="66" w:type="dxa"/>
            <w:tcBorders/>
            <w:shd w:fill="CCEEFF" w:val="clear"/>
            <w:tcMar>
              <w:bottom w:w="0" w:type="dxa"/>
            </w:tcMar>
            <w:vAlign w:val="center"/>
          </w:tcPr>
          <w:p>
            <w:pPr>
              <w:pStyle w:val="TableContents"/>
              <w:bidi w:val="0"/>
              <w:spacing w:before="0" w:after="283"/>
              <w:jc w:val="left"/>
            </w:pPr>
            <w:r>
              <w:t> </w:t>
            </w:r>
          </w:p>
        </w:tc>
      </w:tr>
      <w:tr>
        <w:tc>
          <w:tcPr>
            <w:tcW w:w="2977" w:type="dxa"/>
            <w:gridSpan w:val="5"/>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Non-Affiliate Debt Investments — Technology</w:t>
            </w:r>
          </w:p>
        </w:tc>
        <w:tc>
          <w:tcPr>
            <w:tcW w:w="60" w:type="dxa"/>
            <w:tcBorders/>
            <w:shd w:fill="FFFFFF" w:val="clear"/>
            <w:tcMar>
              <w:bottom w:w="0" w:type="dxa"/>
            </w:tcMar>
            <w:vAlign w:val="center"/>
          </w:tcPr>
          <w:p>
            <w:pPr>
              <w:pStyle w:val="TableContents"/>
              <w:bidi w:val="0"/>
              <w:spacing w:before="0" w:after="283"/>
              <w:jc w:val="left"/>
            </w:pPr>
            <w:r>
              <w:t> </w:t>
            </w:r>
          </w:p>
        </w:tc>
        <w:tc>
          <w:tcPr>
            <w:tcW w:w="78" w:type="dxa"/>
            <w:tcBorders/>
            <w:shd w:fill="FFFFFF" w:val="clear"/>
            <w:tcMar>
              <w:bottom w:w="0" w:type="dxa"/>
            </w:tcMar>
            <w:vAlign w:val="center"/>
          </w:tcPr>
          <w:p>
            <w:pPr>
              <w:pStyle w:val="TableContents"/>
              <w:bidi w:val="0"/>
              <w:spacing w:before="0" w:after="283"/>
              <w:jc w:val="left"/>
            </w:pPr>
            <w:r>
              <w:t> </w:t>
            </w:r>
          </w:p>
        </w:tc>
        <w:tc>
          <w:tcPr>
            <w:tcW w:w="459" w:type="dxa"/>
            <w:tcBorders/>
            <w:shd w:fill="FFFFFF" w:val="clear"/>
            <w:tcMar>
              <w:bottom w:w="0" w:type="dxa"/>
            </w:tcMar>
            <w:vAlign w:val="center"/>
          </w:tcPr>
          <w:p>
            <w:pPr>
              <w:pStyle w:val="TableContents"/>
              <w:bidi w:val="0"/>
              <w:spacing w:before="0" w:after="283"/>
              <w:jc w:val="right"/>
            </w:pPr>
            <w:r>
              <w:rPr>
                <w:rStyle w:val="Emphasis"/>
              </w:rPr>
              <w:t> </w:t>
            </w:r>
          </w:p>
        </w:tc>
        <w:tc>
          <w:tcPr>
            <w:tcW w:w="364" w:type="dxa"/>
            <w:tcBorders/>
            <w:shd w:fill="FFFFFF" w:val="clear"/>
            <w:tcMar>
              <w:bottom w:w="0" w:type="dxa"/>
            </w:tcMar>
            <w:vAlign w:val="center"/>
          </w:tcPr>
          <w:p>
            <w:pPr>
              <w:pStyle w:val="TableContents"/>
              <w:bidi w:val="0"/>
              <w:spacing w:before="0" w:after="283"/>
              <w:jc w:val="left"/>
            </w:pPr>
            <w:r>
              <w:t> </w:t>
            </w:r>
          </w:p>
        </w:tc>
        <w:tc>
          <w:tcPr>
            <w:tcW w:w="3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1" w:type="dxa"/>
            <w:tcBorders/>
            <w:shd w:fill="FFFFFF" w:val="clear"/>
            <w:tcMar>
              <w:bottom w:w="0" w:type="dxa"/>
            </w:tcMar>
            <w:vAlign w:val="center"/>
          </w:tcPr>
          <w:p>
            <w:pPr>
              <w:pStyle w:val="TableContents"/>
              <w:bidi w:val="0"/>
              <w:spacing w:before="0" w:after="283"/>
              <w:jc w:val="left"/>
            </w:pPr>
            <w:r>
              <w:t> </w:t>
            </w:r>
          </w:p>
        </w:tc>
        <w:tc>
          <w:tcPr>
            <w:tcW w:w="329"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752"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90" w:type="dxa"/>
            <w:tcBorders/>
            <w:shd w:fill="FFFFFF" w:val="clear"/>
            <w:tcMar>
              <w:bottom w:w="0" w:type="dxa"/>
            </w:tcMar>
            <w:vAlign w:val="center"/>
          </w:tcPr>
          <w:p>
            <w:pPr>
              <w:pStyle w:val="TableContents"/>
              <w:bidi w:val="0"/>
              <w:spacing w:before="0" w:after="283"/>
              <w:jc w:val="left"/>
            </w:pPr>
            <w:r>
              <w:t> </w:t>
            </w:r>
          </w:p>
        </w:tc>
        <w:tc>
          <w:tcPr>
            <w:tcW w:w="640"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6" w:type="dxa"/>
            <w:tcBorders>
              <w:top w:val="single" w:sz="2" w:space="0" w:color="000000"/>
              <w:bottom w:val="single" w:sz="2" w:space="0" w:color="000000"/>
            </w:tcBorders>
            <w:shd w:fill="FFFFFF" w:val="clear"/>
            <w:tcMar>
              <w:top w:w="28" w:type="dxa"/>
            </w:tcMar>
            <w:vAlign w:val="center"/>
          </w:tcPr>
          <w:p>
            <w:pPr>
              <w:pStyle w:val="TableContents"/>
              <w:bidi w:val="0"/>
              <w:spacing w:before="0" w:after="283"/>
              <w:ind w:left="0" w:right="0" w:hanging="0"/>
              <w:jc w:val="left"/>
            </w:pPr>
            <w:r>
              <w:t> </w:t>
            </w:r>
          </w:p>
        </w:tc>
        <w:tc>
          <w:tcPr>
            <w:tcW w:w="889" w:type="dxa"/>
            <w:tcBorders>
              <w:top w:val="single" w:sz="2" w:space="0" w:color="000000"/>
              <w:bottom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205,442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9" w:type="dxa"/>
            <w:tcBorders>
              <w:top w:val="single" w:sz="2" w:space="0" w:color="000000"/>
              <w:bottom w:val="single" w:sz="2" w:space="0" w:color="000000"/>
            </w:tcBorders>
            <w:shd w:fill="FFFFFF" w:val="clear"/>
            <w:tcMar>
              <w:top w:w="28" w:type="dxa"/>
            </w:tcMar>
            <w:vAlign w:val="center"/>
          </w:tcPr>
          <w:p>
            <w:pPr>
              <w:pStyle w:val="TableContents"/>
              <w:bidi w:val="0"/>
              <w:spacing w:before="0" w:after="283"/>
              <w:ind w:left="0" w:right="0" w:hanging="0"/>
              <w:jc w:val="left"/>
            </w:pPr>
            <w:r>
              <w:t> </w:t>
            </w:r>
          </w:p>
        </w:tc>
        <w:tc>
          <w:tcPr>
            <w:tcW w:w="580" w:type="dxa"/>
            <w:tcBorders>
              <w:top w:val="single" w:sz="2" w:space="0" w:color="000000"/>
              <w:bottom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201,718</w:t>
            </w:r>
          </w:p>
        </w:tc>
        <w:tc>
          <w:tcPr>
            <w:tcW w:w="66"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32"/>
        <w:gridCol w:w="60"/>
        <w:gridCol w:w="847"/>
        <w:gridCol w:w="60"/>
        <w:gridCol w:w="821"/>
        <w:gridCol w:w="60"/>
        <w:gridCol w:w="72"/>
        <w:gridCol w:w="422"/>
        <w:gridCol w:w="125"/>
        <w:gridCol w:w="365"/>
        <w:gridCol w:w="60"/>
        <w:gridCol w:w="84"/>
        <w:gridCol w:w="386"/>
        <w:gridCol w:w="125"/>
        <w:gridCol w:w="60"/>
        <w:gridCol w:w="60"/>
        <w:gridCol w:w="350"/>
        <w:gridCol w:w="125"/>
        <w:gridCol w:w="60"/>
        <w:gridCol w:w="85"/>
        <w:gridCol w:w="370"/>
        <w:gridCol w:w="60"/>
        <w:gridCol w:w="60"/>
        <w:gridCol w:w="67"/>
        <w:gridCol w:w="311"/>
        <w:gridCol w:w="125"/>
        <w:gridCol w:w="638"/>
        <w:gridCol w:w="60"/>
        <w:gridCol w:w="83"/>
        <w:gridCol w:w="594"/>
        <w:gridCol w:w="60"/>
        <w:gridCol w:w="60"/>
        <w:gridCol w:w="145"/>
        <w:gridCol w:w="764"/>
        <w:gridCol w:w="60"/>
        <w:gridCol w:w="60"/>
        <w:gridCol w:w="103"/>
        <w:gridCol w:w="544"/>
        <w:gridCol w:w="82"/>
      </w:tblGrid>
      <w:tr>
        <w:tc>
          <w:tcPr>
            <w:tcW w:w="173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tcMar>
              <w:bottom w:w="0" w:type="dxa"/>
            </w:tcMar>
            <w:vAlign w:val="center"/>
          </w:tcPr>
          <w:p>
            <w:pPr>
              <w:pStyle w:val="TableContents"/>
              <w:bidi w:val="0"/>
              <w:spacing w:before="0" w:after="283"/>
              <w:ind w:left="0" w:right="0" w:hanging="0"/>
              <w:jc w:val="center"/>
            </w:pPr>
            <w:r>
              <w:t> </w:t>
            </w:r>
          </w:p>
        </w:tc>
        <w:tc>
          <w:tcPr>
            <w:tcW w:w="84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Sector</w:t>
            </w:r>
          </w:p>
        </w:tc>
        <w:tc>
          <w:tcPr>
            <w:tcW w:w="60" w:type="dxa"/>
            <w:tcBorders/>
            <w:tcMar>
              <w:bottom w:w="0" w:type="dxa"/>
            </w:tcMar>
            <w:vAlign w:val="center"/>
          </w:tcPr>
          <w:p>
            <w:pPr>
              <w:pStyle w:val="TableContents"/>
              <w:bidi w:val="0"/>
              <w:spacing w:before="0" w:after="283"/>
              <w:ind w:left="0" w:right="0" w:hanging="0"/>
              <w:jc w:val="center"/>
            </w:pPr>
            <w:r>
              <w:t> </w:t>
            </w:r>
          </w:p>
        </w:tc>
        <w:tc>
          <w:tcPr>
            <w:tcW w:w="8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Type of Investment (7)</w:t>
            </w:r>
          </w:p>
        </w:tc>
        <w:tc>
          <w:tcPr>
            <w:tcW w:w="60" w:type="dxa"/>
            <w:tcBorders/>
            <w:tcMar>
              <w:bottom w:w="0" w:type="dxa"/>
            </w:tcMar>
            <w:vAlign w:val="center"/>
          </w:tcPr>
          <w:p>
            <w:pPr>
              <w:pStyle w:val="TableContents"/>
              <w:bidi w:val="0"/>
              <w:spacing w:before="0" w:after="283"/>
              <w:ind w:left="0" w:right="0" w:hanging="0"/>
              <w:jc w:val="left"/>
            </w:pPr>
            <w:r>
              <w:t> </w:t>
            </w:r>
          </w:p>
        </w:tc>
        <w:tc>
          <w:tcPr>
            <w:tcW w:w="4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Cash Rate (4)</w:t>
            </w:r>
          </w:p>
        </w:tc>
        <w:tc>
          <w:tcPr>
            <w:tcW w:w="125" w:type="dxa"/>
            <w:tcBorders/>
            <w:tcMar>
              <w:bottom w:w="0" w:type="dxa"/>
            </w:tcMar>
            <w:vAlign w:val="center"/>
          </w:tcPr>
          <w:p>
            <w:pPr>
              <w:pStyle w:val="TableContents"/>
              <w:bidi w:val="0"/>
              <w:spacing w:before="0" w:after="283"/>
              <w:ind w:left="0" w:right="0" w:hanging="0"/>
              <w:jc w:val="left"/>
            </w:pPr>
            <w:r>
              <w:t> </w:t>
            </w:r>
          </w:p>
        </w:tc>
        <w:tc>
          <w:tcPr>
            <w:tcW w:w="3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Index</w:t>
            </w:r>
          </w:p>
        </w:tc>
        <w:tc>
          <w:tcPr>
            <w:tcW w:w="60" w:type="dxa"/>
            <w:tcBorders/>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Margin</w:t>
            </w:r>
          </w:p>
        </w:tc>
        <w:tc>
          <w:tcPr>
            <w:tcW w:w="12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Floor</w:t>
            </w:r>
          </w:p>
        </w:tc>
        <w:tc>
          <w:tcPr>
            <w:tcW w:w="12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Ceiling</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378"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ETP (10)</w:t>
            </w:r>
          </w:p>
        </w:tc>
        <w:tc>
          <w:tcPr>
            <w:tcW w:w="125" w:type="dxa"/>
            <w:tcBorders/>
            <w:tcMar>
              <w:bottom w:w="0" w:type="dxa"/>
            </w:tcMar>
            <w:vAlign w:val="center"/>
          </w:tcPr>
          <w:p>
            <w:pPr>
              <w:pStyle w:val="TableContents"/>
              <w:bidi w:val="0"/>
              <w:spacing w:before="0" w:after="283"/>
              <w:ind w:left="0" w:right="0" w:hanging="0"/>
              <w:jc w:val="left"/>
            </w:pPr>
            <w:r>
              <w:t> </w:t>
            </w:r>
          </w:p>
        </w:tc>
        <w:tc>
          <w:tcPr>
            <w:tcW w:w="63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Maturity Date</w:t>
            </w:r>
          </w:p>
        </w:tc>
        <w:tc>
          <w:tcPr>
            <w:tcW w:w="60" w:type="dxa"/>
            <w:tcBorders/>
            <w:tcMar>
              <w:bottom w:w="0" w:type="dxa"/>
            </w:tcMar>
            <w:vAlign w:val="center"/>
          </w:tcPr>
          <w:p>
            <w:pPr>
              <w:pStyle w:val="TableContents"/>
              <w:bidi w:val="0"/>
              <w:spacing w:before="0" w:after="283"/>
              <w:ind w:left="0" w:right="0" w:hanging="0"/>
              <w:jc w:val="left"/>
            </w:pPr>
            <w:r>
              <w:t> </w:t>
            </w:r>
          </w:p>
        </w:tc>
        <w:tc>
          <w:tcPr>
            <w:tcW w:w="67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Principal Amount</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9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Cost of Investments (6)(9)</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64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Fair Value (9)</w:t>
            </w:r>
          </w:p>
        </w:tc>
        <w:tc>
          <w:tcPr>
            <w:tcW w:w="82" w:type="dxa"/>
            <w:tcBorders/>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b/>
                <w:caps w:val="false"/>
                <w:smallCaps w:val="false"/>
                <w:sz w:val="14"/>
              </w:rPr>
              <w:t xml:space="preserve">Non-Affiliate Debt Investments </w:t>
            </w:r>
            <w:r>
              <w:rPr>
                <w:rFonts w:ascii="Times New Roman;Times;serif" w:hAnsi="Times New Roman;Times;serif"/>
                <w:caps w:val="false"/>
                <w:smallCaps w:val="false"/>
                <w:sz w:val="14"/>
              </w:rPr>
              <w:t xml:space="preserve">— </w:t>
            </w:r>
            <w:r>
              <w:rPr>
                <w:rFonts w:ascii="Times New Roman;Times;serif" w:hAnsi="Times New Roman;Times;serif"/>
                <w:b/>
                <w:caps w:val="false"/>
                <w:smallCaps w:val="false"/>
                <w:sz w:val="14"/>
              </w:rPr>
              <w:t xml:space="preserve">Healthcare information and services </w:t>
            </w:r>
            <w:r>
              <w:rPr>
                <w:rFonts w:ascii="Times New Roman;Times;serif" w:hAnsi="Times New Roman;Times;serif"/>
                <w:caps w:val="false"/>
                <w:smallCaps w:val="false"/>
                <w:sz w:val="14"/>
              </w:rPr>
              <w:t xml:space="preserve">— </w:t>
            </w:r>
            <w:r>
              <w:rPr>
                <w:rFonts w:ascii="Times New Roman;Times;serif" w:hAnsi="Times New Roman;Times;serif"/>
                <w:b/>
                <w:caps w:val="false"/>
                <w:smallCaps w:val="false"/>
                <w:sz w:val="14"/>
              </w:rPr>
              <w:t>25.4% (8)</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2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jc w:val="left"/>
            </w:pPr>
            <w:r>
              <w:t> </w:t>
            </w:r>
          </w:p>
        </w:tc>
        <w:tc>
          <w:tcPr>
            <w:tcW w:w="422"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36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38"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jc w:val="left"/>
            </w:pPr>
            <w:r>
              <w:t> </w:t>
            </w:r>
          </w:p>
        </w:tc>
        <w:tc>
          <w:tcPr>
            <w:tcW w:w="59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jc w:val="left"/>
            </w:pPr>
            <w:r>
              <w:t> </w:t>
            </w:r>
          </w:p>
        </w:tc>
        <w:tc>
          <w:tcPr>
            <w:tcW w:w="76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jc w:val="left"/>
            </w:pPr>
            <w:r>
              <w:t> </w:t>
            </w:r>
          </w:p>
        </w:tc>
        <w:tc>
          <w:tcPr>
            <w:tcW w:w="544" w:type="dxa"/>
            <w:tcBorders/>
            <w:shd w:fill="CCEEFF" w:val="clear"/>
            <w:tcMar>
              <w:bottom w:w="0" w:type="dxa"/>
            </w:tcMar>
            <w:vAlign w:val="center"/>
          </w:tcPr>
          <w:p>
            <w:pPr>
              <w:pStyle w:val="TableContents"/>
              <w:bidi w:val="0"/>
              <w:spacing w:before="0" w:after="283"/>
              <w:jc w:val="left"/>
            </w:pPr>
            <w:r>
              <w:t> </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BrightInsight,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7"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2,905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5,105</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6,417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6,398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5,939</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3,208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3,199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2,969</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3,208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3,199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2,969</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2,731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2,535</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2027</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1,277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2,089</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Elligo Health Research,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7"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2027</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9,936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9,936</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2027</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4,968</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2027</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4,968</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2027</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4,968</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GT Medical Technologies, Inc. (2)(12)</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47"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Healthcare Services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2029</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3,604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3,604</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2029</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3,705</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October 1, 2029</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7,409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7,409</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Hometeam Technologies, Inc. (2)(12)(13)</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4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Healthcare Services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3,967</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3,967</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4,682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3,883</w:t>
            </w:r>
          </w:p>
        </w:tc>
        <w:tc>
          <w:tcPr>
            <w:tcW w:w="82" w:type="dxa"/>
            <w:tcBorders/>
            <w:shd w:fill="CCEEFF" w:val="clear"/>
            <w:tcMar>
              <w:bottom w:w="0" w:type="dxa"/>
            </w:tcMar>
            <w:vAlign w:val="center"/>
          </w:tcPr>
          <w:p>
            <w:pPr>
              <w:pStyle w:val="TableContents"/>
              <w:bidi w:val="0"/>
              <w:spacing w:before="0" w:after="283"/>
              <w:jc w:val="left"/>
            </w:pPr>
            <w:r>
              <w:t> </w:t>
            </w:r>
          </w:p>
        </w:tc>
      </w:tr>
      <w:tr>
        <w:tc>
          <w:tcPr>
            <w:tcW w:w="173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2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ind w:left="0" w:right="0" w:hanging="0"/>
              <w:jc w:val="left"/>
            </w:pPr>
            <w:r>
              <w:t> </w:t>
            </w:r>
          </w:p>
        </w:tc>
        <w:tc>
          <w:tcPr>
            <w:tcW w:w="4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ind w:left="0" w:right="0" w:hanging="0"/>
              <w:jc w:val="left"/>
            </w:pPr>
            <w:r>
              <w:t> </w:t>
            </w:r>
          </w:p>
        </w:tc>
        <w:tc>
          <w:tcPr>
            <w:tcW w:w="5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7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c>
          <w:tcPr>
            <w:tcW w:w="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3,967</w:t>
            </w:r>
          </w:p>
        </w:tc>
        <w:tc>
          <w:tcPr>
            <w:tcW w:w="82" w:type="dxa"/>
            <w:tcBorders/>
            <w:shd w:fill="FFFFFF" w:val="clear"/>
            <w:tcMar>
              <w:bottom w:w="0" w:type="dxa"/>
            </w:tcMar>
            <w:vAlign w:val="center"/>
          </w:tcPr>
          <w:p>
            <w:pPr>
              <w:pStyle w:val="TableContents"/>
              <w:bidi w:val="0"/>
              <w:spacing w:before="0" w:after="283"/>
              <w:jc w:val="left"/>
            </w:pPr>
            <w:r>
              <w:t> </w:t>
            </w:r>
          </w:p>
        </w:tc>
      </w:tr>
      <w:tr>
        <w:tc>
          <w:tcPr>
            <w:tcW w:w="173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821"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ind w:left="0" w:right="0" w:hanging="0"/>
              <w:jc w:val="left"/>
            </w:pPr>
            <w: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3.50</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August 1, 2029</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ind w:left="0" w:right="0" w:hanging="0"/>
              <w:jc w:val="left"/>
            </w:pPr>
            <w:r>
              <w:t> </w:t>
            </w:r>
          </w:p>
        </w:tc>
        <w:tc>
          <w:tcPr>
            <w:tcW w:w="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7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4,781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3" w:type="dxa"/>
            <w:tcBorders/>
            <w:shd w:fill="CCEEFF" w:val="clear"/>
            <w:tcMar>
              <w:bottom w:w="0" w:type="dxa"/>
            </w:tcMar>
            <w:vAlign w:val="center"/>
          </w:tcPr>
          <w:p>
            <w:pPr>
              <w:pStyle w:val="TableContents"/>
              <w:bidi w:val="0"/>
              <w:spacing w:before="0" w:after="283"/>
              <w:ind w:left="0" w:right="0" w:hanging="0"/>
              <w:jc w:val="left"/>
            </w:pPr>
            <w:r>
              <w:t> </w:t>
            </w:r>
          </w:p>
        </w:tc>
        <w:tc>
          <w:tcPr>
            <w:tcW w:w="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3,967</w:t>
            </w:r>
          </w:p>
        </w:tc>
        <w:tc>
          <w:tcPr>
            <w:tcW w:w="82" w:type="dxa"/>
            <w:tcBorders/>
            <w:shd w:fill="CCEEFF" w:val="clear"/>
            <w:tcMar>
              <w:bottom w:w="0" w:type="dxa"/>
            </w:tcMar>
            <w:vAlign w:val="center"/>
          </w:tcPr>
          <w:p>
            <w:pPr>
              <w:pStyle w:val="TableContents"/>
              <w:bidi w:val="0"/>
              <w:spacing w:before="0" w:after="283"/>
              <w:jc w:val="left"/>
            </w:pPr>
            <w:r>
              <w:t> </w:t>
            </w:r>
          </w:p>
        </w:tc>
      </w:tr>
      <w:tr>
        <w:tc>
          <w:tcPr>
            <w:tcW w:w="3520" w:type="dxa"/>
            <w:gridSpan w:val="5"/>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Non-Affiliate Debt Investments — Healthcare information and services</w:t>
            </w:r>
          </w:p>
        </w:tc>
        <w:tc>
          <w:tcPr>
            <w:tcW w:w="60" w:type="dxa"/>
            <w:tcBorders/>
            <w:shd w:fill="FFFFFF" w:val="clear"/>
            <w:tcMar>
              <w:bottom w:w="0" w:type="dxa"/>
            </w:tcMar>
            <w:vAlign w:val="center"/>
          </w:tcPr>
          <w:p>
            <w:pPr>
              <w:pStyle w:val="TableContents"/>
              <w:bidi w:val="0"/>
              <w:spacing w:before="0" w:after="283"/>
              <w:jc w:val="left"/>
            </w:pPr>
            <w:r>
              <w:t> </w:t>
            </w:r>
          </w:p>
        </w:tc>
        <w:tc>
          <w:tcPr>
            <w:tcW w:w="72" w:type="dxa"/>
            <w:tcBorders/>
            <w:shd w:fill="FFFFFF" w:val="clear"/>
            <w:tcMar>
              <w:bottom w:w="0" w:type="dxa"/>
            </w:tcMar>
            <w:vAlign w:val="center"/>
          </w:tcPr>
          <w:p>
            <w:pPr>
              <w:pStyle w:val="TableContents"/>
              <w:bidi w:val="0"/>
              <w:spacing w:before="0" w:after="283"/>
              <w:jc w:val="left"/>
            </w:pPr>
            <w:r>
              <w:t> </w:t>
            </w:r>
          </w:p>
        </w:tc>
        <w:tc>
          <w:tcPr>
            <w:tcW w:w="422"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3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7"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38"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3" w:type="dxa"/>
            <w:tcBorders/>
            <w:shd w:fill="FFFFFF" w:val="clear"/>
            <w:tcMar>
              <w:bottom w:w="0" w:type="dxa"/>
            </w:tcMar>
            <w:vAlign w:val="center"/>
          </w:tcPr>
          <w:p>
            <w:pPr>
              <w:pStyle w:val="TableContents"/>
              <w:bidi w:val="0"/>
              <w:spacing w:before="0" w:after="283"/>
              <w:jc w:val="left"/>
            </w:pPr>
            <w:r>
              <w:t> </w:t>
            </w:r>
          </w:p>
        </w:tc>
        <w:tc>
          <w:tcPr>
            <w:tcW w:w="594"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7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83,073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3"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54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80,915</w:t>
            </w:r>
          </w:p>
        </w:tc>
        <w:tc>
          <w:tcPr>
            <w:tcW w:w="82" w:type="dxa"/>
            <w:tcBorders/>
            <w:shd w:fill="FFFFFF" w:val="clear"/>
            <w:tcMar>
              <w:bottom w:w="0" w:type="dxa"/>
            </w:tcMar>
            <w:vAlign w:val="center"/>
          </w:tcPr>
          <w:p>
            <w:pPr>
              <w:pStyle w:val="TableContents"/>
              <w:bidi w:val="0"/>
              <w:spacing w:before="0" w:after="283"/>
              <w:jc w:val="left"/>
            </w:pPr>
            <w:r>
              <w:t> </w:t>
            </w:r>
          </w:p>
        </w:tc>
      </w:tr>
      <w:tr>
        <w:tc>
          <w:tcPr>
            <w:tcW w:w="3520" w:type="dxa"/>
            <w:gridSpan w:val="5"/>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4"/>
              </w:rPr>
              <w:t>Total Non- Affiliate Debt Investments</w:t>
            </w:r>
          </w:p>
        </w:tc>
        <w:tc>
          <w:tcPr>
            <w:tcW w:w="60" w:type="dxa"/>
            <w:tcBorders/>
            <w:shd w:fill="CCEEFF" w:val="clear"/>
            <w:tcMar>
              <w:bottom w:w="0" w:type="dxa"/>
            </w:tcMar>
            <w:vAlign w:val="center"/>
          </w:tcPr>
          <w:p>
            <w:pPr>
              <w:pStyle w:val="TableContents"/>
              <w:bidi w:val="0"/>
              <w:spacing w:before="0" w:after="283"/>
              <w:jc w:val="left"/>
            </w:pPr>
            <w:r>
              <w:t> </w:t>
            </w:r>
          </w:p>
        </w:tc>
        <w:tc>
          <w:tcPr>
            <w:tcW w:w="72" w:type="dxa"/>
            <w:tcBorders/>
            <w:shd w:fill="CCEEFF" w:val="clear"/>
            <w:tcMar>
              <w:bottom w:w="0" w:type="dxa"/>
            </w:tcMar>
            <w:vAlign w:val="center"/>
          </w:tcPr>
          <w:p>
            <w:pPr>
              <w:pStyle w:val="TableContents"/>
              <w:bidi w:val="0"/>
              <w:spacing w:before="0" w:after="283"/>
              <w:jc w:val="left"/>
            </w:pPr>
            <w:r>
              <w:t> </w:t>
            </w:r>
          </w:p>
        </w:tc>
        <w:tc>
          <w:tcPr>
            <w:tcW w:w="422"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36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7"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right"/>
            </w:pPr>
            <w:r>
              <w:rPr>
                <w:rStyle w:val="Emphasis"/>
              </w:rPr>
              <w:t> </w:t>
            </w:r>
          </w:p>
        </w:tc>
        <w:tc>
          <w:tcPr>
            <w:tcW w:w="125" w:type="dxa"/>
            <w:tcBorders/>
            <w:shd w:fill="CCEEFF" w:val="clear"/>
            <w:tcMar>
              <w:bottom w:w="0" w:type="dxa"/>
            </w:tcMar>
            <w:vAlign w:val="center"/>
          </w:tcPr>
          <w:p>
            <w:pPr>
              <w:pStyle w:val="TableContents"/>
              <w:bidi w:val="0"/>
              <w:spacing w:before="0" w:after="283"/>
              <w:jc w:val="left"/>
            </w:pPr>
            <w:r>
              <w:t> </w:t>
            </w:r>
          </w:p>
        </w:tc>
        <w:tc>
          <w:tcPr>
            <w:tcW w:w="638"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83" w:type="dxa"/>
            <w:tcBorders/>
            <w:shd w:fill="CCEEFF" w:val="clear"/>
            <w:tcMar>
              <w:bottom w:w="0" w:type="dxa"/>
            </w:tcMar>
            <w:vAlign w:val="center"/>
          </w:tcPr>
          <w:p>
            <w:pPr>
              <w:pStyle w:val="TableContents"/>
              <w:bidi w:val="0"/>
              <w:spacing w:before="0" w:after="283"/>
              <w:jc w:val="left"/>
            </w:pPr>
            <w:r>
              <w:t> </w:t>
            </w:r>
          </w:p>
        </w:tc>
        <w:tc>
          <w:tcPr>
            <w:tcW w:w="594"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4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567,690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0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558,778</w:t>
            </w:r>
          </w:p>
        </w:tc>
        <w:tc>
          <w:tcPr>
            <w:tcW w:w="82"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9"/>
        <w:gridCol w:w="60"/>
        <w:gridCol w:w="1082"/>
        <w:gridCol w:w="60"/>
        <w:gridCol w:w="1663"/>
        <w:gridCol w:w="60"/>
        <w:gridCol w:w="87"/>
        <w:gridCol w:w="1218"/>
        <w:gridCol w:w="60"/>
        <w:gridCol w:w="60"/>
        <w:gridCol w:w="361"/>
        <w:gridCol w:w="958"/>
        <w:gridCol w:w="60"/>
        <w:gridCol w:w="60"/>
        <w:gridCol w:w="140"/>
        <w:gridCol w:w="546"/>
        <w:gridCol w:w="81"/>
      </w:tblGrid>
      <w:tr>
        <w:tc>
          <w:tcPr>
            <w:tcW w:w="3649"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08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663"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7" w:type="dxa"/>
            <w:tcBorders/>
            <w:vAlign w:val="center"/>
          </w:tcPr>
          <w:p>
            <w:pPr>
              <w:pStyle w:val="TableContents"/>
              <w:bidi w:val="0"/>
              <w:spacing w:before="0" w:after="283"/>
              <w:jc w:val="left"/>
            </w:pPr>
            <w:r>
              <w:t> </w:t>
            </w:r>
          </w:p>
        </w:tc>
        <w:tc>
          <w:tcPr>
            <w:tcW w:w="1218"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Cost of</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Fair</w:t>
            </w:r>
          </w:p>
        </w:tc>
        <w:tc>
          <w:tcPr>
            <w:tcW w:w="81" w:type="dxa"/>
            <w:tcBorders/>
            <w:vAlign w:val="center"/>
          </w:tcPr>
          <w:p>
            <w:pPr>
              <w:pStyle w:val="TableContents"/>
              <w:bidi w:val="0"/>
              <w:spacing w:before="0" w:after="283"/>
              <w:jc w:val="left"/>
            </w:pPr>
            <w:r>
              <w:t> </w:t>
            </w:r>
          </w:p>
        </w:tc>
      </w:tr>
      <w:tr>
        <w:tc>
          <w:tcPr>
            <w:tcW w:w="36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 Company (1)(3)</w:t>
            </w:r>
          </w:p>
        </w:tc>
        <w:tc>
          <w:tcPr>
            <w:tcW w:w="60" w:type="dxa"/>
            <w:tcBorders/>
            <w:vAlign w:val="center"/>
          </w:tcPr>
          <w:p>
            <w:pPr>
              <w:pStyle w:val="TableContents"/>
              <w:bidi w:val="0"/>
              <w:spacing w:before="0" w:after="283"/>
              <w:ind w:left="0" w:right="0" w:hanging="0"/>
              <w:jc w:val="center"/>
            </w:pPr>
            <w:r>
              <w:t> </w:t>
            </w:r>
          </w:p>
        </w:tc>
        <w:tc>
          <w:tcPr>
            <w:tcW w:w="10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Sector</w:t>
            </w:r>
          </w:p>
        </w:tc>
        <w:tc>
          <w:tcPr>
            <w:tcW w:w="60" w:type="dxa"/>
            <w:tcBorders/>
            <w:vAlign w:val="center"/>
          </w:tcPr>
          <w:p>
            <w:pPr>
              <w:pStyle w:val="TableContents"/>
              <w:bidi w:val="0"/>
              <w:spacing w:before="0" w:after="283"/>
              <w:ind w:left="0" w:right="0" w:hanging="0"/>
              <w:jc w:val="center"/>
            </w:pPr>
            <w:r>
              <w:t> </w:t>
            </w:r>
          </w:p>
        </w:tc>
        <w:tc>
          <w:tcPr>
            <w:tcW w:w="16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Type of Investment (7)</w:t>
            </w:r>
          </w:p>
        </w:tc>
        <w:tc>
          <w:tcPr>
            <w:tcW w:w="60" w:type="dxa"/>
            <w:tcBorders/>
            <w:vAlign w:val="center"/>
          </w:tcPr>
          <w:p>
            <w:pPr>
              <w:pStyle w:val="TableContents"/>
              <w:bidi w:val="0"/>
              <w:spacing w:before="0" w:after="283"/>
              <w:ind w:left="0" w:right="0" w:hanging="0"/>
              <w:jc w:val="left"/>
            </w:pPr>
            <w: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Number of Shares</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Investments (6)(9)</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 (9)</w:t>
            </w:r>
          </w:p>
        </w:tc>
        <w:tc>
          <w:tcPr>
            <w:tcW w:w="81" w:type="dxa"/>
            <w:tcBorders/>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Non-Affiliate Warrant Investments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5.2% (8)</w:t>
            </w:r>
          </w:p>
        </w:tc>
        <w:tc>
          <w:tcPr>
            <w:tcW w:w="60" w:type="dxa"/>
            <w:tcBorders/>
            <w:shd w:fill="CCEEFF" w:val="clear"/>
            <w:vAlign w:val="center"/>
          </w:tcPr>
          <w:p>
            <w:pPr>
              <w:pStyle w:val="TableContents"/>
              <w:bidi w:val="0"/>
              <w:spacing w:before="0" w:after="283"/>
              <w:jc w:val="left"/>
            </w:pPr>
            <w:r>
              <w:t> </w:t>
            </w:r>
          </w:p>
        </w:tc>
        <w:tc>
          <w:tcPr>
            <w:tcW w:w="108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6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c>
          <w:tcPr>
            <w:tcW w:w="121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6"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Non-Affiliate Warrants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 xml:space="preserve">Life Science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2.2% (8)</w:t>
            </w:r>
          </w:p>
        </w:tc>
        <w:tc>
          <w:tcPr>
            <w:tcW w:w="60" w:type="dxa"/>
            <w:tcBorders/>
            <w:shd w:fill="FFFFFF" w:val="clear"/>
            <w:vAlign w:val="center"/>
          </w:tcPr>
          <w:p>
            <w:pPr>
              <w:pStyle w:val="TableContents"/>
              <w:bidi w:val="0"/>
              <w:spacing w:before="0" w:after="283"/>
              <w:jc w:val="left"/>
            </w:pPr>
            <w:r>
              <w:t> </w:t>
            </w:r>
          </w:p>
        </w:tc>
        <w:tc>
          <w:tcPr>
            <w:tcW w:w="108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6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jc w:val="left"/>
            </w:pPr>
            <w:r>
              <w:t> </w:t>
            </w:r>
          </w:p>
        </w:tc>
        <w:tc>
          <w:tcPr>
            <w:tcW w:w="121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jc w:val="left"/>
            </w:pPr>
            <w:r>
              <w:t> </w:t>
            </w:r>
          </w:p>
        </w:tc>
        <w:tc>
          <w:tcPr>
            <w:tcW w:w="95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Avalo Therapeutics, Inc. (2)(5)(12)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6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6" w:type="dxa"/>
            <w:tcBorders/>
            <w:shd w:fill="CCEEFF" w:val="clear"/>
            <w:vAlign w:val="center"/>
          </w:tcPr>
          <w:p>
            <w:pPr>
              <w:pStyle w:val="TableContents"/>
              <w:bidi w:val="0"/>
              <w:spacing w:before="0" w:after="283"/>
              <w:ind w:left="0" w:right="0" w:hanging="0"/>
              <w:jc w:val="right"/>
            </w:pPr>
            <w:r>
              <w:t>—</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BioVaxys Technology Corp. (5)(12)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pPr>
            <w:r>
              <w:t>—</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Castle Creek Biosciences, Inc. (2)(12)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13,821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Emalex Biosciences,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110,402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447</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Imunon, Inc. (2)(5)(12)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19,671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pPr>
            <w:r>
              <w:t>—</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KSQ Therapeutics,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134,614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Mustang Bio, Inc. (2)(5)(12)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pPr>
            <w:r>
              <w:t>—</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Native Microbials,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178,631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PDS Biotechnology Corporation (2)(5)(12)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381,625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pPr>
            <w:r>
              <w:t>—</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Provivi,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175,098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pPr>
            <w:r>
              <w:t>—</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Provivi, Inc. (2)(12)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709,980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pPr>
            <w:r>
              <w:t>—</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Stealth Biotherapeutics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454,544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Xeris Pharmaceuticals, Inc. (2)(5)(12)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691</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Aerin Medical,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1,818,183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1,333</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Canary Medical Inc. (2)(12)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12,153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pPr>
            <w:r>
              <w:t>—</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Ceribell, Inc. (2)(5)(12)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89,903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1,205</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Cognoa, Inc. (2)(12)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61,170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Cognoa,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7,152,669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Conventus Orthopaedics, Inc. (2)(12)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13,203,395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pPr>
            <w:r>
              <w:t>—</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CSA Medical,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4,939,813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462</w:t>
            </w:r>
          </w:p>
        </w:tc>
        <w:tc>
          <w:tcPr>
            <w:tcW w:w="81" w:type="dxa"/>
            <w:tcBorders/>
            <w:shd w:fill="FFFFFF" w:val="clear"/>
            <w:vAlign w:val="center"/>
          </w:tcPr>
          <w:p>
            <w:pPr>
              <w:pStyle w:val="TableContents"/>
              <w:bidi w:val="0"/>
              <w:spacing w:before="0" w:after="283"/>
              <w:jc w:val="left"/>
            </w:pPr>
            <w:r>
              <w:t> </w:t>
            </w:r>
          </w:p>
        </w:tc>
      </w:tr>
      <w:tr>
        <w:tc>
          <w:tcPr>
            <w:tcW w:w="3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CVRx, Inc. (2)(5)(12)</w:t>
            </w:r>
          </w:p>
        </w:tc>
        <w:tc>
          <w:tcPr>
            <w:tcW w:w="60"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663"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Common Stock Warrant</w:t>
            </w:r>
          </w:p>
        </w:tc>
        <w:tc>
          <w:tcPr>
            <w:tcW w:w="60"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47,410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81" w:type="dxa"/>
            <w:tcBorders/>
            <w:shd w:fill="CCEEFF" w:val="clear"/>
            <w:vAlign w:val="center"/>
          </w:tcPr>
          <w:p>
            <w:pPr>
              <w:pStyle w:val="TableContents"/>
              <w:bidi w:val="0"/>
              <w:spacing w:before="0" w:after="283"/>
              <w:jc w:val="left"/>
            </w:pPr>
            <w:r>
              <w:t> </w:t>
            </w:r>
          </w:p>
        </w:tc>
      </w:tr>
      <w:tr>
        <w:tc>
          <w:tcPr>
            <w:tcW w:w="3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Infobionic, Inc. (2)(12)</w:t>
            </w:r>
          </w:p>
        </w:tc>
        <w:tc>
          <w:tcPr>
            <w:tcW w:w="60" w:type="dxa"/>
            <w:tcBorders/>
            <w:shd w:fill="FFFFFF" w:val="clear"/>
            <w:vAlign w:val="center"/>
          </w:tcPr>
          <w:p>
            <w:pPr>
              <w:pStyle w:val="TableContents"/>
              <w:bidi w:val="0"/>
              <w:spacing w:before="0" w:after="283"/>
              <w:ind w:left="0" w:right="0" w:hanging="0"/>
              <w:jc w:val="left"/>
            </w:pPr>
            <w:r>
              <w:t> </w:t>
            </w:r>
          </w:p>
        </w:tc>
        <w:tc>
          <w:tcPr>
            <w:tcW w:w="1082"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663"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6"/>
              </w:rPr>
              <w:t>Preferred Stock Warrant</w:t>
            </w:r>
          </w:p>
        </w:tc>
        <w:tc>
          <w:tcPr>
            <w:tcW w:w="60"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8,488,456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705</w:t>
            </w:r>
          </w:p>
        </w:tc>
        <w:tc>
          <w:tcPr>
            <w:tcW w:w="81"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Notes to Consolidated Financial Statements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9687" w:type="dxa"/>
        <w:jc w:val="left"/>
        <w:tblInd w:w="0" w:type="dxa"/>
        <w:tblLayout w:type="fixed"/>
        <w:tblCellMar>
          <w:top w:w="0" w:type="dxa"/>
          <w:left w:w="0" w:type="dxa"/>
          <w:bottom w:w="0" w:type="dxa"/>
          <w:right w:w="0" w:type="dxa"/>
        </w:tblCellMar>
      </w:tblPr>
      <w:tblGrid>
        <w:gridCol w:w="3170"/>
        <w:gridCol w:w="60"/>
        <w:gridCol w:w="1880"/>
        <w:gridCol w:w="60"/>
        <w:gridCol w:w="1445"/>
        <w:gridCol w:w="60"/>
        <w:gridCol w:w="96"/>
        <w:gridCol w:w="973"/>
        <w:gridCol w:w="60"/>
        <w:gridCol w:w="60"/>
        <w:gridCol w:w="158"/>
        <w:gridCol w:w="926"/>
        <w:gridCol w:w="60"/>
        <w:gridCol w:w="60"/>
        <w:gridCol w:w="81"/>
        <w:gridCol w:w="478"/>
        <w:gridCol w:w="60"/>
      </w:tblGrid>
      <w:tr>
        <w:tc>
          <w:tcPr>
            <w:tcW w:w="31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5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w:t>
            </w:r>
          </w:p>
        </w:tc>
        <w:tc>
          <w:tcPr>
            <w:tcW w:w="60" w:type="dxa"/>
            <w:tcBorders/>
            <w:shd w:fill="FFFFFF" w:val="clear"/>
            <w:vAlign w:val="center"/>
          </w:tcPr>
          <w:p>
            <w:pPr>
              <w:pStyle w:val="TableContents"/>
              <w:bidi w:val="0"/>
              <w:spacing w:before="0" w:after="283"/>
              <w:jc w:val="left"/>
            </w:pPr>
            <w:r>
              <w:t> </w:t>
            </w:r>
          </w:p>
        </w:tc>
      </w:tr>
      <w:tr>
        <w:tc>
          <w:tcPr>
            <w:tcW w:w="3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vAlign w:val="center"/>
          </w:tcPr>
          <w:p>
            <w:pPr>
              <w:pStyle w:val="TableContents"/>
              <w:bidi w:val="0"/>
              <w:spacing w:before="0" w:after="283"/>
              <w:ind w:left="0" w:right="0" w:hanging="0"/>
              <w:jc w:val="center"/>
            </w:pPr>
            <w:r>
              <w:t> </w:t>
            </w:r>
          </w:p>
        </w:tc>
        <w:tc>
          <w:tcPr>
            <w:tcW w:w="1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vAlign w:val="center"/>
          </w:tcPr>
          <w:p>
            <w:pPr>
              <w:pStyle w:val="TableContents"/>
              <w:bidi w:val="0"/>
              <w:spacing w:before="0" w:after="283"/>
              <w:ind w:left="0" w:right="0" w:hanging="0"/>
              <w:jc w:val="center"/>
            </w:pPr>
            <w:r>
              <w:t> </w:t>
            </w:r>
          </w:p>
        </w:tc>
        <w:tc>
          <w:tcPr>
            <w:tcW w:w="14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vAlign w:val="center"/>
          </w:tcPr>
          <w:p>
            <w:pPr>
              <w:pStyle w:val="TableContents"/>
              <w:bidi w:val="0"/>
              <w:spacing w:before="0" w:after="283"/>
              <w:ind w:left="0" w:right="0" w:hanging="0"/>
              <w:jc w:val="left"/>
            </w:pPr>
            <w: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Number of Shares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Investments (6)(9)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Value (9)</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Magnolia Medical Technologies,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900,043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321</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Meditrina, Inc. (12)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233,993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Mobia Medical, Inc. fka Microtransponder,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103,172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Onkos Surgical,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443,674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Scientia Vascular,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235</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Scientia Vascular,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49,157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481</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Sonex Health,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2,637,133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199</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Spineology,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27,139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Spineology,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45,101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VERO Biotech LLC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111</w:t>
            </w:r>
          </w:p>
        </w:tc>
        <w:tc>
          <w:tcPr>
            <w:tcW w:w="60" w:type="dxa"/>
            <w:tcBorders/>
            <w:shd w:fill="FFFFFF" w:val="clear"/>
            <w:vAlign w:val="center"/>
          </w:tcPr>
          <w:p>
            <w:pPr>
              <w:pStyle w:val="TableContents"/>
              <w:bidi w:val="0"/>
              <w:spacing w:before="0" w:after="283"/>
              <w:jc w:val="left"/>
            </w:pPr>
            <w:r>
              <w:t> </w:t>
            </w:r>
          </w:p>
        </w:tc>
      </w:tr>
      <w:tr>
        <w:tc>
          <w:tcPr>
            <w:tcW w:w="6615"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Non-Affiliate Warrants — Life Science</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9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5,346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4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6,964</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Warrants — Sustainability — 0.0% (8)</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2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c>
          <w:tcPr>
            <w:tcW w:w="47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SparkCharge,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Alternative Energy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2,264,151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Pivot Bio,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Energy Efficiency</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210,418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New Aerofarms, Inc. assignee of Aerofarms,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LiquiGlide,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122,717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Temperpack Technologies,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66,605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w:t>
            </w:r>
          </w:p>
        </w:tc>
        <w:tc>
          <w:tcPr>
            <w:tcW w:w="60" w:type="dxa"/>
            <w:tcBorders/>
            <w:shd w:fill="CCEEFF" w:val="clear"/>
            <w:vAlign w:val="center"/>
          </w:tcPr>
          <w:p>
            <w:pPr>
              <w:pStyle w:val="TableContents"/>
              <w:bidi w:val="0"/>
              <w:spacing w:before="0" w:after="283"/>
              <w:jc w:val="left"/>
            </w:pPr>
            <w:r>
              <w:t> </w:t>
            </w:r>
          </w:p>
        </w:tc>
      </w:tr>
      <w:tr>
        <w:tc>
          <w:tcPr>
            <w:tcW w:w="6615"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Non-Affiliate Warrants — Sustainability</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92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47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143</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Warrants — Technology — 3.0% (8)</w:t>
            </w:r>
          </w:p>
        </w:tc>
        <w:tc>
          <w:tcPr>
            <w:tcW w:w="60" w:type="dxa"/>
            <w:tcBorders/>
            <w:shd w:fill="CCEEFF" w:val="clear"/>
            <w:vAlign w:val="center"/>
          </w:tcPr>
          <w:p>
            <w:pPr>
              <w:pStyle w:val="TableContents"/>
              <w:bidi w:val="0"/>
              <w:spacing w:before="0" w:after="283"/>
              <w:jc w:val="left"/>
            </w:pPr>
            <w:r>
              <w:t> </w:t>
            </w:r>
          </w:p>
        </w:tc>
        <w:tc>
          <w:tcPr>
            <w:tcW w:w="18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92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47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Axiom Space Holdings,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Communications</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Intelepeer Holdings,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Communications</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2,936,535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2,730</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Alula Holdings,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CAMP NYC,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224,712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76</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Clara Foods Co.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46,745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Divergent Technologies,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13,068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59</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Divergent Technologies,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71,014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771</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Havenly,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1,633,929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3,463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3,510</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MyForest Foods Co.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Primary Kids,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553,778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Quip NYC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10,833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Updater, Inc.(2)(12)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108,333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CPG Beyond,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Data Storage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Silk,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Data Storage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394,110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173</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Global Worldwide LLC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Internet and Media</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245,810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Rocket Lawyer Incorporated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Internet and Media</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261,721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151</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Skillshare,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Internet and Media</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139,316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Liqid,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Networking</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344,102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Apkudo,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31,848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118</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BriteCore Holdings,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194,570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229</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Crafty Holdings,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260,972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178</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Dropoff,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723,228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HappyCo,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96,228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Everstream Holdings, LLC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525,000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Lemongrass Holdings,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44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202,616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96</w:t>
            </w:r>
          </w:p>
        </w:tc>
        <w:tc>
          <w:tcPr>
            <w:tcW w:w="60" w:type="dxa"/>
            <w:tcBorders/>
            <w:shd w:fill="FFFFFF" w:val="cle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Mirantis, Inc. (2)(12)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44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948,275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420</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974"/>
        <w:gridCol w:w="60"/>
        <w:gridCol w:w="1760"/>
        <w:gridCol w:w="60"/>
        <w:gridCol w:w="1329"/>
        <w:gridCol w:w="60"/>
        <w:gridCol w:w="82"/>
        <w:gridCol w:w="938"/>
        <w:gridCol w:w="60"/>
        <w:gridCol w:w="60"/>
        <w:gridCol w:w="163"/>
        <w:gridCol w:w="867"/>
        <w:gridCol w:w="60"/>
        <w:gridCol w:w="60"/>
        <w:gridCol w:w="95"/>
        <w:gridCol w:w="500"/>
        <w:gridCol w:w="77"/>
      </w:tblGrid>
      <w:tr>
        <w:tc>
          <w:tcPr>
            <w:tcW w:w="397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0"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329"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3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w:t>
            </w:r>
          </w:p>
        </w:tc>
        <w:tc>
          <w:tcPr>
            <w:tcW w:w="77" w:type="dxa"/>
            <w:tcBorders/>
            <w:shd w:fill="FFFFFF" w:val="clear"/>
            <w:vAlign w:val="center"/>
          </w:tcPr>
          <w:p>
            <w:pPr>
              <w:pStyle w:val="TableContents"/>
              <w:bidi w:val="0"/>
              <w:spacing w:before="0" w:after="283"/>
              <w:jc w:val="left"/>
            </w:pPr>
            <w:r>
              <w:t> </w:t>
            </w:r>
          </w:p>
        </w:tc>
      </w:tr>
      <w:tr>
        <w:tc>
          <w:tcPr>
            <w:tcW w:w="39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vAlign w:val="center"/>
          </w:tcPr>
          <w:p>
            <w:pPr>
              <w:pStyle w:val="TableContents"/>
              <w:bidi w:val="0"/>
              <w:spacing w:before="0" w:after="283"/>
              <w:ind w:left="0" w:right="0" w:hanging="0"/>
              <w:jc w:val="center"/>
            </w:pPr>
            <w:r>
              <w:t> </w:t>
            </w:r>
          </w:p>
        </w:tc>
        <w:tc>
          <w:tcPr>
            <w:tcW w:w="17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vAlign w:val="center"/>
          </w:tcPr>
          <w:p>
            <w:pPr>
              <w:pStyle w:val="TableContents"/>
              <w:bidi w:val="0"/>
              <w:spacing w:before="0" w:after="283"/>
              <w:ind w:left="0" w:right="0" w:hanging="0"/>
              <w:jc w:val="center"/>
            </w:pPr>
            <w:r>
              <w:t> </w:t>
            </w:r>
          </w:p>
        </w:tc>
        <w:tc>
          <w:tcPr>
            <w:tcW w:w="132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vAlign w:val="center"/>
          </w:tcPr>
          <w:p>
            <w:pPr>
              <w:pStyle w:val="TableContents"/>
              <w:bidi w:val="0"/>
              <w:spacing w:before="0" w:after="283"/>
              <w:ind w:left="0" w:right="0" w:hanging="0"/>
              <w:jc w:val="left"/>
            </w:pPr>
            <w:r>
              <w:t> </w:t>
            </w:r>
          </w:p>
        </w:tc>
        <w:tc>
          <w:tcPr>
            <w:tcW w:w="1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Number of Shares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Investments (6)(9)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Value (9)</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Noodle Partners, Inc. (2)(12)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84,037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OneNetworks, Inc.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184,646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Revinate Holdings, Inc. (2)(12)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682,034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86</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SIGNiX, Inc. (12)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186,235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pPr>
            <w:r>
              <w:t>—</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Slingshot Aerospace, Inc. (2)(12)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309,208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Supply Network Visibility Holdings LLC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682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pPr>
            <w:r>
              <w:t>—</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Topia Mobility, Inc. (2)(12)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 Warrant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30,496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Ursa Space Systems, Inc.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1,075,072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169</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Viken Detection Corporation (2)(12)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345,443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314</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xAd, Inc.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4,343,348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77" w:type="dxa"/>
            <w:tcBorders/>
            <w:shd w:fill="FFFFFF" w:val="clear"/>
            <w:vAlign w:val="center"/>
          </w:tcPr>
          <w:p>
            <w:pPr>
              <w:pStyle w:val="TableContents"/>
              <w:bidi w:val="0"/>
              <w:spacing w:before="0" w:after="283"/>
              <w:jc w:val="left"/>
            </w:pPr>
            <w:r>
              <w:t> </w:t>
            </w:r>
          </w:p>
        </w:tc>
      </w:tr>
      <w:tr>
        <w:tc>
          <w:tcPr>
            <w:tcW w:w="7183"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Non-Affiliate Warrants — Technology</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9,404</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Warrants — Healthcare information and services — 0.0% (8)</w:t>
            </w:r>
          </w:p>
        </w:tc>
        <w:tc>
          <w:tcPr>
            <w:tcW w:w="60" w:type="dxa"/>
            <w:tcBorders/>
            <w:shd w:fill="FFFFFF" w:val="clear"/>
            <w:vAlign w:val="center"/>
          </w:tcPr>
          <w:p>
            <w:pPr>
              <w:pStyle w:val="TableContents"/>
              <w:bidi w:val="0"/>
              <w:spacing w:before="0" w:after="283"/>
              <w:jc w:val="left"/>
            </w:pPr>
            <w:r>
              <w:t> </w:t>
            </w:r>
          </w:p>
        </w:tc>
        <w:tc>
          <w:tcPr>
            <w:tcW w:w="17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2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jc w:val="left"/>
            </w:pPr>
            <w:r>
              <w:t> </w:t>
            </w:r>
          </w:p>
        </w:tc>
        <w:tc>
          <w:tcPr>
            <w:tcW w:w="8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GT Medical Technologies, Inc. (2)(12)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Healthcare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326,640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BrightInsight, Inc.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232,871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pPr>
            <w:r>
              <w:t>—</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Elligo Health Research, Inc. (2)(12)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652,250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SafelyYou, Inc.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 Warrant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206,983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w:t>
            </w:r>
          </w:p>
        </w:tc>
        <w:tc>
          <w:tcPr>
            <w:tcW w:w="77" w:type="dxa"/>
            <w:tcBorders/>
            <w:shd w:fill="FFFFFF" w:val="clear"/>
            <w:vAlign w:val="center"/>
          </w:tcPr>
          <w:p>
            <w:pPr>
              <w:pStyle w:val="TableContents"/>
              <w:bidi w:val="0"/>
              <w:spacing w:before="0" w:after="283"/>
              <w:jc w:val="left"/>
            </w:pPr>
            <w:r>
              <w:t> </w:t>
            </w:r>
          </w:p>
        </w:tc>
      </w:tr>
      <w:tr>
        <w:tc>
          <w:tcPr>
            <w:tcW w:w="7183"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Non-Affiliate Warrants — Healthcare information and services</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137</w:t>
            </w:r>
          </w:p>
        </w:tc>
        <w:tc>
          <w:tcPr>
            <w:tcW w:w="77" w:type="dxa"/>
            <w:tcBorders/>
            <w:shd w:fill="CCEEFF" w:val="clear"/>
            <w:vAlign w:val="center"/>
          </w:tcPr>
          <w:p>
            <w:pPr>
              <w:pStyle w:val="TableContents"/>
              <w:bidi w:val="0"/>
              <w:spacing w:before="0" w:after="283"/>
              <w:jc w:val="left"/>
            </w:pPr>
            <w:r>
              <w:t> </w:t>
            </w:r>
          </w:p>
        </w:tc>
      </w:tr>
      <w:tr>
        <w:tc>
          <w:tcPr>
            <w:tcW w:w="7183"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4"/>
              </w:rPr>
              <w:t>Total Non-Affiliate Warrants</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14,741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16,648</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Non-Affiliate Other Investments — 0.6% (8)</w:t>
            </w:r>
          </w:p>
        </w:tc>
        <w:tc>
          <w:tcPr>
            <w:tcW w:w="60" w:type="dxa"/>
            <w:tcBorders/>
            <w:shd w:fill="CCEEFF" w:val="clear"/>
            <w:vAlign w:val="center"/>
          </w:tcPr>
          <w:p>
            <w:pPr>
              <w:pStyle w:val="TableContents"/>
              <w:bidi w:val="0"/>
              <w:spacing w:before="0" w:after="283"/>
              <w:jc w:val="left"/>
            </w:pPr>
            <w:r>
              <w:t> </w:t>
            </w:r>
          </w:p>
        </w:tc>
        <w:tc>
          <w:tcPr>
            <w:tcW w:w="17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2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jc w:val="left"/>
            </w:pPr>
            <w:r>
              <w:t> </w:t>
            </w:r>
          </w:p>
        </w:tc>
        <w:tc>
          <w:tcPr>
            <w:tcW w:w="86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Other Investments — Life Science — 0.6% (8)</w:t>
            </w:r>
          </w:p>
        </w:tc>
        <w:tc>
          <w:tcPr>
            <w:tcW w:w="60" w:type="dxa"/>
            <w:tcBorders/>
            <w:shd w:fill="FFFFFF" w:val="clear"/>
            <w:vAlign w:val="center"/>
          </w:tcPr>
          <w:p>
            <w:pPr>
              <w:pStyle w:val="TableContents"/>
              <w:bidi w:val="0"/>
              <w:spacing w:before="0" w:after="283"/>
              <w:jc w:val="left"/>
            </w:pPr>
            <w:r>
              <w:t> </w:t>
            </w:r>
          </w:p>
        </w:tc>
        <w:tc>
          <w:tcPr>
            <w:tcW w:w="17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2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jc w:val="left"/>
            </w:pPr>
            <w:r>
              <w:t> </w:t>
            </w:r>
          </w:p>
        </w:tc>
        <w:tc>
          <w:tcPr>
            <w:tcW w:w="8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BioVaxys Technology Corp. (5)(12)</w:t>
            </w:r>
          </w:p>
        </w:tc>
        <w:tc>
          <w:tcPr>
            <w:tcW w:w="60" w:type="dxa"/>
            <w:tcBorders/>
            <w:shd w:fill="CCEEFF" w:val="clear"/>
            <w:vAlign w:val="center"/>
          </w:tcPr>
          <w:p>
            <w:pPr>
              <w:pStyle w:val="TableContents"/>
              <w:bidi w:val="0"/>
              <w:spacing w:before="0" w:after="283"/>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Biotechnology</w:t>
            </w:r>
          </w:p>
        </w:tc>
        <w:tc>
          <w:tcPr>
            <w:tcW w:w="60" w:type="dxa"/>
            <w:tcBorders/>
            <w:shd w:fill="CCEEFF" w:val="clear"/>
            <w:vAlign w:val="center"/>
          </w:tcPr>
          <w:p>
            <w:pPr>
              <w:pStyle w:val="TableContents"/>
              <w:bidi w:val="0"/>
              <w:spacing w:before="0" w:after="283"/>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Royalty Agreement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jc w:val="left"/>
            </w:pPr>
            <w:r>
              <w:t> </w:t>
            </w:r>
          </w:p>
        </w:tc>
        <w:tc>
          <w:tcPr>
            <w:tcW w:w="867"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5,073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right"/>
            </w:pPr>
            <w:r>
              <w:t>—</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Aerobiotix, LLC (12)</w:t>
            </w:r>
          </w:p>
        </w:tc>
        <w:tc>
          <w:tcPr>
            <w:tcW w:w="60" w:type="dxa"/>
            <w:tcBorders/>
            <w:shd w:fill="FFFFFF" w:val="clear"/>
            <w:vAlign w:val="center"/>
          </w:tcPr>
          <w:p>
            <w:pPr>
              <w:pStyle w:val="TableContents"/>
              <w:bidi w:val="0"/>
              <w:spacing w:before="0" w:after="283"/>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Medical Device</w:t>
            </w:r>
          </w:p>
        </w:tc>
        <w:tc>
          <w:tcPr>
            <w:tcW w:w="60" w:type="dxa"/>
            <w:tcBorders/>
            <w:shd w:fill="FFFFFF" w:val="clear"/>
            <w:vAlign w:val="center"/>
          </w:tcPr>
          <w:p>
            <w:pPr>
              <w:pStyle w:val="TableContents"/>
              <w:bidi w:val="0"/>
              <w:spacing w:before="0" w:after="283"/>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Royalty Agreement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jc w:val="left"/>
            </w:pPr>
            <w: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1,574</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Lumithera, Inc. (12)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Royalty Agreement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384</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Robin Healthcare, Inc.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Royalty Agreement</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77" w:type="dxa"/>
            <w:tcBorders/>
            <w:shd w:fill="FFFFFF" w:val="clear"/>
            <w:vAlign w:val="center"/>
          </w:tcPr>
          <w:p>
            <w:pPr>
              <w:pStyle w:val="TableContents"/>
              <w:bidi w:val="0"/>
              <w:spacing w:before="0" w:after="283"/>
              <w:jc w:val="left"/>
            </w:pPr>
            <w:r>
              <w:t> </w:t>
            </w:r>
          </w:p>
        </w:tc>
      </w:tr>
      <w:tr>
        <w:tc>
          <w:tcPr>
            <w:tcW w:w="7183"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Total Non-Affiliate Other Investments — Life Science</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6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15,017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1,958</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Non-Affiliate Other Investments — Technology — 0.0% (8)</w:t>
            </w:r>
          </w:p>
        </w:tc>
        <w:tc>
          <w:tcPr>
            <w:tcW w:w="60" w:type="dxa"/>
            <w:tcBorders/>
            <w:shd w:fill="FFFFFF" w:val="clear"/>
            <w:vAlign w:val="center"/>
          </w:tcPr>
          <w:p>
            <w:pPr>
              <w:pStyle w:val="TableContents"/>
              <w:bidi w:val="0"/>
              <w:spacing w:before="0" w:after="283"/>
              <w:jc w:val="left"/>
            </w:pPr>
            <w:r>
              <w:t> </w:t>
            </w:r>
          </w:p>
        </w:tc>
        <w:tc>
          <w:tcPr>
            <w:tcW w:w="17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2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jc w:val="left"/>
            </w:pPr>
            <w:r>
              <w:t> </w:t>
            </w:r>
          </w:p>
        </w:tc>
        <w:tc>
          <w:tcPr>
            <w:tcW w:w="8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Better Place Forests Co. (12)(16)</w:t>
            </w:r>
          </w:p>
        </w:tc>
        <w:tc>
          <w:tcPr>
            <w:tcW w:w="60" w:type="dxa"/>
            <w:tcBorders/>
            <w:shd w:fill="CCEEFF" w:val="clear"/>
            <w:vAlign w:val="center"/>
          </w:tcPr>
          <w:p>
            <w:pPr>
              <w:pStyle w:val="TableContents"/>
              <w:bidi w:val="0"/>
              <w:spacing w:before="0" w:after="0"/>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Consumer-related Technologies</w:t>
            </w:r>
          </w:p>
        </w:tc>
        <w:tc>
          <w:tcPr>
            <w:tcW w:w="60" w:type="dxa"/>
            <w:tcBorders/>
            <w:shd w:fill="CCEEFF" w:val="clear"/>
            <w:vAlign w:val="center"/>
          </w:tcPr>
          <w:p>
            <w:pPr>
              <w:pStyle w:val="TableContents"/>
              <w:bidi w:val="0"/>
              <w:spacing w:before="0" w:after="0"/>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Other Investment</w:t>
            </w:r>
          </w:p>
        </w:tc>
        <w:tc>
          <w:tcPr>
            <w:tcW w:w="60" w:type="dxa"/>
            <w:tcBorders/>
            <w:shd w:fill="CCEEFF" w:val="clear"/>
            <w:vAlign w:val="center"/>
          </w:tcPr>
          <w:p>
            <w:pPr>
              <w:pStyle w:val="TableContents"/>
              <w:bidi w:val="0"/>
              <w:spacing w:before="0" w:after="0"/>
              <w:ind w:left="0" w:right="0" w:hanging="0"/>
              <w:jc w:val="left"/>
            </w:pPr>
            <w:r>
              <w:t> </w:t>
            </w:r>
          </w:p>
        </w:tc>
        <w:tc>
          <w:tcPr>
            <w:tcW w:w="82" w:type="dxa"/>
            <w:tcBorders/>
            <w:shd w:fill="CCEEFF" w:val="clear"/>
            <w:vAlign w:val="center"/>
          </w:tcPr>
          <w:p>
            <w:pPr>
              <w:pStyle w:val="TableContents"/>
              <w:bidi w:val="0"/>
              <w:spacing w:before="0" w:after="0"/>
              <w:ind w:left="0" w:right="0" w:hanging="0"/>
              <w:jc w:val="left"/>
            </w:pPr>
            <w:r>
              <w:t> </w:t>
            </w:r>
          </w:p>
        </w:tc>
        <w:tc>
          <w:tcPr>
            <w:tcW w:w="938" w:type="dxa"/>
            <w:tcBorders/>
            <w:shd w:fill="CCEEFF" w:val="clear"/>
            <w:vAlign w:val="center"/>
          </w:tcPr>
          <w:p>
            <w:pPr>
              <w:pStyle w:val="TableContents"/>
              <w:bidi w:val="0"/>
              <w:spacing w:before="0" w:after="0"/>
              <w:ind w:left="0" w:right="0" w:hanging="0"/>
              <w:jc w:val="right"/>
            </w:pPr>
            <w:r>
              <w:rPr>
                <w:rStyle w:val="Emphasis"/>
              </w:rPr>
              <w:t> </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10,149</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77" w:type="dxa"/>
            <w:tcBorders/>
            <w:shd w:fill="CCEEFF" w:val="clear"/>
            <w:vAlign w:val="center"/>
          </w:tcPr>
          <w:p>
            <w:pPr>
              <w:pStyle w:val="TableContents"/>
              <w:bidi w:val="0"/>
              <w:spacing w:before="0" w:after="0"/>
              <w:jc w:val="left"/>
            </w:pPr>
            <w:r>
              <w:t> </w:t>
            </w:r>
          </w:p>
        </w:tc>
      </w:tr>
      <w:tr>
        <w:tc>
          <w:tcPr>
            <w:tcW w:w="7183"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Total Non-Affiliate Other Investments — Technology</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jc w:val="left"/>
            </w:pPr>
            <w: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10,149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right"/>
            </w:pPr>
            <w:r>
              <w:t>—</w:t>
            </w:r>
          </w:p>
        </w:tc>
        <w:tc>
          <w:tcPr>
            <w:tcW w:w="77" w:type="dxa"/>
            <w:tcBorders/>
            <w:shd w:fill="FFFFFF" w:val="clear"/>
            <w:vAlign w:val="center"/>
          </w:tcPr>
          <w:p>
            <w:pPr>
              <w:pStyle w:val="TableContents"/>
              <w:bidi w:val="0"/>
              <w:spacing w:before="0" w:after="283"/>
              <w:jc w:val="left"/>
            </w:pPr>
            <w:r>
              <w:t> </w:t>
            </w:r>
          </w:p>
        </w:tc>
      </w:tr>
      <w:tr>
        <w:tc>
          <w:tcPr>
            <w:tcW w:w="7183"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4"/>
              </w:rPr>
              <w:t>Total Non-Affiliate Other Investments</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86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25,166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50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1,958</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Non-Affiliate Equity — 2.1% (8)</w:t>
            </w:r>
          </w:p>
        </w:tc>
        <w:tc>
          <w:tcPr>
            <w:tcW w:w="60" w:type="dxa"/>
            <w:tcBorders/>
            <w:shd w:fill="FFFFFF" w:val="clear"/>
            <w:vAlign w:val="center"/>
          </w:tcPr>
          <w:p>
            <w:pPr>
              <w:pStyle w:val="TableContents"/>
              <w:bidi w:val="0"/>
              <w:spacing w:before="0" w:after="283"/>
              <w:jc w:val="left"/>
            </w:pPr>
            <w:r>
              <w:t> </w:t>
            </w:r>
          </w:p>
        </w:tc>
        <w:tc>
          <w:tcPr>
            <w:tcW w:w="17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2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jc w:val="left"/>
            </w:pPr>
            <w:r>
              <w:t> </w:t>
            </w:r>
          </w:p>
        </w:tc>
        <w:tc>
          <w:tcPr>
            <w:tcW w:w="8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BioVaxys Technology Corp. (5)(12)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66,170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Cadrenal Therapeutics, Inc. (5)</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271</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Castle Creek Biosciences, Inc. (12)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1,162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217</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Emalex Biosciences, Inc. (12)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47,461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545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656</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Axiom Space Holdings, Inc. (12)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Communications</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306</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PebblePost, Inc.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Communications</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56,212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SnagAJob.com, Inc. (12)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82,974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Cognoa, Inc. (2)(12)</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16,247,754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Cognoa, Inc. (2)(12)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2,119,272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Tigo Energy, Inc. (5)</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5,205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w:t>
            </w:r>
          </w:p>
        </w:tc>
        <w:tc>
          <w:tcPr>
            <w:tcW w:w="77" w:type="dxa"/>
            <w:tcBorders/>
            <w:shd w:fill="FFFFFF" w:val="clear"/>
            <w:vAlign w:val="center"/>
          </w:tcPr>
          <w:p>
            <w:pPr>
              <w:pStyle w:val="TableContents"/>
              <w:bidi w:val="0"/>
              <w:spacing w:before="0" w:after="283"/>
              <w:jc w:val="left"/>
            </w:pPr>
            <w:r>
              <w:t> </w:t>
            </w:r>
          </w:p>
        </w:tc>
      </w:tr>
      <w:tr>
        <w:tc>
          <w:tcPr>
            <w:tcW w:w="39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Decisyon, Inc. (12)</w:t>
            </w:r>
          </w:p>
        </w:tc>
        <w:tc>
          <w:tcPr>
            <w:tcW w:w="60" w:type="dxa"/>
            <w:tcBorders/>
            <w:shd w:fill="CCEEFF" w:val="clear"/>
            <w:vAlign w:val="center"/>
          </w:tcPr>
          <w:p>
            <w:pPr>
              <w:pStyle w:val="TableContents"/>
              <w:bidi w:val="0"/>
              <w:spacing w:before="0" w:after="283"/>
              <w:ind w:left="0" w:right="0" w:hanging="0"/>
              <w:jc w:val="left"/>
            </w:pPr>
            <w:r>
              <w:t> </w:t>
            </w:r>
          </w:p>
        </w:tc>
        <w:tc>
          <w:tcPr>
            <w:tcW w:w="176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77" w:type="dxa"/>
            <w:tcBorders/>
            <w:shd w:fill="CCEEFF" w:val="clear"/>
            <w:vAlign w:val="center"/>
          </w:tcPr>
          <w:p>
            <w:pPr>
              <w:pStyle w:val="TableContents"/>
              <w:bidi w:val="0"/>
              <w:spacing w:before="0" w:after="283"/>
              <w:jc w:val="left"/>
            </w:pPr>
            <w:r>
              <w:t> </w:t>
            </w:r>
          </w:p>
        </w:tc>
      </w:tr>
      <w:tr>
        <w:tc>
          <w:tcPr>
            <w:tcW w:w="39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Kodiak Robotics, Inc. (2)(5)</w:t>
            </w:r>
          </w:p>
        </w:tc>
        <w:tc>
          <w:tcPr>
            <w:tcW w:w="60" w:type="dxa"/>
            <w:tcBorders/>
            <w:shd w:fill="FFFFFF" w:val="clear"/>
            <w:vAlign w:val="center"/>
          </w:tcPr>
          <w:p>
            <w:pPr>
              <w:pStyle w:val="TableContents"/>
              <w:bidi w:val="0"/>
              <w:spacing w:before="0" w:after="283"/>
              <w:ind w:left="0" w:right="0" w:hanging="0"/>
              <w:jc w:val="left"/>
            </w:pPr>
            <w:r>
              <w:t> </w:t>
            </w:r>
          </w:p>
        </w:tc>
        <w:tc>
          <w:tcPr>
            <w:tcW w:w="176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Software</w:t>
            </w:r>
          </w:p>
        </w:tc>
        <w:tc>
          <w:tcPr>
            <w:tcW w:w="6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338,798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3,700</w:t>
            </w:r>
          </w:p>
        </w:tc>
        <w:tc>
          <w:tcPr>
            <w:tcW w:w="77" w:type="dxa"/>
            <w:tcBorders/>
            <w:shd w:fill="FFFFFF" w:val="clear"/>
            <w:vAlign w:val="center"/>
          </w:tcPr>
          <w:p>
            <w:pPr>
              <w:pStyle w:val="TableContents"/>
              <w:bidi w:val="0"/>
              <w:spacing w:before="0" w:after="283"/>
              <w:jc w:val="left"/>
            </w:pPr>
            <w:r>
              <w:t> </w:t>
            </w:r>
          </w:p>
        </w:tc>
      </w:tr>
      <w:tr>
        <w:tc>
          <w:tcPr>
            <w:tcW w:w="7183"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Total Non-Affiliate Equity</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67" w:type="dxa"/>
            <w:tcBorders>
              <w:top w:val="single" w:sz="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8,639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top w:val="single" w:sz="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6,716</w:t>
            </w:r>
          </w:p>
        </w:tc>
        <w:tc>
          <w:tcPr>
            <w:tcW w:w="77" w:type="dxa"/>
            <w:tcBorders/>
            <w:shd w:fill="CCEEFF" w:val="clear"/>
            <w:vAlign w:val="center"/>
          </w:tcPr>
          <w:p>
            <w:pPr>
              <w:pStyle w:val="TableContents"/>
              <w:bidi w:val="0"/>
              <w:spacing w:before="0" w:after="283"/>
              <w:jc w:val="left"/>
            </w:pPr>
            <w:r>
              <w:t> </w:t>
            </w:r>
          </w:p>
        </w:tc>
      </w:tr>
      <w:tr>
        <w:tc>
          <w:tcPr>
            <w:tcW w:w="7183"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14"/>
              </w:rPr>
              <w:t>Total Non-Affiliate Portfolio Investment Assets</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86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616,236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584,100</w:t>
            </w:r>
          </w:p>
        </w:tc>
        <w:tc>
          <w:tcPr>
            <w:tcW w:w="77"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49"/>
        <w:gridCol w:w="60"/>
        <w:gridCol w:w="1202"/>
        <w:gridCol w:w="60"/>
        <w:gridCol w:w="790"/>
        <w:gridCol w:w="60"/>
        <w:gridCol w:w="65"/>
        <w:gridCol w:w="410"/>
        <w:gridCol w:w="222"/>
        <w:gridCol w:w="60"/>
        <w:gridCol w:w="365"/>
        <w:gridCol w:w="60"/>
        <w:gridCol w:w="84"/>
        <w:gridCol w:w="386"/>
        <w:gridCol w:w="125"/>
        <w:gridCol w:w="60"/>
        <w:gridCol w:w="60"/>
        <w:gridCol w:w="350"/>
        <w:gridCol w:w="125"/>
        <w:gridCol w:w="60"/>
        <w:gridCol w:w="85"/>
        <w:gridCol w:w="370"/>
        <w:gridCol w:w="60"/>
        <w:gridCol w:w="60"/>
        <w:gridCol w:w="66"/>
        <w:gridCol w:w="303"/>
        <w:gridCol w:w="125"/>
        <w:gridCol w:w="705"/>
        <w:gridCol w:w="60"/>
        <w:gridCol w:w="139"/>
        <w:gridCol w:w="516"/>
        <w:gridCol w:w="60"/>
        <w:gridCol w:w="60"/>
        <w:gridCol w:w="158"/>
        <w:gridCol w:w="713"/>
        <w:gridCol w:w="60"/>
        <w:gridCol w:w="60"/>
        <w:gridCol w:w="104"/>
        <w:gridCol w:w="468"/>
        <w:gridCol w:w="80"/>
      </w:tblGrid>
      <w:tr>
        <w:tc>
          <w:tcPr>
            <w:tcW w:w="134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tcMar>
              <w:bottom w:w="0" w:type="dxa"/>
            </w:tcMar>
            <w:vAlign w:val="center"/>
          </w:tcPr>
          <w:p>
            <w:pPr>
              <w:pStyle w:val="TableContents"/>
              <w:bidi w:val="0"/>
              <w:spacing w:before="0" w:after="283"/>
              <w:ind w:left="0" w:right="0" w:hanging="0"/>
              <w:jc w:val="center"/>
            </w:pPr>
            <w:r>
              <w:t> </w:t>
            </w:r>
          </w:p>
        </w:tc>
        <w:tc>
          <w:tcPr>
            <w:tcW w:w="120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Sector</w:t>
            </w:r>
          </w:p>
        </w:tc>
        <w:tc>
          <w:tcPr>
            <w:tcW w:w="60" w:type="dxa"/>
            <w:tcBorders/>
            <w:tcMar>
              <w:bottom w:w="0" w:type="dxa"/>
            </w:tcMar>
            <w:vAlign w:val="center"/>
          </w:tcPr>
          <w:p>
            <w:pPr>
              <w:pStyle w:val="TableContents"/>
              <w:bidi w:val="0"/>
              <w:spacing w:before="0" w:after="283"/>
              <w:ind w:left="0" w:right="0" w:hanging="0"/>
              <w:jc w:val="center"/>
            </w:pPr>
            <w:r>
              <w:t> </w:t>
            </w:r>
          </w:p>
        </w:tc>
        <w:tc>
          <w:tcPr>
            <w:tcW w:w="7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Type of Investment (7)</w:t>
            </w:r>
          </w:p>
        </w:tc>
        <w:tc>
          <w:tcPr>
            <w:tcW w:w="60" w:type="dxa"/>
            <w:tcBorders/>
            <w:tcMar>
              <w:bottom w:w="0" w:type="dxa"/>
            </w:tcMar>
            <w:vAlign w:val="center"/>
          </w:tcPr>
          <w:p>
            <w:pPr>
              <w:pStyle w:val="TableContents"/>
              <w:bidi w:val="0"/>
              <w:spacing w:before="0" w:after="283"/>
              <w:ind w:left="0" w:right="0" w:hanging="0"/>
              <w:jc w:val="left"/>
            </w:pPr>
            <w:r>
              <w:t> </w:t>
            </w:r>
          </w:p>
        </w:tc>
        <w:tc>
          <w:tcPr>
            <w:tcW w:w="4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Cash Rate (4)</w:t>
            </w:r>
          </w:p>
        </w:tc>
        <w:tc>
          <w:tcPr>
            <w:tcW w:w="222" w:type="dxa"/>
            <w:tcBorders/>
            <w:tcMar>
              <w:bottom w:w="0" w:type="dxa"/>
            </w:tcMar>
            <w:vAlign w:val="center"/>
          </w:tcPr>
          <w:p>
            <w:pPr>
              <w:pStyle w:val="TableContents"/>
              <w:bidi w:val="0"/>
              <w:spacing w:before="0" w:after="283"/>
              <w:ind w:left="0" w:right="0" w:hanging="0"/>
              <w:jc w:val="left"/>
            </w:pPr>
            <w:r>
              <w:t> </w:t>
            </w:r>
          </w:p>
        </w:tc>
        <w:tc>
          <w:tcPr>
            <w:tcW w:w="60" w:type="dxa"/>
            <w:tcBorders/>
            <w:tcMar>
              <w:bottom w:w="0" w:type="dxa"/>
            </w:tcMar>
            <w:vAlign w:val="center"/>
          </w:tcPr>
          <w:p>
            <w:pPr>
              <w:pStyle w:val="TableContents"/>
              <w:bidi w:val="0"/>
              <w:spacing w:before="0" w:after="283"/>
              <w:ind w:left="0" w:right="0" w:hanging="0"/>
              <w:jc w:val="center"/>
            </w:pPr>
            <w:r>
              <w:t> </w:t>
            </w:r>
          </w:p>
        </w:tc>
        <w:tc>
          <w:tcPr>
            <w:tcW w:w="3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Index</w:t>
            </w:r>
          </w:p>
        </w:tc>
        <w:tc>
          <w:tcPr>
            <w:tcW w:w="60" w:type="dxa"/>
            <w:tcBorders/>
            <w:tcMar>
              <w:bottom w:w="0" w:type="dxa"/>
            </w:tcMar>
            <w:vAlign w:val="center"/>
          </w:tcPr>
          <w:p>
            <w:pPr>
              <w:pStyle w:val="TableContents"/>
              <w:bidi w:val="0"/>
              <w:spacing w:before="0" w:after="283"/>
              <w:ind w:left="0" w:right="0" w:hanging="0"/>
              <w:jc w:val="left"/>
            </w:pPr>
            <w:r>
              <w:t> </w:t>
            </w:r>
          </w:p>
        </w:tc>
        <w:tc>
          <w:tcPr>
            <w:tcW w:w="4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Margin</w:t>
            </w:r>
          </w:p>
        </w:tc>
        <w:tc>
          <w:tcPr>
            <w:tcW w:w="12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4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Floor</w:t>
            </w:r>
          </w:p>
        </w:tc>
        <w:tc>
          <w:tcPr>
            <w:tcW w:w="12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Ceiling</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3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ETP (10)</w:t>
            </w:r>
          </w:p>
        </w:tc>
        <w:tc>
          <w:tcPr>
            <w:tcW w:w="125" w:type="dxa"/>
            <w:tcBorders/>
            <w:tcMar>
              <w:bottom w:w="0" w:type="dxa"/>
            </w:tcMar>
            <w:vAlign w:val="center"/>
          </w:tcPr>
          <w:p>
            <w:pPr>
              <w:pStyle w:val="TableContents"/>
              <w:bidi w:val="0"/>
              <w:spacing w:before="0" w:after="283"/>
              <w:ind w:left="0" w:right="0" w:hanging="0"/>
              <w:jc w:val="left"/>
            </w:pPr>
            <w:r>
              <w:t> </w:t>
            </w:r>
          </w:p>
        </w:tc>
        <w:tc>
          <w:tcPr>
            <w:tcW w:w="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Maturity Date</w:t>
            </w:r>
          </w:p>
        </w:tc>
        <w:tc>
          <w:tcPr>
            <w:tcW w:w="60" w:type="dxa"/>
            <w:tcBorders/>
            <w:tcMar>
              <w:bottom w:w="0" w:type="dxa"/>
            </w:tcMar>
            <w:vAlign w:val="center"/>
          </w:tcPr>
          <w:p>
            <w:pPr>
              <w:pStyle w:val="TableContents"/>
              <w:bidi w:val="0"/>
              <w:spacing w:before="0" w:after="283"/>
              <w:ind w:left="0" w:right="0" w:hanging="0"/>
              <w:jc w:val="left"/>
            </w:pPr>
            <w:r>
              <w:t> </w:t>
            </w:r>
          </w:p>
        </w:tc>
        <w:tc>
          <w:tcPr>
            <w:tcW w:w="6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Principal Amount</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87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Cost of Investments (6)(9)</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57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Fair Value (9)</w:t>
            </w:r>
          </w:p>
        </w:tc>
        <w:tc>
          <w:tcPr>
            <w:tcW w:w="80" w:type="dxa"/>
            <w:tcBorders/>
            <w:tcMar>
              <w:bottom w:w="0" w:type="dxa"/>
            </w:tcMar>
            <w:vAlign w:val="center"/>
          </w:tcPr>
          <w:p>
            <w:pPr>
              <w:pStyle w:val="TableContents"/>
              <w:bidi w:val="0"/>
              <w:spacing w:before="0" w:after="283"/>
              <w:jc w:val="left"/>
            </w:pPr>
            <w:r>
              <w:t> </w:t>
            </w:r>
          </w:p>
        </w:tc>
      </w:tr>
      <w:tr>
        <w:tc>
          <w:tcPr>
            <w:tcW w:w="134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b/>
                <w:caps w:val="false"/>
                <w:smallCaps w:val="false"/>
                <w:sz w:val="14"/>
              </w:rPr>
              <w:t xml:space="preserve">Non-Controlled Affiliate Investments </w:t>
            </w:r>
            <w:r>
              <w:rPr>
                <w:rFonts w:ascii="Times New Roman;Times;serif" w:hAnsi="Times New Roman;Times;serif"/>
                <w:caps w:val="false"/>
                <w:smallCaps w:val="false"/>
                <w:sz w:val="14"/>
              </w:rPr>
              <w:t xml:space="preserve">— </w:t>
            </w:r>
            <w:r>
              <w:rPr>
                <w:rFonts w:ascii="Times New Roman;Times;serif" w:hAnsi="Times New Roman;Times;serif"/>
                <w:b/>
                <w:caps w:val="false"/>
                <w:smallCaps w:val="false"/>
                <w:sz w:val="14"/>
              </w:rPr>
              <w:t>19.9% (8)</w:t>
            </w:r>
          </w:p>
        </w:tc>
        <w:tc>
          <w:tcPr>
            <w:tcW w:w="60" w:type="dxa"/>
            <w:tcBorders/>
            <w:shd w:fill="CCEEFF" w:val="clear"/>
            <w:tcMar>
              <w:bottom w:w="0" w:type="dxa"/>
            </w:tcMar>
            <w:vAlign w:val="center"/>
          </w:tcPr>
          <w:p>
            <w:pPr>
              <w:pStyle w:val="TableContents"/>
              <w:bidi w:val="0"/>
              <w:spacing w:before="0" w:after="283"/>
              <w:jc w:val="left"/>
            </w:pPr>
            <w:r>
              <w:t> </w:t>
            </w:r>
          </w:p>
        </w:tc>
        <w:tc>
          <w:tcPr>
            <w:tcW w:w="120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79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jc w:val="left"/>
            </w:pPr>
            <w:r>
              <w:t> </w:t>
            </w:r>
          </w:p>
        </w:tc>
        <w:tc>
          <w:tcPr>
            <w:tcW w:w="410" w:type="dxa"/>
            <w:tcBorders/>
            <w:shd w:fill="CCEEFF" w:val="clear"/>
            <w:tcMar>
              <w:bottom w:w="0" w:type="dxa"/>
            </w:tcMar>
            <w:vAlign w:val="center"/>
          </w:tcPr>
          <w:p>
            <w:pPr>
              <w:pStyle w:val="TableContents"/>
              <w:bidi w:val="0"/>
              <w:spacing w:before="0" w:after="283"/>
              <w:jc w:val="left"/>
            </w:pPr>
            <w:r>
              <w:t> </w:t>
            </w:r>
          </w:p>
        </w:tc>
        <w:tc>
          <w:tcPr>
            <w:tcW w:w="22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6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jc w:val="left"/>
            </w:pPr>
            <w:r>
              <w:t> </w:t>
            </w:r>
          </w:p>
        </w:tc>
        <w:tc>
          <w:tcPr>
            <w:tcW w:w="386"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50"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jc w:val="left"/>
            </w:pPr>
            <w:r>
              <w:t> </w:t>
            </w:r>
          </w:p>
        </w:tc>
        <w:tc>
          <w:tcPr>
            <w:tcW w:w="37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303" w:type="dxa"/>
            <w:tcBorders/>
            <w:shd w:fill="CCEEFF" w:val="clear"/>
            <w:tcMar>
              <w:bottom w:w="0" w:type="dxa"/>
            </w:tcMar>
            <w:vAlign w:val="center"/>
          </w:tcPr>
          <w:p>
            <w:pPr>
              <w:pStyle w:val="TableContents"/>
              <w:bidi w:val="0"/>
              <w:spacing w:before="0" w:after="283"/>
              <w:jc w:val="left"/>
            </w:pPr>
            <w:r>
              <w:t> </w:t>
            </w:r>
          </w:p>
        </w:tc>
        <w:tc>
          <w:tcPr>
            <w:tcW w:w="125"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jc w:val="left"/>
            </w:pPr>
            <w:r>
              <w:t> </w:t>
            </w:r>
          </w:p>
        </w:tc>
        <w:tc>
          <w:tcPr>
            <w:tcW w:w="516"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jc w:val="left"/>
            </w:pPr>
            <w:r>
              <w:t> </w:t>
            </w:r>
          </w:p>
        </w:tc>
        <w:tc>
          <w:tcPr>
            <w:tcW w:w="71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jc w:val="left"/>
            </w:pPr>
            <w:r>
              <w:t> </w:t>
            </w:r>
          </w:p>
        </w:tc>
        <w:tc>
          <w:tcPr>
            <w:tcW w:w="468" w:type="dxa"/>
            <w:tcBorders/>
            <w:shd w:fill="CCEEFF" w:val="clear"/>
            <w:tcMar>
              <w:bottom w:w="0" w:type="dxa"/>
            </w:tcMar>
            <w:vAlign w:val="center"/>
          </w:tcPr>
          <w:p>
            <w:pPr>
              <w:pStyle w:val="TableContents"/>
              <w:bidi w:val="0"/>
              <w:spacing w:before="0" w:after="283"/>
              <w:jc w:val="left"/>
            </w:pPr>
            <w:r>
              <w:t> </w:t>
            </w:r>
          </w:p>
        </w:tc>
        <w:tc>
          <w:tcPr>
            <w:tcW w:w="80" w:type="dxa"/>
            <w:tcBorders/>
            <w:shd w:fill="CCEEFF" w:val="clear"/>
            <w:tcMar>
              <w:bottom w:w="0" w:type="dxa"/>
            </w:tcMar>
            <w:vAlign w:val="center"/>
          </w:tcPr>
          <w:p>
            <w:pPr>
              <w:pStyle w:val="TableContents"/>
              <w:bidi w:val="0"/>
              <w:spacing w:before="0" w:after="283"/>
              <w:jc w:val="left"/>
            </w:pPr>
            <w:r>
              <w:t> </w:t>
            </w:r>
          </w:p>
        </w:tc>
      </w:tr>
      <w:tr>
        <w:tc>
          <w:tcPr>
            <w:tcW w:w="134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b/>
                <w:caps w:val="false"/>
                <w:smallCaps w:val="false"/>
                <w:sz w:val="14"/>
              </w:rPr>
              <w:t xml:space="preserve">Non-Controlled Affiliate Debt Investments </w:t>
            </w:r>
            <w:r>
              <w:rPr>
                <w:rFonts w:ascii="Times New Roman;Times;serif" w:hAnsi="Times New Roman;Times;serif"/>
                <w:caps w:val="false"/>
                <w:smallCaps w:val="false"/>
                <w:sz w:val="14"/>
              </w:rPr>
              <w:t xml:space="preserve">— </w:t>
            </w:r>
            <w:r>
              <w:rPr>
                <w:rFonts w:ascii="Times New Roman;Times;serif" w:hAnsi="Times New Roman;Times;serif"/>
                <w:b/>
                <w:caps w:val="false"/>
                <w:smallCaps w:val="false"/>
                <w:sz w:val="14"/>
              </w:rPr>
              <w:t>11.7% (8)</w:t>
            </w:r>
          </w:p>
        </w:tc>
        <w:tc>
          <w:tcPr>
            <w:tcW w:w="60" w:type="dxa"/>
            <w:tcBorders/>
            <w:shd w:fill="FFFFFF" w:val="clear"/>
            <w:tcMar>
              <w:bottom w:w="0" w:type="dxa"/>
            </w:tcMar>
            <w:vAlign w:val="center"/>
          </w:tcPr>
          <w:p>
            <w:pPr>
              <w:pStyle w:val="TableContents"/>
              <w:bidi w:val="0"/>
              <w:spacing w:before="0" w:after="283"/>
              <w:jc w:val="left"/>
            </w:pPr>
            <w:r>
              <w:t> </w:t>
            </w:r>
          </w:p>
        </w:tc>
        <w:tc>
          <w:tcPr>
            <w:tcW w:w="120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79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jc w:val="left"/>
            </w:pPr>
            <w:r>
              <w:t> </w:t>
            </w:r>
          </w:p>
        </w:tc>
        <w:tc>
          <w:tcPr>
            <w:tcW w:w="410" w:type="dxa"/>
            <w:tcBorders/>
            <w:shd w:fill="FFFFFF" w:val="clear"/>
            <w:tcMar>
              <w:bottom w:w="0" w:type="dxa"/>
            </w:tcMar>
            <w:vAlign w:val="center"/>
          </w:tcPr>
          <w:p>
            <w:pPr>
              <w:pStyle w:val="TableContents"/>
              <w:bidi w:val="0"/>
              <w:spacing w:before="0" w:after="283"/>
              <w:jc w:val="left"/>
            </w:pPr>
            <w:r>
              <w:t> </w:t>
            </w:r>
          </w:p>
        </w:tc>
        <w:tc>
          <w:tcPr>
            <w:tcW w:w="22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6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03" w:type="dxa"/>
            <w:tcBorders/>
            <w:shd w:fill="FFFFFF" w:val="clear"/>
            <w:tcMar>
              <w:bottom w:w="0" w:type="dxa"/>
            </w:tcMar>
            <w:vAlign w:val="center"/>
          </w:tcPr>
          <w:p>
            <w:pPr>
              <w:pStyle w:val="TableContents"/>
              <w:bidi w:val="0"/>
              <w:spacing w:before="0" w:after="283"/>
              <w:jc w:val="left"/>
            </w:pPr>
            <w:r>
              <w:t> </w:t>
            </w:r>
          </w:p>
        </w:tc>
        <w:tc>
          <w:tcPr>
            <w:tcW w:w="125"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jc w:val="left"/>
            </w:pPr>
            <w:r>
              <w:t> </w:t>
            </w:r>
          </w:p>
        </w:tc>
        <w:tc>
          <w:tcPr>
            <w:tcW w:w="516"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jc w:val="left"/>
            </w:pPr>
            <w:r>
              <w:t> </w:t>
            </w:r>
          </w:p>
        </w:tc>
        <w:tc>
          <w:tcPr>
            <w:tcW w:w="71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jc w:val="left"/>
            </w:pPr>
            <w:r>
              <w:t> </w:t>
            </w:r>
          </w:p>
        </w:tc>
        <w:tc>
          <w:tcPr>
            <w:tcW w:w="468" w:type="dxa"/>
            <w:tcBorders/>
            <w:shd w:fill="FFFFFF" w:val="clear"/>
            <w:tcMar>
              <w:bottom w:w="0" w:type="dxa"/>
            </w:tcMar>
            <w:vAlign w:val="center"/>
          </w:tcPr>
          <w:p>
            <w:pPr>
              <w:pStyle w:val="TableContents"/>
              <w:bidi w:val="0"/>
              <w:spacing w:before="0" w:after="283"/>
              <w:jc w:val="left"/>
            </w:pPr>
            <w:r>
              <w:t> </w:t>
            </w:r>
          </w:p>
        </w:tc>
        <w:tc>
          <w:tcPr>
            <w:tcW w:w="80" w:type="dxa"/>
            <w:tcBorders/>
            <w:shd w:fill="FFFFFF" w:val="clear"/>
            <w:tcMar>
              <w:bottom w:w="0" w:type="dxa"/>
            </w:tcMar>
            <w:vAlign w:val="center"/>
          </w:tcPr>
          <w:p>
            <w:pPr>
              <w:pStyle w:val="TableContents"/>
              <w:bidi w:val="0"/>
              <w:spacing w:before="0" w:after="283"/>
              <w:jc w:val="left"/>
            </w:pPr>
            <w:r>
              <w:t> </w:t>
            </w:r>
          </w:p>
        </w:tc>
      </w:tr>
      <w:tr>
        <w:tc>
          <w:tcPr>
            <w:tcW w:w="134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Hound Labs II, LLC (12)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02"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Diagnostics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4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12.75%</w:t>
            </w:r>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(11)</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03"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7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2027</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6,789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6,789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6,605</w:t>
            </w:r>
          </w:p>
        </w:tc>
        <w:tc>
          <w:tcPr>
            <w:tcW w:w="80" w:type="dxa"/>
            <w:tcBorders/>
            <w:shd w:fill="CCEEFF" w:val="clear"/>
            <w:tcMar>
              <w:bottom w:w="0" w:type="dxa"/>
            </w:tcMar>
            <w:vAlign w:val="center"/>
          </w:tcPr>
          <w:p>
            <w:pPr>
              <w:pStyle w:val="TableContents"/>
              <w:bidi w:val="0"/>
              <w:spacing w:before="0" w:after="283"/>
              <w:jc w:val="left"/>
            </w:pPr>
            <w:r>
              <w:t> </w:t>
            </w:r>
          </w:p>
        </w:tc>
      </w:tr>
      <w:tr>
        <w:tc>
          <w:tcPr>
            <w:tcW w:w="134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NextCar Holding Company, Inc. (12)(14)</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02"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Fixed</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03"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31, 2026</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2,266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2,266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4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1,079</w:t>
            </w:r>
          </w:p>
        </w:tc>
        <w:tc>
          <w:tcPr>
            <w:tcW w:w="80" w:type="dxa"/>
            <w:tcBorders/>
            <w:shd w:fill="FFFFFF" w:val="clear"/>
            <w:tcMar>
              <w:bottom w:w="0" w:type="dxa"/>
            </w:tcMar>
            <w:vAlign w:val="center"/>
          </w:tcPr>
          <w:p>
            <w:pPr>
              <w:pStyle w:val="TableContents"/>
              <w:bidi w:val="0"/>
              <w:spacing w:before="0" w:after="283"/>
              <w:jc w:val="left"/>
            </w:pPr>
            <w:r>
              <w:t> </w:t>
            </w:r>
          </w:p>
        </w:tc>
      </w:tr>
      <w:tr>
        <w:tc>
          <w:tcPr>
            <w:tcW w:w="134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Nexii, Inc. (12)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02"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4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Fixed</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03"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7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2027</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790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468" w:type="dxa"/>
            <w:tcBorders/>
            <w:shd w:fill="CCEEFF" w:val="clear"/>
            <w:tcMar>
              <w:bottom w:w="0" w:type="dxa"/>
            </w:tcMar>
            <w:vAlign w:val="center"/>
          </w:tcPr>
          <w:p>
            <w:pPr>
              <w:pStyle w:val="TableContents"/>
              <w:bidi w:val="0"/>
              <w:spacing w:before="0" w:after="283"/>
              <w:ind w:left="0" w:right="0" w:hanging="0"/>
              <w:jc w:val="right"/>
            </w:pPr>
            <w:r>
              <w:t>—</w:t>
            </w:r>
          </w:p>
        </w:tc>
        <w:tc>
          <w:tcPr>
            <w:tcW w:w="80" w:type="dxa"/>
            <w:tcBorders/>
            <w:shd w:fill="CCEEFF" w:val="clear"/>
            <w:tcMar>
              <w:bottom w:w="0" w:type="dxa"/>
            </w:tcMar>
            <w:vAlign w:val="center"/>
          </w:tcPr>
          <w:p>
            <w:pPr>
              <w:pStyle w:val="TableContents"/>
              <w:bidi w:val="0"/>
              <w:spacing w:before="0" w:after="283"/>
              <w:jc w:val="left"/>
            </w:pPr>
            <w:r>
              <w:t> </w:t>
            </w:r>
          </w:p>
        </w:tc>
      </w:tr>
      <w:tr>
        <w:tc>
          <w:tcPr>
            <w:tcW w:w="134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2"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10.00</w:t>
            </w:r>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Fixed</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03"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July 1, 2027</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468" w:type="dxa"/>
            <w:tcBorders/>
            <w:shd w:fill="FFFFFF" w:val="clear"/>
            <w:tcMar>
              <w:bottom w:w="0" w:type="dxa"/>
            </w:tcMar>
            <w:vAlign w:val="center"/>
          </w:tcPr>
          <w:p>
            <w:pPr>
              <w:pStyle w:val="TableContents"/>
              <w:bidi w:val="0"/>
              <w:spacing w:before="0" w:after="283"/>
              <w:ind w:left="0" w:right="0" w:hanging="0"/>
              <w:jc w:val="right"/>
            </w:pPr>
            <w:r>
              <w:t>—</w:t>
            </w:r>
          </w:p>
        </w:tc>
        <w:tc>
          <w:tcPr>
            <w:tcW w:w="80" w:type="dxa"/>
            <w:tcBorders/>
            <w:shd w:fill="FFFFFF" w:val="clear"/>
            <w:tcMar>
              <w:bottom w:w="0" w:type="dxa"/>
            </w:tcMar>
            <w:vAlign w:val="center"/>
          </w:tcPr>
          <w:p>
            <w:pPr>
              <w:pStyle w:val="TableContents"/>
              <w:bidi w:val="0"/>
              <w:spacing w:before="0" w:after="283"/>
              <w:jc w:val="left"/>
            </w:pPr>
            <w:r>
              <w:t> </w:t>
            </w:r>
          </w:p>
        </w:tc>
      </w:tr>
      <w:tr>
        <w:tc>
          <w:tcPr>
            <w:tcW w:w="134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Shengrow, Inc. aka Soli Organic, Inc. (2)(12)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02"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Other Sustainability</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 (17)</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4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(11)</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5,246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4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5,246</w:t>
            </w:r>
          </w:p>
        </w:tc>
        <w:tc>
          <w:tcPr>
            <w:tcW w:w="80" w:type="dxa"/>
            <w:tcBorders/>
            <w:shd w:fill="CCEEFF" w:val="clear"/>
            <w:tcMar>
              <w:bottom w:w="0" w:type="dxa"/>
            </w:tcMar>
            <w:vAlign w:val="center"/>
          </w:tcPr>
          <w:p>
            <w:pPr>
              <w:pStyle w:val="TableContents"/>
              <w:bidi w:val="0"/>
              <w:spacing w:before="0" w:after="283"/>
              <w:jc w:val="left"/>
            </w:pPr>
            <w:r>
              <w:t> </w:t>
            </w:r>
          </w:p>
        </w:tc>
      </w:tr>
      <w:tr>
        <w:tc>
          <w:tcPr>
            <w:tcW w:w="134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2"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(11)</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3,497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4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3,447</w:t>
            </w:r>
          </w:p>
        </w:tc>
        <w:tc>
          <w:tcPr>
            <w:tcW w:w="80" w:type="dxa"/>
            <w:tcBorders/>
            <w:shd w:fill="FFFFFF" w:val="clear"/>
            <w:tcMar>
              <w:bottom w:w="0" w:type="dxa"/>
            </w:tcMar>
            <w:vAlign w:val="center"/>
          </w:tcPr>
          <w:p>
            <w:pPr>
              <w:pStyle w:val="TableContents"/>
              <w:bidi w:val="0"/>
              <w:spacing w:before="0" w:after="283"/>
              <w:jc w:val="left"/>
            </w:pPr>
            <w:r>
              <w:t> </w:t>
            </w:r>
          </w:p>
        </w:tc>
      </w:tr>
      <w:tr>
        <w:tc>
          <w:tcPr>
            <w:tcW w:w="134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02"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4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(11)</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1,749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1,724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4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1,724</w:t>
            </w:r>
          </w:p>
        </w:tc>
        <w:tc>
          <w:tcPr>
            <w:tcW w:w="80" w:type="dxa"/>
            <w:tcBorders/>
            <w:shd w:fill="CCEEFF" w:val="clear"/>
            <w:tcMar>
              <w:bottom w:w="0" w:type="dxa"/>
            </w:tcMar>
            <w:vAlign w:val="center"/>
          </w:tcPr>
          <w:p>
            <w:pPr>
              <w:pStyle w:val="TableContents"/>
              <w:bidi w:val="0"/>
              <w:spacing w:before="0" w:after="283"/>
              <w:jc w:val="left"/>
            </w:pPr>
            <w:r>
              <w:t> </w:t>
            </w:r>
          </w:p>
        </w:tc>
      </w:tr>
      <w:tr>
        <w:tc>
          <w:tcPr>
            <w:tcW w:w="134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2"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(11)</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3,497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4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3,447</w:t>
            </w:r>
          </w:p>
        </w:tc>
        <w:tc>
          <w:tcPr>
            <w:tcW w:w="80" w:type="dxa"/>
            <w:tcBorders/>
            <w:shd w:fill="FFFFFF" w:val="clear"/>
            <w:tcMar>
              <w:bottom w:w="0" w:type="dxa"/>
            </w:tcMar>
            <w:vAlign w:val="center"/>
          </w:tcPr>
          <w:p>
            <w:pPr>
              <w:pStyle w:val="TableContents"/>
              <w:bidi w:val="0"/>
              <w:spacing w:before="0" w:after="283"/>
              <w:jc w:val="left"/>
            </w:pPr>
            <w:r>
              <w:t> </w:t>
            </w:r>
          </w:p>
        </w:tc>
      </w:tr>
      <w:tr>
        <w:tc>
          <w:tcPr>
            <w:tcW w:w="134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02"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4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(11)</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1,749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1,723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4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1,723</w:t>
            </w:r>
          </w:p>
        </w:tc>
        <w:tc>
          <w:tcPr>
            <w:tcW w:w="80" w:type="dxa"/>
            <w:tcBorders/>
            <w:shd w:fill="CCEEFF" w:val="clear"/>
            <w:tcMar>
              <w:bottom w:w="0" w:type="dxa"/>
            </w:tcMar>
            <w:vAlign w:val="center"/>
          </w:tcPr>
          <w:p>
            <w:pPr>
              <w:pStyle w:val="TableContents"/>
              <w:bidi w:val="0"/>
              <w:spacing w:before="0" w:after="283"/>
              <w:jc w:val="left"/>
            </w:pPr>
            <w:r>
              <w:t> </w:t>
            </w:r>
          </w:p>
        </w:tc>
      </w:tr>
      <w:tr>
        <w:tc>
          <w:tcPr>
            <w:tcW w:w="134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2"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(11)</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3,497</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4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3,445</w:t>
            </w:r>
          </w:p>
        </w:tc>
        <w:tc>
          <w:tcPr>
            <w:tcW w:w="80" w:type="dxa"/>
            <w:tcBorders/>
            <w:shd w:fill="FFFFFF" w:val="clear"/>
            <w:tcMar>
              <w:bottom w:w="0" w:type="dxa"/>
            </w:tcMar>
            <w:vAlign w:val="center"/>
          </w:tcPr>
          <w:p>
            <w:pPr>
              <w:pStyle w:val="TableContents"/>
              <w:bidi w:val="0"/>
              <w:spacing w:before="0" w:after="283"/>
              <w:jc w:val="left"/>
            </w:pPr>
            <w:r>
              <w:t> </w:t>
            </w:r>
          </w:p>
        </w:tc>
      </w:tr>
      <w:tr>
        <w:tc>
          <w:tcPr>
            <w:tcW w:w="134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02"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Term Loan</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4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(11)</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1, 2028</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1,749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shd w:fill="CCEEFF" w:val="clear"/>
            <w:tcMar>
              <w:bottom w:w="0" w:type="dxa"/>
            </w:tcMar>
            <w:vAlign w:val="center"/>
          </w:tcPr>
          <w:p>
            <w:pPr>
              <w:pStyle w:val="TableContents"/>
              <w:bidi w:val="0"/>
              <w:spacing w:before="0" w:after="283"/>
              <w:ind w:left="0" w:right="0" w:hanging="0"/>
              <w:jc w:val="left"/>
            </w:pPr>
            <w:r>
              <w:t> </w:t>
            </w:r>
          </w:p>
        </w:tc>
        <w:tc>
          <w:tcPr>
            <w:tcW w:w="7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1,722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shd w:fill="CCEEFF" w:val="clear"/>
            <w:tcMar>
              <w:bottom w:w="0" w:type="dxa"/>
            </w:tcMar>
            <w:vAlign w:val="center"/>
          </w:tcPr>
          <w:p>
            <w:pPr>
              <w:pStyle w:val="TableContents"/>
              <w:bidi w:val="0"/>
              <w:spacing w:before="0" w:after="283"/>
              <w:ind w:left="0" w:right="0" w:hanging="0"/>
              <w:jc w:val="left"/>
            </w:pPr>
            <w:r>
              <w:t> </w:t>
            </w:r>
          </w:p>
        </w:tc>
        <w:tc>
          <w:tcPr>
            <w:tcW w:w="4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1,722</w:t>
            </w:r>
          </w:p>
        </w:tc>
        <w:tc>
          <w:tcPr>
            <w:tcW w:w="80" w:type="dxa"/>
            <w:tcBorders/>
            <w:shd w:fill="CCEEFF" w:val="clear"/>
            <w:tcMar>
              <w:bottom w:w="0" w:type="dxa"/>
            </w:tcMar>
            <w:vAlign w:val="center"/>
          </w:tcPr>
          <w:p>
            <w:pPr>
              <w:pStyle w:val="TableContents"/>
              <w:bidi w:val="0"/>
              <w:spacing w:before="0" w:after="283"/>
              <w:jc w:val="left"/>
            </w:pPr>
            <w:r>
              <w:t> </w:t>
            </w:r>
          </w:p>
        </w:tc>
      </w:tr>
      <w:tr>
        <w:tc>
          <w:tcPr>
            <w:tcW w:w="134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02"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90"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Revolver</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ind w:left="0" w:right="0" w:hanging="0"/>
              <w:jc w:val="left"/>
            </w:pPr>
            <w:r>
              <w:t> </w:t>
            </w:r>
          </w:p>
        </w:tc>
        <w:tc>
          <w:tcPr>
            <w:tcW w:w="41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365"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ind w:left="0" w:right="0" w:hanging="0"/>
              <w:jc w:val="left"/>
            </w:pPr>
            <w: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ind w:left="0" w:right="0" w:hanging="0"/>
              <w:jc w:val="left"/>
            </w:pPr>
            <w:r>
              <w:t> </w:t>
            </w:r>
          </w:p>
        </w:tc>
        <w:tc>
          <w:tcPr>
            <w:tcW w:w="370" w:type="dxa"/>
            <w:tcBorders/>
            <w:shd w:fill="FFFFFF" w:val="clear"/>
            <w:tcMar>
              <w:bottom w:w="0" w:type="dxa"/>
            </w:tcMar>
            <w:vAlign w:val="center"/>
          </w:tcPr>
          <w:p>
            <w:pPr>
              <w:pStyle w:val="TableContents"/>
              <w:bidi w:val="0"/>
              <w:spacing w:before="0" w:after="283"/>
              <w:ind w:left="0" w:right="0" w:hanging="0"/>
              <w:jc w:val="right"/>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303" w:type="dxa"/>
            <w:tcBorders/>
            <w:shd w:fill="FFFFFF" w:val="clear"/>
            <w:tcMar>
              <w:bottom w:w="0" w:type="dxa"/>
            </w:tcMar>
            <w:vAlign w:val="center"/>
          </w:tcPr>
          <w:p>
            <w:pPr>
              <w:pStyle w:val="TableContents"/>
              <w:bidi w:val="0"/>
              <w:spacing w:before="0" w:after="283"/>
              <w:ind w:left="0" w:right="0" w:hanging="0"/>
              <w:jc w:val="right"/>
            </w:pPr>
            <w:r>
              <w:t>—</w:t>
            </w:r>
          </w:p>
        </w:tc>
        <w:tc>
          <w:tcPr>
            <w:tcW w:w="125" w:type="dxa"/>
            <w:tcBorders/>
            <w:shd w:fill="FFFFFF" w:val="clear"/>
            <w:tcMar>
              <w:bottom w:w="0" w:type="dxa"/>
            </w:tcMar>
            <w:vAlign w:val="center"/>
          </w:tcPr>
          <w:p>
            <w:pPr>
              <w:pStyle w:val="TableContents"/>
              <w:bidi w:val="0"/>
              <w:spacing w:before="0" w:after="283"/>
              <w:ind w:left="0" w:right="0" w:hanging="0"/>
              <w:jc w:val="left"/>
            </w:pPr>
            <w:r>
              <w:t> </w:t>
            </w:r>
          </w:p>
        </w:tc>
        <w:tc>
          <w:tcPr>
            <w:tcW w:w="7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26, 2026</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ind w:left="0" w:right="0" w:hanging="0"/>
              <w:jc w:val="left"/>
            </w:pPr>
            <w:r>
              <w:t> </w:t>
            </w:r>
          </w:p>
        </w:tc>
        <w:tc>
          <w:tcPr>
            <w:tcW w:w="5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shd w:fill="FFFFFF" w:val="clear"/>
            <w:tcMar>
              <w:bottom w:w="0" w:type="dxa"/>
            </w:tcMar>
            <w:vAlign w:val="center"/>
          </w:tcPr>
          <w:p>
            <w:pPr>
              <w:pStyle w:val="TableContents"/>
              <w:bidi w:val="0"/>
              <w:spacing w:before="0" w:after="283"/>
              <w:ind w:left="0" w:right="0" w:hanging="0"/>
              <w:jc w:val="left"/>
            </w:pPr>
            <w:r>
              <w:t> </w:t>
            </w:r>
          </w:p>
        </w:tc>
        <w:tc>
          <w:tcPr>
            <w:tcW w:w="7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shd w:fill="FFFFFF" w:val="clear"/>
            <w:tcMar>
              <w:bottom w:w="0" w:type="dxa"/>
            </w:tcMar>
            <w:vAlign w:val="center"/>
          </w:tcPr>
          <w:p>
            <w:pPr>
              <w:pStyle w:val="TableContents"/>
              <w:bidi w:val="0"/>
              <w:spacing w:before="0" w:after="283"/>
              <w:ind w:left="0" w:right="0" w:hanging="0"/>
              <w:jc w:val="left"/>
            </w:pPr>
            <w:r>
              <w:t> </w:t>
            </w:r>
          </w:p>
        </w:tc>
        <w:tc>
          <w:tcPr>
            <w:tcW w:w="4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80" w:type="dxa"/>
            <w:tcBorders/>
            <w:shd w:fill="FFFFFF" w:val="clear"/>
            <w:tcMar>
              <w:bottom w:w="0" w:type="dxa"/>
            </w:tcMar>
            <w:vAlign w:val="center"/>
          </w:tcPr>
          <w:p>
            <w:pPr>
              <w:pStyle w:val="TableContents"/>
              <w:bidi w:val="0"/>
              <w:spacing w:before="0" w:after="283"/>
              <w:jc w:val="left"/>
            </w:pPr>
            <w:r>
              <w:t> </w:t>
            </w:r>
          </w:p>
        </w:tc>
      </w:tr>
      <w:tr>
        <w:tc>
          <w:tcPr>
            <w:tcW w:w="134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02"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790"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Revolver</w:t>
            </w:r>
          </w:p>
        </w:tc>
        <w:tc>
          <w:tcPr>
            <w:tcW w:w="60" w:type="dxa"/>
            <w:tcBorders/>
            <w:shd w:fill="CCEEFF" w:val="clear"/>
            <w:tcMar>
              <w:bottom w:w="0" w:type="dxa"/>
            </w:tcMar>
            <w:vAlign w:val="center"/>
          </w:tcPr>
          <w:p>
            <w:pPr>
              <w:pStyle w:val="TableContents"/>
              <w:bidi w:val="0"/>
              <w:spacing w:before="0" w:after="283"/>
              <w:jc w:val="left"/>
            </w:pPr>
            <w:r>
              <w:t> </w:t>
            </w:r>
          </w:p>
        </w:tc>
        <w:tc>
          <w:tcPr>
            <w:tcW w:w="65" w:type="dxa"/>
            <w:tcBorders/>
            <w:shd w:fill="CCEEFF" w:val="clear"/>
            <w:tcMar>
              <w:bottom w:w="0" w:type="dxa"/>
            </w:tcMar>
            <w:vAlign w:val="center"/>
          </w:tcPr>
          <w:p>
            <w:pPr>
              <w:pStyle w:val="TableContents"/>
              <w:bidi w:val="0"/>
              <w:spacing w:before="0" w:after="283"/>
              <w:ind w:left="0" w:right="0" w:hanging="0"/>
              <w:jc w:val="left"/>
            </w:pPr>
            <w:r>
              <w:t> </w:t>
            </w:r>
          </w:p>
        </w:tc>
        <w:tc>
          <w:tcPr>
            <w:tcW w:w="4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11.75</w:t>
            </w:r>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ind w:left="0" w:right="0" w:hanging="0"/>
              <w:jc w:val="center"/>
            </w:pPr>
            <w:r>
              <w:t> </w:t>
            </w:r>
          </w:p>
        </w:tc>
        <w:tc>
          <w:tcPr>
            <w:tcW w:w="365"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4"/>
              </w:rPr>
              <w:t>Prime</w:t>
            </w:r>
          </w:p>
        </w:tc>
        <w:tc>
          <w:tcPr>
            <w:tcW w:w="60" w:type="dxa"/>
            <w:tcBorders/>
            <w:shd w:fill="CCEEFF" w:val="clear"/>
            <w:tcMar>
              <w:bottom w:w="0" w:type="dxa"/>
            </w:tcMar>
            <w:vAlign w:val="center"/>
          </w:tcPr>
          <w:p>
            <w:pPr>
              <w:pStyle w:val="TableContents"/>
              <w:bidi w:val="0"/>
              <w:spacing w:before="0" w:after="283"/>
              <w:jc w:val="left"/>
            </w:pPr>
            <w:r>
              <w:t> </w:t>
            </w:r>
          </w:p>
        </w:tc>
        <w:tc>
          <w:tcPr>
            <w:tcW w:w="84" w:type="dxa"/>
            <w:tcBorders/>
            <w:shd w:fill="CCEEFF" w:val="clear"/>
            <w:tcMar>
              <w:bottom w:w="0" w:type="dxa"/>
            </w:tcMar>
            <w:vAlign w:val="center"/>
          </w:tcPr>
          <w:p>
            <w:pPr>
              <w:pStyle w:val="TableContents"/>
              <w:bidi w:val="0"/>
              <w:spacing w:before="0" w:after="283"/>
              <w:ind w:left="0" w:right="0" w:hanging="0"/>
              <w:jc w:val="left"/>
            </w:pPr>
            <w: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tcMar>
              <w:bottom w:w="0" w:type="dxa"/>
            </w:tcMar>
            <w:vAlign w:val="center"/>
          </w:tcPr>
          <w:p>
            <w:pPr>
              <w:pStyle w:val="TableContents"/>
              <w:bidi w:val="0"/>
              <w:spacing w:before="0" w:after="283"/>
              <w:jc w:val="left"/>
            </w:pPr>
            <w:r>
              <w:t> </w:t>
            </w:r>
          </w:p>
        </w:tc>
        <w:tc>
          <w:tcPr>
            <w:tcW w:w="85" w:type="dxa"/>
            <w:tcBorders/>
            <w:shd w:fill="CCEEFF" w:val="clear"/>
            <w:tcMar>
              <w:bottom w:w="0" w:type="dxa"/>
            </w:tcMar>
            <w:vAlign w:val="center"/>
          </w:tcPr>
          <w:p>
            <w:pPr>
              <w:pStyle w:val="TableContents"/>
              <w:bidi w:val="0"/>
              <w:spacing w:before="0" w:after="283"/>
              <w:ind w:left="0" w:right="0" w:hanging="0"/>
              <w:jc w:val="left"/>
            </w:pPr>
            <w:r>
              <w:t> </w:t>
            </w:r>
          </w:p>
        </w:tc>
        <w:tc>
          <w:tcPr>
            <w:tcW w:w="370"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03" w:type="dxa"/>
            <w:tcBorders/>
            <w:shd w:fill="CCEEFF" w:val="clear"/>
            <w:tcMar>
              <w:bottom w:w="0" w:type="dxa"/>
            </w:tcMar>
            <w:vAlign w:val="center"/>
          </w:tcPr>
          <w:p>
            <w:pPr>
              <w:pStyle w:val="TableContents"/>
              <w:bidi w:val="0"/>
              <w:spacing w:before="0" w:after="283"/>
              <w:ind w:left="0" w:right="0" w:hanging="0"/>
              <w:jc w:val="right"/>
            </w:pPr>
            <w:r>
              <w:t>—</w:t>
            </w:r>
          </w:p>
        </w:tc>
        <w:tc>
          <w:tcPr>
            <w:tcW w:w="125" w:type="dxa"/>
            <w:tcBorders/>
            <w:shd w:fill="CCEEFF" w:val="clear"/>
            <w:tcMar>
              <w:bottom w:w="0" w:type="dxa"/>
            </w:tcMar>
            <w:vAlign w:val="center"/>
          </w:tcPr>
          <w:p>
            <w:pPr>
              <w:pStyle w:val="TableContents"/>
              <w:bidi w:val="0"/>
              <w:spacing w:before="0" w:after="283"/>
              <w:ind w:left="0" w:right="0" w:hanging="0"/>
              <w:jc w:val="left"/>
            </w:pPr>
            <w:r>
              <w:t> </w:t>
            </w:r>
          </w:p>
        </w:tc>
        <w:tc>
          <w:tcPr>
            <w:tcW w:w="7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November 26, 2026</w:t>
            </w:r>
          </w:p>
        </w:tc>
        <w:tc>
          <w:tcPr>
            <w:tcW w:w="60" w:type="dxa"/>
            <w:tcBorders/>
            <w:shd w:fill="CCEEFF" w:val="clear"/>
            <w:tcMar>
              <w:bottom w:w="0" w:type="dxa"/>
            </w:tcMar>
            <w:vAlign w:val="center"/>
          </w:tcPr>
          <w:p>
            <w:pPr>
              <w:pStyle w:val="TableContents"/>
              <w:bidi w:val="0"/>
              <w:spacing w:before="0" w:after="283"/>
              <w:jc w:val="left"/>
            </w:pPr>
            <w:r>
              <w:t> </w:t>
            </w:r>
          </w:p>
        </w:tc>
        <w:tc>
          <w:tcPr>
            <w:tcW w:w="139" w:type="dxa"/>
            <w:tcBorders/>
            <w:shd w:fill="CCEEFF" w:val="clear"/>
            <w:tcMar>
              <w:bottom w:w="0" w:type="dxa"/>
            </w:tcMar>
            <w:vAlign w:val="center"/>
          </w:tcPr>
          <w:p>
            <w:pPr>
              <w:pStyle w:val="TableContents"/>
              <w:bidi w:val="0"/>
              <w:spacing w:before="0" w:after="283"/>
              <w:ind w:left="0" w:right="0" w:hanging="0"/>
              <w:jc w:val="left"/>
            </w:pPr>
            <w:r>
              <w:t> </w:t>
            </w:r>
          </w:p>
        </w:tc>
        <w:tc>
          <w:tcPr>
            <w:tcW w:w="5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58"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71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3,809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46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3,809</w:t>
            </w:r>
          </w:p>
        </w:tc>
        <w:tc>
          <w:tcPr>
            <w:tcW w:w="80" w:type="dxa"/>
            <w:tcBorders/>
            <w:shd w:fill="CCEEFF" w:val="clear"/>
            <w:tcMar>
              <w:bottom w:w="0" w:type="dxa"/>
            </w:tcMar>
            <w:vAlign w:val="center"/>
          </w:tcPr>
          <w:p>
            <w:pPr>
              <w:pStyle w:val="TableContents"/>
              <w:bidi w:val="0"/>
              <w:spacing w:before="0" w:after="283"/>
              <w:jc w:val="left"/>
            </w:pPr>
            <w:r>
              <w:t> </w:t>
            </w:r>
          </w:p>
        </w:tc>
      </w:tr>
      <w:tr>
        <w:tc>
          <w:tcPr>
            <w:tcW w:w="3461" w:type="dxa"/>
            <w:gridSpan w:val="5"/>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Non-Controlled Affiliate Investments</w:t>
            </w:r>
          </w:p>
        </w:tc>
        <w:tc>
          <w:tcPr>
            <w:tcW w:w="60" w:type="dxa"/>
            <w:tcBorders/>
            <w:shd w:fill="FFFFFF" w:val="clear"/>
            <w:tcMar>
              <w:bottom w:w="0" w:type="dxa"/>
            </w:tcMar>
            <w:vAlign w:val="center"/>
          </w:tcPr>
          <w:p>
            <w:pPr>
              <w:pStyle w:val="TableContents"/>
              <w:bidi w:val="0"/>
              <w:spacing w:before="0" w:after="283"/>
              <w:jc w:val="left"/>
            </w:pPr>
            <w:r>
              <w:t> </w:t>
            </w:r>
          </w:p>
        </w:tc>
        <w:tc>
          <w:tcPr>
            <w:tcW w:w="65" w:type="dxa"/>
            <w:tcBorders/>
            <w:shd w:fill="FFFFFF" w:val="clear"/>
            <w:tcMar>
              <w:bottom w:w="0" w:type="dxa"/>
            </w:tcMar>
            <w:vAlign w:val="center"/>
          </w:tcPr>
          <w:p>
            <w:pPr>
              <w:pStyle w:val="TableContents"/>
              <w:bidi w:val="0"/>
              <w:spacing w:before="0" w:after="283"/>
              <w:jc w:val="left"/>
            </w:pPr>
            <w:r>
              <w:t> </w:t>
            </w:r>
          </w:p>
        </w:tc>
        <w:tc>
          <w:tcPr>
            <w:tcW w:w="410" w:type="dxa"/>
            <w:tcBorders/>
            <w:shd w:fill="FFFFFF" w:val="clear"/>
            <w:tcMar>
              <w:bottom w:w="0" w:type="dxa"/>
            </w:tcMar>
            <w:vAlign w:val="center"/>
          </w:tcPr>
          <w:p>
            <w:pPr>
              <w:pStyle w:val="TableContents"/>
              <w:bidi w:val="0"/>
              <w:spacing w:before="0" w:after="283"/>
              <w:jc w:val="right"/>
            </w:pPr>
            <w:r>
              <w:rPr>
                <w:rStyle w:val="Emphasis"/>
              </w:rPr>
              <w:t> </w:t>
            </w:r>
          </w:p>
        </w:tc>
        <w:tc>
          <w:tcPr>
            <w:tcW w:w="22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6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84" w:type="dxa"/>
            <w:tcBorders/>
            <w:shd w:fill="FFFFFF" w:val="clear"/>
            <w:tcMar>
              <w:bottom w:w="0" w:type="dxa"/>
            </w:tcMar>
            <w:vAlign w:val="center"/>
          </w:tcPr>
          <w:p>
            <w:pPr>
              <w:pStyle w:val="TableContents"/>
              <w:bidi w:val="0"/>
              <w:spacing w:before="0" w:after="283"/>
              <w:jc w:val="left"/>
            </w:pPr>
            <w:r>
              <w:t> </w:t>
            </w:r>
          </w:p>
        </w:tc>
        <w:tc>
          <w:tcPr>
            <w:tcW w:w="386"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50"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85" w:type="dxa"/>
            <w:tcBorders/>
            <w:shd w:fill="FFFFFF" w:val="clear"/>
            <w:tcMar>
              <w:bottom w:w="0" w:type="dxa"/>
            </w:tcMar>
            <w:vAlign w:val="center"/>
          </w:tcPr>
          <w:p>
            <w:pPr>
              <w:pStyle w:val="TableContents"/>
              <w:bidi w:val="0"/>
              <w:spacing w:before="0" w:after="283"/>
              <w:jc w:val="left"/>
            </w:pPr>
            <w:r>
              <w:t> </w:t>
            </w:r>
          </w:p>
        </w:tc>
        <w:tc>
          <w:tcPr>
            <w:tcW w:w="370"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66" w:type="dxa"/>
            <w:tcBorders/>
            <w:shd w:fill="FFFFFF" w:val="clear"/>
            <w:tcMar>
              <w:bottom w:w="0" w:type="dxa"/>
            </w:tcMar>
            <w:vAlign w:val="center"/>
          </w:tcPr>
          <w:p>
            <w:pPr>
              <w:pStyle w:val="TableContents"/>
              <w:bidi w:val="0"/>
              <w:spacing w:before="0" w:after="283"/>
              <w:jc w:val="left"/>
            </w:pPr>
            <w:r>
              <w:t> </w:t>
            </w:r>
          </w:p>
        </w:tc>
        <w:tc>
          <w:tcPr>
            <w:tcW w:w="303" w:type="dxa"/>
            <w:tcBorders/>
            <w:shd w:fill="FFFFFF" w:val="clear"/>
            <w:tcMar>
              <w:bottom w:w="0" w:type="dxa"/>
            </w:tcMar>
            <w:vAlign w:val="center"/>
          </w:tcPr>
          <w:p>
            <w:pPr>
              <w:pStyle w:val="TableContents"/>
              <w:bidi w:val="0"/>
              <w:spacing w:before="0" w:after="283"/>
              <w:jc w:val="right"/>
            </w:pPr>
            <w:r>
              <w:rPr>
                <w:rStyle w:val="Emphasis"/>
              </w:rPr>
              <w:t> </w:t>
            </w:r>
          </w:p>
        </w:tc>
        <w:tc>
          <w:tcPr>
            <w:tcW w:w="125"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139" w:type="dxa"/>
            <w:tcBorders/>
            <w:shd w:fill="FFFFFF" w:val="clear"/>
            <w:tcMar>
              <w:bottom w:w="0" w:type="dxa"/>
            </w:tcMar>
            <w:vAlign w:val="center"/>
          </w:tcPr>
          <w:p>
            <w:pPr>
              <w:pStyle w:val="TableContents"/>
              <w:bidi w:val="0"/>
              <w:spacing w:before="0" w:after="283"/>
              <w:jc w:val="left"/>
            </w:pPr>
            <w:r>
              <w:t> </w:t>
            </w:r>
          </w:p>
        </w:tc>
        <w:tc>
          <w:tcPr>
            <w:tcW w:w="516"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58"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71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34,798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46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37,247</w:t>
            </w:r>
          </w:p>
        </w:tc>
        <w:tc>
          <w:tcPr>
            <w:tcW w:w="80"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left"/>
      </w:pPr>
      <w:r>
        <w:t> </w:t>
      </w:r>
    </w:p>
    <w:tbl>
      <w:tblPr>
        <w:tblW w:w="9993" w:type="dxa"/>
        <w:jc w:val="left"/>
        <w:tblInd w:w="0" w:type="dxa"/>
        <w:tblLayout w:type="fixed"/>
        <w:tblCellMar>
          <w:top w:w="0" w:type="dxa"/>
          <w:left w:w="0" w:type="dxa"/>
          <w:bottom w:w="0" w:type="dxa"/>
          <w:right w:w="0" w:type="dxa"/>
        </w:tblCellMar>
      </w:tblPr>
      <w:tblGrid>
        <w:gridCol w:w="3500"/>
        <w:gridCol w:w="60"/>
        <w:gridCol w:w="1880"/>
        <w:gridCol w:w="60"/>
        <w:gridCol w:w="1385"/>
        <w:gridCol w:w="60"/>
        <w:gridCol w:w="96"/>
        <w:gridCol w:w="973"/>
        <w:gridCol w:w="60"/>
        <w:gridCol w:w="60"/>
        <w:gridCol w:w="172"/>
        <w:gridCol w:w="912"/>
        <w:gridCol w:w="60"/>
        <w:gridCol w:w="60"/>
        <w:gridCol w:w="95"/>
        <w:gridCol w:w="500"/>
        <w:gridCol w:w="60"/>
      </w:tblGrid>
      <w:tr>
        <w:tc>
          <w:tcPr>
            <w:tcW w:w="35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Fair</w:t>
            </w:r>
          </w:p>
        </w:tc>
        <w:tc>
          <w:tcPr>
            <w:tcW w:w="60" w:type="dxa"/>
            <w:tcBorders/>
            <w:shd w:fill="FFFFFF" w:val="clear"/>
            <w:vAlign w:val="center"/>
          </w:tcPr>
          <w:p>
            <w:pPr>
              <w:pStyle w:val="TableContents"/>
              <w:bidi w:val="0"/>
              <w:spacing w:before="0" w:after="283"/>
              <w:jc w:val="left"/>
            </w:pPr>
            <w:r>
              <w:t> </w:t>
            </w:r>
          </w:p>
        </w:tc>
      </w:tr>
      <w:tr>
        <w:tc>
          <w:tcPr>
            <w:tcW w:w="35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Portfolio Company (1)(3)</w:t>
            </w:r>
          </w:p>
        </w:tc>
        <w:tc>
          <w:tcPr>
            <w:tcW w:w="60" w:type="dxa"/>
            <w:tcBorders/>
            <w:shd w:fill="FFFFFF" w:val="clear"/>
            <w:vAlign w:val="center"/>
          </w:tcPr>
          <w:p>
            <w:pPr>
              <w:pStyle w:val="TableContents"/>
              <w:bidi w:val="0"/>
              <w:spacing w:before="0" w:after="283"/>
              <w:ind w:left="0" w:right="0" w:hanging="0"/>
              <w:jc w:val="center"/>
            </w:pPr>
            <w:r>
              <w:t> </w:t>
            </w:r>
          </w:p>
        </w:tc>
        <w:tc>
          <w:tcPr>
            <w:tcW w:w="1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Sector</w:t>
            </w:r>
          </w:p>
        </w:tc>
        <w:tc>
          <w:tcPr>
            <w:tcW w:w="60" w:type="dxa"/>
            <w:tcBorders/>
            <w:shd w:fill="FFFFFF" w:val="clear"/>
            <w:vAlign w:val="center"/>
          </w:tcPr>
          <w:p>
            <w:pPr>
              <w:pStyle w:val="TableContents"/>
              <w:bidi w:val="0"/>
              <w:spacing w:before="0" w:after="283"/>
              <w:ind w:left="0" w:right="0" w:hanging="0"/>
              <w:jc w:val="center"/>
            </w:pPr>
            <w:r>
              <w:t> </w:t>
            </w:r>
          </w:p>
        </w:tc>
        <w:tc>
          <w:tcPr>
            <w:tcW w:w="13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Type of Investment (7)</w:t>
            </w:r>
          </w:p>
        </w:tc>
        <w:tc>
          <w:tcPr>
            <w:tcW w:w="60" w:type="dxa"/>
            <w:tcBorders/>
            <w:shd w:fill="FFFFFF" w:val="clear"/>
            <w:vAlign w:val="center"/>
          </w:tcPr>
          <w:p>
            <w:pPr>
              <w:pStyle w:val="TableContents"/>
              <w:bidi w:val="0"/>
              <w:spacing w:before="0" w:after="283"/>
              <w:ind w:left="0" w:right="0" w:hanging="0"/>
              <w:jc w:val="left"/>
            </w:pPr>
            <w: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Number of Shares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Investments (6)(9)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4"/>
              </w:rPr>
              <w:t>Value (9)</w:t>
            </w:r>
          </w:p>
        </w:tc>
        <w:tc>
          <w:tcPr>
            <w:tcW w:w="60" w:type="dxa"/>
            <w:tcBorders/>
            <w:shd w:fill="FFFFFF" w:val="clear"/>
            <w:vAlign w:val="center"/>
          </w:tcPr>
          <w:p>
            <w:pPr>
              <w:pStyle w:val="TableContents"/>
              <w:bidi w:val="0"/>
              <w:spacing w:before="0" w:after="283"/>
              <w:jc w:val="left"/>
            </w:pPr>
            <w:r>
              <w:t> </w:t>
            </w:r>
          </w:p>
        </w:tc>
      </w:tr>
      <w:t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Non-Controlled Affiliate Other Investments — 0.5% (8)</w:t>
            </w:r>
          </w:p>
        </w:tc>
        <w:tc>
          <w:tcPr>
            <w:tcW w:w="60" w:type="dxa"/>
            <w:tcBorders/>
            <w:shd w:fill="CCEEFF" w:val="clear"/>
            <w:vAlign w:val="center"/>
          </w:tcPr>
          <w:p>
            <w:pPr>
              <w:pStyle w:val="TableContents"/>
              <w:bidi w:val="0"/>
              <w:spacing w:before="0" w:after="283"/>
              <w:jc w:val="left"/>
            </w:pPr>
            <w:r>
              <w:t> </w:t>
            </w:r>
          </w:p>
        </w:tc>
        <w:tc>
          <w:tcPr>
            <w:tcW w:w="18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Evelo Holdings, Inc. (2)(5)(12)(15)</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Biotechnology</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Other Investment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20,092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1,486</w:t>
            </w:r>
          </w:p>
        </w:tc>
        <w:tc>
          <w:tcPr>
            <w:tcW w:w="60" w:type="dxa"/>
            <w:tcBorders/>
            <w:shd w:fill="FFFFFF" w:val="clear"/>
            <w:vAlign w:val="center"/>
          </w:tcPr>
          <w:p>
            <w:pPr>
              <w:pStyle w:val="TableContents"/>
              <w:bidi w:val="0"/>
              <w:spacing w:before="0" w:after="283"/>
              <w:jc w:val="left"/>
            </w:pPr>
            <w:r>
              <w:t> </w:t>
            </w:r>
          </w:p>
        </w:tc>
      </w:tr>
      <w:tr>
        <w:tc>
          <w:tcPr>
            <w:tcW w:w="6885"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Total Non-Controlled Affiliate Other Investments</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9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20,092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50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1,486</w:t>
            </w:r>
          </w:p>
        </w:tc>
        <w:tc>
          <w:tcPr>
            <w:tcW w:w="60" w:type="dxa"/>
            <w:tcBorders/>
            <w:shd w:fill="CCEEFF" w:val="clear"/>
            <w:vAlign w:val="center"/>
          </w:tcPr>
          <w:p>
            <w:pPr>
              <w:pStyle w:val="TableContents"/>
              <w:bidi w:val="0"/>
              <w:spacing w:before="0" w:after="283"/>
              <w:jc w:val="left"/>
            </w:pPr>
            <w:r>
              <w:t> </w:t>
            </w:r>
          </w:p>
        </w:tc>
      </w:tr>
      <w:t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Non-controlled Affiliate Equity — 7.7% (8)</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Aulea Medical, Inc. (12)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Medical Device</w:t>
            </w:r>
          </w:p>
        </w:tc>
        <w:tc>
          <w:tcPr>
            <w:tcW w:w="60" w:type="dxa"/>
            <w:tcBorders/>
            <w:shd w:fill="CCEEFF" w:val="clear"/>
            <w:vAlign w:val="center"/>
          </w:tcPr>
          <w:p>
            <w:pPr>
              <w:pStyle w:val="TableContents"/>
              <w:bidi w:val="0"/>
              <w:spacing w:before="0" w:after="283"/>
              <w:ind w:left="0" w:right="0" w:hanging="0"/>
              <w:jc w:val="left"/>
            </w:pPr>
            <w:r>
              <w:t> </w:t>
            </w:r>
          </w:p>
        </w:tc>
        <w:tc>
          <w:tcPr>
            <w:tcW w:w="138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660,537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Evelo Holdings, Inc. (2)(5)(12)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38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Common Stock</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2,164,502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Hound Labs II, LLC (12)</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Diagnostics</w:t>
            </w:r>
          </w:p>
        </w:tc>
        <w:tc>
          <w:tcPr>
            <w:tcW w:w="60" w:type="dxa"/>
            <w:tcBorders/>
            <w:shd w:fill="CCEEFF" w:val="clear"/>
            <w:vAlign w:val="center"/>
          </w:tcPr>
          <w:p>
            <w:pPr>
              <w:pStyle w:val="TableContents"/>
              <w:bidi w:val="0"/>
              <w:spacing w:before="0" w:after="283"/>
              <w:ind w:left="0" w:right="0" w:hanging="0"/>
              <w:jc w:val="left"/>
            </w:pPr>
            <w:r>
              <w:t> </w:t>
            </w:r>
          </w:p>
        </w:tc>
        <w:tc>
          <w:tcPr>
            <w:tcW w:w="138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4,769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4,764</w:t>
            </w:r>
          </w:p>
        </w:tc>
        <w:tc>
          <w:tcPr>
            <w:tcW w:w="60" w:type="dxa"/>
            <w:tcBorders/>
            <w:shd w:fill="CCEEFF" w:val="clear"/>
            <w:vAlign w:val="center"/>
          </w:tcPr>
          <w:p>
            <w:pPr>
              <w:pStyle w:val="TableContents"/>
              <w:bidi w:val="0"/>
              <w:spacing w:before="0" w:after="283"/>
              <w:jc w:val="left"/>
            </w:pPr>
            <w:r>
              <w:t> </w:t>
            </w:r>
          </w:p>
        </w:tc>
      </w:tr>
      <w:t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NextCar Holding Company, Inc. (2)(12)</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Consumer-related Technologies</w:t>
            </w:r>
          </w:p>
        </w:tc>
        <w:tc>
          <w:tcPr>
            <w:tcW w:w="60" w:type="dxa"/>
            <w:tcBorders/>
            <w:shd w:fill="FFFFFF" w:val="clear"/>
            <w:vAlign w:val="center"/>
          </w:tcPr>
          <w:p>
            <w:pPr>
              <w:pStyle w:val="TableContents"/>
              <w:bidi w:val="0"/>
              <w:spacing w:before="0" w:after="283"/>
              <w:ind w:left="0" w:right="0" w:hanging="0"/>
              <w:jc w:val="left"/>
            </w:pPr>
            <w:r>
              <w:t> </w:t>
            </w:r>
          </w:p>
        </w:tc>
        <w:tc>
          <w:tcPr>
            <w:tcW w:w="138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4"/>
              </w:rPr>
              <w:t>Preferred Stock</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2,688,971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50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Nexii, Inc. (2)(12)</w:t>
            </w:r>
          </w:p>
        </w:tc>
        <w:tc>
          <w:tcPr>
            <w:tcW w:w="60" w:type="dxa"/>
            <w:tcBorders/>
            <w:shd w:fill="CCEEFF" w:val="clear"/>
            <w:vAlign w:val="center"/>
          </w:tcPr>
          <w:p>
            <w:pPr>
              <w:pStyle w:val="TableContents"/>
              <w:bidi w:val="0"/>
              <w:spacing w:before="0" w:after="283"/>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Other Sustainability</w:t>
            </w:r>
          </w:p>
        </w:tc>
        <w:tc>
          <w:tcPr>
            <w:tcW w:w="60" w:type="dxa"/>
            <w:tcBorders/>
            <w:shd w:fill="CCEEFF" w:val="clear"/>
            <w:vAlign w:val="center"/>
          </w:tcPr>
          <w:p>
            <w:pPr>
              <w:pStyle w:val="TableContents"/>
              <w:bidi w:val="0"/>
              <w:spacing w:before="0" w:after="283"/>
              <w:jc w:val="left"/>
            </w:pPr>
            <w:r>
              <w:t> </w:t>
            </w:r>
          </w:p>
        </w:tc>
        <w:tc>
          <w:tcPr>
            <w:tcW w:w="138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Preferred Stock</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168,377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9,751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r>
      <w:t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Shengrow, Inc. aka Soli Organic, Inc. (2)(12)</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Other Sustainability</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Common Stock</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4,274,555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1,292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50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1,292</w:t>
            </w:r>
          </w:p>
        </w:tc>
        <w:tc>
          <w:tcPr>
            <w:tcW w:w="60" w:type="dxa"/>
            <w:tcBorders/>
            <w:shd w:fill="FFFFFF" w:val="clear"/>
            <w:vAlign w:val="center"/>
          </w:tcPr>
          <w:p>
            <w:pPr>
              <w:pStyle w:val="TableContents"/>
              <w:bidi w:val="0"/>
              <w:spacing w:before="0" w:after="283"/>
              <w:jc w:val="left"/>
            </w:pPr>
            <w:r>
              <w:t> </w:t>
            </w:r>
          </w:p>
        </w:tc>
      </w:tr>
      <w:t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Shengrow, Inc. aka Soli Organic, Inc. (2)(12)</w:t>
            </w:r>
          </w:p>
        </w:tc>
        <w:tc>
          <w:tcPr>
            <w:tcW w:w="60" w:type="dxa"/>
            <w:tcBorders/>
            <w:shd w:fill="CCEEFF" w:val="clear"/>
            <w:vAlign w:val="center"/>
          </w:tcPr>
          <w:p>
            <w:pPr>
              <w:pStyle w:val="TableContents"/>
              <w:bidi w:val="0"/>
              <w:spacing w:before="0" w:after="283"/>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Other Sustainability</w:t>
            </w:r>
          </w:p>
        </w:tc>
        <w:tc>
          <w:tcPr>
            <w:tcW w:w="60" w:type="dxa"/>
            <w:tcBorders/>
            <w:shd w:fill="CCEEFF" w:val="clear"/>
            <w:vAlign w:val="center"/>
          </w:tcPr>
          <w:p>
            <w:pPr>
              <w:pStyle w:val="TableContents"/>
              <w:bidi w:val="0"/>
              <w:spacing w:before="0" w:after="283"/>
              <w:jc w:val="left"/>
            </w:pPr>
            <w:r>
              <w:t> </w:t>
            </w:r>
          </w:p>
        </w:tc>
        <w:tc>
          <w:tcPr>
            <w:tcW w:w="1385"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Preferred Stock</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1,964,733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1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13,209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18,355</w:t>
            </w:r>
          </w:p>
        </w:tc>
        <w:tc>
          <w:tcPr>
            <w:tcW w:w="60" w:type="dxa"/>
            <w:tcBorders/>
            <w:shd w:fill="CCEEFF" w:val="clear"/>
            <w:vAlign w:val="center"/>
          </w:tcPr>
          <w:p>
            <w:pPr>
              <w:pStyle w:val="TableContents"/>
              <w:bidi w:val="0"/>
              <w:spacing w:before="0" w:after="283"/>
              <w:jc w:val="left"/>
            </w:pPr>
            <w:r>
              <w:t> </w:t>
            </w:r>
          </w:p>
        </w:tc>
      </w:tr>
      <w:tr>
        <w:tc>
          <w:tcPr>
            <w:tcW w:w="6885" w:type="dxa"/>
            <w:gridSpan w:val="5"/>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Total Non-Controlled Affiliate Equity</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1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34,016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0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24,411</w:t>
            </w:r>
          </w:p>
        </w:tc>
        <w:tc>
          <w:tcPr>
            <w:tcW w:w="60" w:type="dxa"/>
            <w:tcBorders/>
            <w:shd w:fill="FFFFFF" w:val="clear"/>
            <w:vAlign w:val="center"/>
          </w:tcPr>
          <w:p>
            <w:pPr>
              <w:pStyle w:val="TableContents"/>
              <w:bidi w:val="0"/>
              <w:spacing w:before="0" w:after="283"/>
              <w:jc w:val="left"/>
            </w:pPr>
            <w:r>
              <w:t> </w:t>
            </w:r>
          </w:p>
        </w:tc>
      </w:tr>
      <w:t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Non-controlled Affiliate Warrants — 0.0% (8)</w:t>
            </w:r>
          </w:p>
        </w:tc>
        <w:tc>
          <w:tcPr>
            <w:tcW w:w="60" w:type="dxa"/>
            <w:tcBorders/>
            <w:shd w:fill="CCEEFF" w:val="clear"/>
            <w:vAlign w:val="center"/>
          </w:tcPr>
          <w:p>
            <w:pPr>
              <w:pStyle w:val="TableContents"/>
              <w:bidi w:val="0"/>
              <w:spacing w:before="0" w:after="283"/>
              <w:jc w:val="left"/>
            </w:pPr>
            <w:r>
              <w:t> </w:t>
            </w:r>
          </w:p>
        </w:tc>
        <w:tc>
          <w:tcPr>
            <w:tcW w:w="18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50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Evelo Holdings, Inc. (2)(5)(12)</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Biotechnology</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sz w:val="14"/>
              </w:rPr>
              <w:t>Common Stock Warrant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23,196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1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127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00" w:type="dxa"/>
            <w:tcBorders>
              <w:bottom w:val="single" w:sz="2" w:space="0" w:color="000000"/>
            </w:tcBorders>
            <w:shd w:fill="FFFFFF" w:val="clear"/>
            <w:tcMar>
              <w:bottom w:w="28" w:type="dxa"/>
            </w:tcMar>
            <w:vAlign w:val="center"/>
          </w:tcPr>
          <w:p>
            <w:pPr>
              <w:pStyle w:val="TableContents"/>
              <w:bidi w:val="0"/>
              <w:spacing w:before="0" w:after="0"/>
              <w:jc w:val="right"/>
            </w:pPr>
            <w:r>
              <w:t>—</w:t>
            </w:r>
          </w:p>
        </w:tc>
        <w:tc>
          <w:tcPr>
            <w:tcW w:w="60" w:type="dxa"/>
            <w:tcBorders/>
            <w:shd w:fill="FFFFFF" w:val="clear"/>
            <w:vAlign w:val="center"/>
          </w:tcPr>
          <w:p>
            <w:pPr>
              <w:pStyle w:val="TableContents"/>
              <w:bidi w:val="0"/>
              <w:spacing w:before="0" w:after="283"/>
              <w:jc w:val="left"/>
            </w:pPr>
            <w:r>
              <w:t> </w:t>
            </w:r>
          </w:p>
        </w:tc>
      </w:tr>
      <w:tr>
        <w:tc>
          <w:tcPr>
            <w:tcW w:w="6885" w:type="dxa"/>
            <w:gridSpan w:val="5"/>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sz w:val="14"/>
              </w:rPr>
              <w:t>Total Non-Controlled Affiliate Warrants</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73"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1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127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0" w:type="dxa"/>
            <w:tcBorders>
              <w:bottom w:val="single" w:sz="2" w:space="0" w:color="000000"/>
            </w:tcBorders>
            <w:shd w:fill="CCEEFF" w:val="clear"/>
            <w:tcMar>
              <w:bottom w:w="28" w:type="dxa"/>
            </w:tcMar>
            <w:vAlign w:val="center"/>
          </w:tcPr>
          <w:p>
            <w:pPr>
              <w:pStyle w:val="TableContents"/>
              <w:bidi w:val="0"/>
              <w:spacing w:before="0" w:after="0"/>
              <w:jc w:val="right"/>
            </w:pPr>
            <w:r>
              <w:t>—</w:t>
            </w:r>
          </w:p>
        </w:tc>
        <w:tc>
          <w:tcPr>
            <w:tcW w:w="60" w:type="dxa"/>
            <w:tcBorders/>
            <w:shd w:fill="CCEEFF" w:val="clear"/>
            <w:vAlign w:val="center"/>
          </w:tcPr>
          <w:p>
            <w:pPr>
              <w:pStyle w:val="TableContents"/>
              <w:bidi w:val="0"/>
              <w:spacing w:before="0" w:after="283"/>
              <w:jc w:val="left"/>
            </w:pPr>
            <w:r>
              <w:t> </w:t>
            </w:r>
          </w:p>
        </w:tc>
      </w:tr>
      <w:t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Non-Controlled Affiliate Portfolio Investment Assets</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973"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89,033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4"/>
              </w:rPr>
            </w:pPr>
            <w:r>
              <w:rPr>
                <w:rFonts w:ascii="Times New Roman;Times;serif" w:hAnsi="Times New Roman;Times;serif"/>
                <w:sz w:val="14"/>
              </w:rPr>
              <w:t>63,144</w:t>
            </w:r>
          </w:p>
        </w:tc>
        <w:tc>
          <w:tcPr>
            <w:tcW w:w="60" w:type="dxa"/>
            <w:tcBorders/>
            <w:shd w:fill="FFFFFF" w:val="clear"/>
            <w:vAlign w:val="center"/>
          </w:tcPr>
          <w:p>
            <w:pPr>
              <w:pStyle w:val="TableContents"/>
              <w:bidi w:val="0"/>
              <w:spacing w:before="0" w:after="283"/>
              <w:ind w:left="0" w:right="0" w:hanging="0"/>
              <w:jc w:val="left"/>
            </w:pPr>
            <w:r>
              <w:t> </w:t>
            </w:r>
          </w:p>
        </w:tc>
      </w:tr>
      <w:t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Portfolio Investment Assets — 203.2% (8)</w:t>
            </w:r>
          </w:p>
        </w:tc>
        <w:tc>
          <w:tcPr>
            <w:tcW w:w="60" w:type="dxa"/>
            <w:tcBorders/>
            <w:shd w:fill="CCEEFF" w:val="clear"/>
            <w:vAlign w:val="center"/>
          </w:tcPr>
          <w:p>
            <w:pPr>
              <w:pStyle w:val="TableContents"/>
              <w:bidi w:val="0"/>
              <w:spacing w:before="0" w:after="0"/>
              <w:ind w:left="0" w:right="0" w:hanging="0"/>
              <w:jc w:val="left"/>
            </w:pPr>
            <w:r>
              <w:t> </w:t>
            </w:r>
          </w:p>
        </w:tc>
        <w:tc>
          <w:tcPr>
            <w:tcW w:w="1880" w:type="dxa"/>
            <w:tcBorders/>
            <w:shd w:fill="CCEEFF" w:val="clear"/>
            <w:vAlign w:val="center"/>
          </w:tcPr>
          <w:p>
            <w:pPr>
              <w:pStyle w:val="TableContents"/>
              <w:bidi w:val="0"/>
              <w:spacing w:before="0" w:after="0"/>
              <w:ind w:left="0" w:right="0" w:hanging="0"/>
              <w:jc w:val="left"/>
            </w:pPr>
            <w:r>
              <w:rPr>
                <w:rStyle w:val="Emphasis"/>
              </w:rPr>
              <w:t> </w:t>
            </w:r>
          </w:p>
        </w:tc>
        <w:tc>
          <w:tcPr>
            <w:tcW w:w="60" w:type="dxa"/>
            <w:tcBorders/>
            <w:shd w:fill="CCEEFF" w:val="clear"/>
            <w:vAlign w:val="center"/>
          </w:tcPr>
          <w:p>
            <w:pPr>
              <w:pStyle w:val="TableContents"/>
              <w:bidi w:val="0"/>
              <w:spacing w:before="0" w:after="0"/>
              <w:ind w:left="0" w:right="0" w:hanging="0"/>
              <w:jc w:val="left"/>
            </w:pPr>
            <w:r>
              <w:t> </w:t>
            </w:r>
          </w:p>
        </w:tc>
        <w:tc>
          <w:tcPr>
            <w:tcW w:w="1385" w:type="dxa"/>
            <w:tcBorders/>
            <w:shd w:fill="CCEEFF" w:val="clear"/>
            <w:vAlign w:val="center"/>
          </w:tcPr>
          <w:p>
            <w:pPr>
              <w:pStyle w:val="TableContents"/>
              <w:bidi w:val="0"/>
              <w:spacing w:before="0" w:after="0"/>
              <w:ind w:left="0" w:right="0" w:hanging="0"/>
              <w:jc w:val="left"/>
            </w:pPr>
            <w:r>
              <w:rPr>
                <w:rStyle w:val="Emphasis"/>
              </w:rPr>
              <w:t> </w:t>
            </w:r>
          </w:p>
        </w:tc>
        <w:tc>
          <w:tcPr>
            <w:tcW w:w="60" w:type="dxa"/>
            <w:tcBorders/>
            <w:shd w:fill="CCEEFF" w:val="clear"/>
            <w:vAlign w:val="center"/>
          </w:tcPr>
          <w:p>
            <w:pPr>
              <w:pStyle w:val="TableContents"/>
              <w:bidi w:val="0"/>
              <w:spacing w:before="0" w:after="0"/>
              <w:ind w:left="0" w:right="0" w:hanging="0"/>
              <w:jc w:val="left"/>
            </w:pPr>
            <w:r>
              <w:t> </w:t>
            </w:r>
          </w:p>
        </w:tc>
        <w:tc>
          <w:tcPr>
            <w:tcW w:w="96" w:type="dxa"/>
            <w:tcBorders/>
            <w:shd w:fill="CCEEFF" w:val="clear"/>
            <w:vAlign w:val="center"/>
          </w:tcPr>
          <w:p>
            <w:pPr>
              <w:pStyle w:val="TableContents"/>
              <w:bidi w:val="0"/>
              <w:spacing w:before="0" w:after="0"/>
              <w:ind w:left="0" w:right="0" w:hanging="0"/>
              <w:jc w:val="left"/>
            </w:pPr>
            <w:r>
              <w:t> </w:t>
            </w:r>
          </w:p>
        </w:tc>
        <w:tc>
          <w:tcPr>
            <w:tcW w:w="973" w:type="dxa"/>
            <w:tcBorders/>
            <w:shd w:fill="CCEEFF" w:val="clear"/>
            <w:vAlign w:val="center"/>
          </w:tcPr>
          <w:p>
            <w:pPr>
              <w:pStyle w:val="TableContents"/>
              <w:bidi w:val="0"/>
              <w:spacing w:before="0" w:after="0"/>
              <w:ind w:left="0" w:right="0" w:hanging="0"/>
              <w:jc w:val="right"/>
            </w:pPr>
            <w:r>
              <w:rPr>
                <w:rStyle w:val="Emphasis"/>
              </w:rPr>
              <w:t> </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705,269</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647,244</w:t>
            </w:r>
          </w:p>
        </w:tc>
        <w:tc>
          <w:tcPr>
            <w:tcW w:w="60" w:type="dxa"/>
            <w:tcBorders/>
            <w:shd w:fill="CCEEFF" w:val="clear"/>
            <w:vAlign w:val="center"/>
          </w:tcPr>
          <w:p>
            <w:pPr>
              <w:pStyle w:val="TableContents"/>
              <w:bidi w:val="0"/>
              <w:spacing w:before="0" w:after="0"/>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4505"/>
        <w:gridCol w:w="60"/>
        <w:gridCol w:w="110"/>
        <w:gridCol w:w="515"/>
        <w:gridCol w:w="60"/>
        <w:gridCol w:w="60"/>
        <w:gridCol w:w="110"/>
        <w:gridCol w:w="515"/>
        <w:gridCol w:w="60"/>
      </w:tblGrid>
      <w:t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Short Term Investments - Unrestricted Investments - 8.1% (8)</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5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5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US Bank Money Market Deposit Account</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34,711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34,711</w:t>
            </w:r>
          </w:p>
        </w:tc>
        <w:tc>
          <w:tcPr>
            <w:tcW w:w="60" w:type="dxa"/>
            <w:tcBorders/>
            <w:shd w:fill="FFFFFF" w:val="clear"/>
            <w:vAlign w:val="center"/>
          </w:tcPr>
          <w:p>
            <w:pPr>
              <w:pStyle w:val="TableContents"/>
              <w:bidi w:val="0"/>
              <w:spacing w:before="0" w:after="283"/>
              <w:jc w:val="left"/>
            </w:pPr>
            <w:r>
              <w:t> </w:t>
            </w:r>
          </w:p>
        </w:tc>
      </w:tr>
      <w:t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Short Term Investments - Unrestricted Investments</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34,711</w:t>
            </w:r>
          </w:p>
        </w:tc>
        <w:tc>
          <w:tcPr>
            <w:tcW w:w="60" w:type="dxa"/>
            <w:tcBorders/>
            <w:shd w:fill="CCEEFF" w:val="clear"/>
            <w:vAlign w:val="center"/>
          </w:tcPr>
          <w:p>
            <w:pPr>
              <w:pStyle w:val="TableContents"/>
              <w:bidi w:val="0"/>
              <w:spacing w:before="0" w:after="283"/>
              <w:jc w:val="left"/>
            </w:pPr>
            <w:r>
              <w:t> </w:t>
            </w:r>
          </w:p>
        </w:tc>
      </w:tr>
      <w:tr>
        <w:tc>
          <w:tcPr>
            <w:tcW w:w="45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Short Term Investments - Restricted Investments - 1.0% (8)</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5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5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US Bank Money Market Deposit Account</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2,463</w:t>
            </w:r>
          </w:p>
        </w:tc>
        <w:tc>
          <w:tcPr>
            <w:tcW w:w="60" w:type="dxa"/>
            <w:tcBorders/>
            <w:shd w:fill="FFFFFF" w:val="clear"/>
            <w:vAlign w:val="center"/>
          </w:tcPr>
          <w:p>
            <w:pPr>
              <w:pStyle w:val="TableContents"/>
              <w:bidi w:val="0"/>
              <w:spacing w:before="0" w:after="283"/>
              <w:jc w:val="left"/>
            </w:pPr>
            <w:r>
              <w:t> </w:t>
            </w:r>
          </w:p>
        </w:tc>
      </w:tr>
      <w:t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Short Term Investments - Restricted Investments</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2,463</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Notes to Consolidated Financial Statements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Schedule of Investments</w:t>
      </w:r>
    </w:p>
    <w:p>
      <w:pPr>
        <w:pStyle w:val="TextBody"/>
        <w:bidi w:val="0"/>
        <w:spacing w:before="0" w:after="0"/>
        <w:ind w:left="0" w:right="0" w:hanging="0"/>
        <w:jc w:val="cente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
        <w:gridCol w:w="10071"/>
      </w:tblGrid>
      <w:tr>
        <w:tc>
          <w:tcPr>
            <w:tcW w:w="134"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100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All investments of the Company are in entities organized under the laws of the United States and have a principal place of business in the United States, unless otherwise noted.</w:t>
            </w:r>
          </w:p>
        </w:tc>
      </w:tr>
      <w:tr>
        <w:tc>
          <w:tcPr>
            <w:tcW w:w="134"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2</w:t>
            </w:r>
            <w:r>
              <w:rPr>
                <w:rFonts w:ascii="Times New Roman;Times;serif" w:hAnsi="Times New Roman;Times;serif"/>
                <w:caps w:val="false"/>
                <w:smallCaps w:val="false"/>
                <w:sz w:val="18"/>
              </w:rPr>
              <w:t>)</w:t>
            </w:r>
          </w:p>
        </w:tc>
        <w:tc>
          <w:tcPr>
            <w:tcW w:w="10071" w:type="dxa"/>
            <w:tcBorders/>
            <w:vAlign w:val="center"/>
          </w:tcPr>
          <w:p>
            <w:pPr>
              <w:pStyle w:val="TableContents"/>
              <w:bidi w:val="0"/>
              <w:spacing w:before="0" w:after="283"/>
              <w:jc w:val="left"/>
              <w:rPr>
                <w:sz w:val="18"/>
              </w:rPr>
            </w:pPr>
            <w:r>
              <w:rPr>
                <w:sz w:val="18"/>
              </w:rPr>
              <w:t>Has been pledged as collateral under the Key Facility, the NYL Facility and/or the Nuveen Facility. </w:t>
            </w:r>
          </w:p>
        </w:tc>
      </w:tr>
      <w:tr>
        <w:tc>
          <w:tcPr>
            <w:tcW w:w="134"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10071" w:type="dxa"/>
            <w:tcBorders/>
            <w:vAlign w:val="center"/>
          </w:tcPr>
          <w:p>
            <w:pPr>
              <w:pStyle w:val="TableContents"/>
              <w:bidi w:val="0"/>
              <w:spacing w:before="0" w:after="283"/>
              <w:jc w:val="left"/>
            </w:pPr>
            <w:r>
              <w:rPr>
                <w:sz w:val="18"/>
              </w:rPr>
              <w:t xml:space="preserve">All non-affiliate investments are investments in which the Company owns less than </w:t>
            </w:r>
            <w:r>
              <w:rPr>
                <w:rStyle w:val="Emphasis"/>
                <w:sz w:val="18"/>
              </w:rPr>
              <w:t>5%</w:t>
            </w:r>
            <w:r>
              <w:rPr>
                <w:sz w:val="18"/>
              </w:rPr>
              <w:t xml:space="preserve"> of the voting securities of the portfolio company. All non-controlled affiliate investments are investments in which the Company owns </w:t>
            </w:r>
            <w:r>
              <w:rPr>
                <w:rStyle w:val="Emphasis"/>
                <w:sz w:val="18"/>
              </w:rPr>
              <w:t>5%</w:t>
            </w:r>
            <w:r>
              <w:rPr>
                <w:sz w:val="18"/>
              </w:rPr>
              <w:t xml:space="preserve"> or more of the voting securities of the portfolio company but </w:t>
            </w:r>
            <w:r>
              <w:rPr>
                <w:rStyle w:val="Emphasis"/>
                <w:sz w:val="18"/>
              </w:rPr>
              <w:t>not</w:t>
            </w:r>
            <w:r>
              <w:rPr>
                <w:sz w:val="18"/>
              </w:rPr>
              <w:t xml:space="preserve"> more than </w:t>
            </w:r>
            <w:r>
              <w:rPr>
                <w:rStyle w:val="Emphasis"/>
                <w:sz w:val="18"/>
              </w:rPr>
              <w:t>25%</w:t>
            </w:r>
            <w:r>
              <w:rPr>
                <w:sz w:val="18"/>
              </w:rPr>
              <w:t xml:space="preserve"> of the voting securities of the portfolio company. All controlled affiliate investments are investments in which the Company owns more than </w:t>
            </w:r>
            <w:r>
              <w:rPr>
                <w:rStyle w:val="Emphasis"/>
                <w:sz w:val="18"/>
              </w:rPr>
              <w:t>25%</w:t>
            </w:r>
            <w:r>
              <w:rPr>
                <w:sz w:val="18"/>
              </w:rPr>
              <w:t xml:space="preserve"> of the portfolio company’s outstanding voting securities or has the power to exercise control over management or policies of such portfolio company (including through a management agreement).</w:t>
            </w:r>
          </w:p>
        </w:tc>
      </w:tr>
      <w:tr>
        <w:tc>
          <w:tcPr>
            <w:tcW w:w="134"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4</w:t>
            </w:r>
            <w:r>
              <w:rPr>
                <w:rFonts w:ascii="Times New Roman;Times;serif" w:hAnsi="Times New Roman;Times;serif"/>
                <w:caps w:val="false"/>
                <w:smallCaps w:val="false"/>
                <w:sz w:val="18"/>
              </w:rPr>
              <w:t>)</w:t>
            </w:r>
          </w:p>
        </w:tc>
        <w:tc>
          <w:tcPr>
            <w:tcW w:w="10071"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All interest is payable in cash due monthly in arrears, unless otherwise indicated, and applies only to the Company’s debt investments. Interest rate is the annual interest rate on the debt investment and does </w:t>
            </w:r>
            <w:r>
              <w:rPr>
                <w:rStyle w:val="Emphasis"/>
                <w:rFonts w:ascii="Times New Roman;Times;serif" w:hAnsi="Times New Roman;Times;serif"/>
                <w:caps w:val="false"/>
                <w:smallCaps w:val="false"/>
                <w:sz w:val="18"/>
              </w:rPr>
              <w:t>not</w:t>
            </w:r>
            <w:r>
              <w:rPr>
                <w:rFonts w:ascii="Times New Roman;Times;serif" w:hAnsi="Times New Roman;Times;serif"/>
                <w:caps w:val="false"/>
                <w:smallCaps w:val="false"/>
                <w:sz w:val="18"/>
              </w:rPr>
              <w:t xml:space="preserve"> include end-of-term payments (“ETPs”), and any additional fees related to the investments, such as deferred interest, commitment fees or prepayment fees. Debt investments are at variable rates for the term of the debt investment, unless otherwise indicated. For each debt investment, the current interest rate in effect as of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rPr>
              <w:t xml:space="preserve"> is provided.</w:t>
            </w:r>
          </w:p>
        </w:tc>
      </w:tr>
    </w:tbl>
    <w:tbl>
      <w:tblPr>
        <w:tblW w:w="10205" w:type="dxa"/>
        <w:jc w:val="left"/>
        <w:tblInd w:w="0" w:type="dxa"/>
        <w:tblLayout w:type="fixed"/>
        <w:tblCellMar>
          <w:top w:w="0" w:type="dxa"/>
          <w:left w:w="0" w:type="dxa"/>
          <w:bottom w:w="0" w:type="dxa"/>
          <w:right w:w="0" w:type="dxa"/>
        </w:tblCellMar>
      </w:tblPr>
      <w:tblGrid>
        <w:gridCol w:w="228"/>
        <w:gridCol w:w="9977"/>
      </w:tblGrid>
      <w:tr>
        <w:tc>
          <w:tcPr>
            <w:tcW w:w="22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5</w:t>
            </w:r>
            <w:r>
              <w:rPr>
                <w:rFonts w:ascii="Times New Roman;Times;serif" w:hAnsi="Times New Roman;Times;serif"/>
                <w:caps w:val="false"/>
                <w:smallCaps w:val="false"/>
                <w:sz w:val="18"/>
              </w:rPr>
              <w:t>)</w:t>
            </w:r>
          </w:p>
        </w:tc>
        <w:tc>
          <w:tcPr>
            <w:tcW w:w="99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Portfolio company is a public company.</w:t>
            </w:r>
          </w:p>
        </w:tc>
      </w:tr>
      <w:tr>
        <w:tc>
          <w:tcPr>
            <w:tcW w:w="22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6</w:t>
            </w:r>
            <w:r>
              <w:rPr>
                <w:rFonts w:ascii="Times New Roman;Times;serif" w:hAnsi="Times New Roman;Times;serif"/>
                <w:caps w:val="false"/>
                <w:smallCaps w:val="false"/>
                <w:sz w:val="18"/>
              </w:rPr>
              <w:t>)</w:t>
            </w:r>
          </w:p>
        </w:tc>
        <w:tc>
          <w:tcPr>
            <w:tcW w:w="99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For debt investments, represents principal balance less unearned income.</w:t>
            </w:r>
          </w:p>
        </w:tc>
      </w:tr>
      <w:tr>
        <w:tc>
          <w:tcPr>
            <w:tcW w:w="22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7</w:t>
            </w:r>
            <w:r>
              <w:rPr>
                <w:rFonts w:ascii="Times New Roman;Times;serif" w:hAnsi="Times New Roman;Times;serif"/>
                <w:caps w:val="false"/>
                <w:smallCaps w:val="false"/>
                <w:sz w:val="18"/>
              </w:rPr>
              <w:t>)</w:t>
            </w:r>
          </w:p>
        </w:tc>
        <w:tc>
          <w:tcPr>
            <w:tcW w:w="99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Warrants, Equity and Other Investments are non-income producing.</w:t>
            </w:r>
          </w:p>
        </w:tc>
      </w:tr>
      <w:tr>
        <w:tc>
          <w:tcPr>
            <w:tcW w:w="22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8</w:t>
            </w:r>
            <w:r>
              <w:rPr>
                <w:rFonts w:ascii="Times New Roman;Times;serif" w:hAnsi="Times New Roman;Times;serif"/>
                <w:caps w:val="false"/>
                <w:smallCaps w:val="false"/>
                <w:sz w:val="18"/>
              </w:rPr>
              <w:t>)</w:t>
            </w:r>
          </w:p>
        </w:tc>
        <w:tc>
          <w:tcPr>
            <w:tcW w:w="99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Value as a percent of net assets.</w:t>
            </w:r>
          </w:p>
        </w:tc>
      </w:tr>
      <w:tr>
        <w:tc>
          <w:tcPr>
            <w:tcW w:w="22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9</w:t>
            </w:r>
            <w:r>
              <w:rPr>
                <w:rFonts w:ascii="Times New Roman;Times;serif" w:hAnsi="Times New Roman;Times;serif"/>
                <w:caps w:val="false"/>
                <w:smallCaps w:val="false"/>
                <w:sz w:val="18"/>
              </w:rPr>
              <w:t>)</w:t>
            </w:r>
          </w:p>
        </w:tc>
        <w:tc>
          <w:tcPr>
            <w:tcW w:w="9977" w:type="dxa"/>
            <w:tcBorders/>
            <w:vAlign w:val="center"/>
          </w:tcPr>
          <w:p>
            <w:pPr>
              <w:pStyle w:val="TableContents"/>
              <w:bidi w:val="0"/>
              <w:spacing w:before="0" w:after="283"/>
              <w:jc w:val="left"/>
            </w:pPr>
            <w:r>
              <w:rPr>
                <w:sz w:val="18"/>
              </w:rPr>
              <w:t>As of </w:t>
            </w:r>
            <w:r>
              <w:rPr>
                <w:rStyle w:val="Emphasis"/>
                <w:sz w:val="18"/>
              </w:rPr>
              <w:t xml:space="preserve"> December 31, 2025</w:t>
            </w:r>
            <w:r>
              <w:rPr>
                <w:sz w:val="18"/>
              </w:rPr>
              <w:t xml:space="preserve">, </w:t>
            </w:r>
            <w:r>
              <w:rPr>
                <w:rStyle w:val="Emphasis"/>
                <w:sz w:val="18"/>
              </w:rPr>
              <w:t>0.0%</w:t>
            </w:r>
            <w:r>
              <w:rPr>
                <w:sz w:val="18"/>
              </w:rPr>
              <w:t xml:space="preserve"> of the Company's total assets on a cost and fair value basis are in non-qualifying assets under Section </w:t>
            </w:r>
            <w:r>
              <w:rPr>
                <w:rStyle w:val="Emphasis"/>
                <w:sz w:val="18"/>
              </w:rPr>
              <w:t>55</w:t>
            </w:r>
            <w:r>
              <w:rPr>
                <w:sz w:val="18"/>
              </w:rPr>
              <w:t xml:space="preserve">(a) of the </w:t>
            </w:r>
            <w:r>
              <w:rPr>
                <w:rStyle w:val="Emphasis"/>
                <w:sz w:val="18"/>
              </w:rPr>
              <w:t>1940</w:t>
            </w:r>
            <w:r>
              <w:rPr>
                <w:sz w:val="18"/>
              </w:rPr>
              <w:t xml:space="preserve"> Act. Under the </w:t>
            </w:r>
            <w:r>
              <w:rPr>
                <w:rStyle w:val="Emphasis"/>
                <w:sz w:val="18"/>
              </w:rPr>
              <w:t>1940</w:t>
            </w:r>
            <w:r>
              <w:rPr>
                <w:sz w:val="18"/>
              </w:rPr>
              <w:t xml:space="preserve"> Act, the Company </w:t>
            </w:r>
            <w:r>
              <w:rPr>
                <w:rStyle w:val="Emphasis"/>
                <w:sz w:val="18"/>
              </w:rPr>
              <w:t>may not</w:t>
            </w:r>
            <w:r>
              <w:rPr>
                <w:sz w:val="18"/>
              </w:rPr>
              <w:t xml:space="preserve"> acquire any non-qualifying assets unless, at the time the acquisition is made, qualifying assets represent at least </w:t>
            </w:r>
            <w:r>
              <w:rPr>
                <w:rStyle w:val="Emphasis"/>
                <w:sz w:val="18"/>
              </w:rPr>
              <w:t>70%</w:t>
            </w:r>
            <w:r>
              <w:rPr>
                <w:sz w:val="18"/>
              </w:rPr>
              <w:t xml:space="preserve"> of the Company’s total assets.</w:t>
            </w:r>
          </w:p>
        </w:tc>
      </w:tr>
      <w:tr>
        <w:tc>
          <w:tcPr>
            <w:tcW w:w="22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10</w:t>
            </w:r>
            <w:r>
              <w:rPr>
                <w:rFonts w:ascii="Times New Roman;Times;serif" w:hAnsi="Times New Roman;Times;serif"/>
                <w:caps w:val="false"/>
                <w:smallCaps w:val="false"/>
                <w:sz w:val="18"/>
              </w:rPr>
              <w:t>)</w:t>
            </w:r>
          </w:p>
        </w:tc>
        <w:tc>
          <w:tcPr>
            <w:tcW w:w="9977" w:type="dxa"/>
            <w:tcBorders/>
            <w:vAlign w:val="center"/>
          </w:tcPr>
          <w:p>
            <w:pPr>
              <w:pStyle w:val="TableContents"/>
              <w:bidi w:val="0"/>
              <w:spacing w:before="0" w:after="283"/>
              <w:jc w:val="left"/>
            </w:pPr>
            <w:r>
              <w:rPr>
                <w:sz w:val="18"/>
              </w:rPr>
              <w:t xml:space="preserve">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w:t>
            </w:r>
            <w:r>
              <w:rPr>
                <w:rStyle w:val="Emphasis"/>
                <w:sz w:val="18"/>
              </w:rPr>
              <w:t xml:space="preserve">may </w:t>
            </w:r>
            <w:r>
              <w:rPr>
                <w:sz w:val="18"/>
              </w:rPr>
              <w:t xml:space="preserve">pay its Advisor will be based on income that the Company has </w:t>
            </w:r>
            <w:r>
              <w:rPr>
                <w:rStyle w:val="Emphasis"/>
                <w:sz w:val="18"/>
              </w:rPr>
              <w:t>not</w:t>
            </w:r>
            <w:r>
              <w:rPr>
                <w:sz w:val="18"/>
              </w:rPr>
              <w:t xml:space="preserve"> yet received in cash.</w:t>
            </w:r>
          </w:p>
        </w:tc>
      </w:tr>
    </w:tbl>
    <w:tbl>
      <w:tblPr>
        <w:tblW w:w="10205" w:type="dxa"/>
        <w:jc w:val="left"/>
        <w:tblInd w:w="0" w:type="dxa"/>
        <w:tblLayout w:type="fixed"/>
        <w:tblCellMar>
          <w:top w:w="0" w:type="dxa"/>
          <w:left w:w="0" w:type="dxa"/>
          <w:bottom w:w="0" w:type="dxa"/>
          <w:right w:w="0" w:type="dxa"/>
        </w:tblCellMar>
      </w:tblPr>
      <w:tblGrid>
        <w:gridCol w:w="215"/>
        <w:gridCol w:w="9990"/>
      </w:tblGrid>
      <w:tr>
        <w:tc>
          <w:tcPr>
            <w:tcW w:w="215"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11</w:t>
            </w:r>
            <w:r>
              <w:rPr>
                <w:rFonts w:ascii="Times New Roman;Times;serif" w:hAnsi="Times New Roman;Times;serif"/>
                <w:caps w:val="false"/>
                <w:smallCaps w:val="false"/>
                <w:sz w:val="18"/>
              </w:rPr>
              <w:t>)</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Debt investment has a PIK feature in which the accrued interest is added to the then-outstanding principal amount of the debt investment. </w:t>
            </w:r>
          </w:p>
        </w:tc>
      </w:tr>
      <w:tr>
        <w:tc>
          <w:tcPr>
            <w:tcW w:w="215"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12</w:t>
            </w:r>
            <w:r>
              <w:rPr>
                <w:rFonts w:ascii="Times New Roman;Times;serif" w:hAnsi="Times New Roman;Times;serif"/>
                <w:caps w:val="false"/>
                <w:smallCaps w:val="false"/>
                <w:sz w:val="18"/>
              </w:rPr>
              <w:t>)</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The fair value of the investment was valued using significant unobservable inputs.</w:t>
            </w:r>
          </w:p>
        </w:tc>
      </w:tr>
      <w:tr>
        <w:tc>
          <w:tcPr>
            <w:tcW w:w="215"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13</w:t>
            </w:r>
            <w:r>
              <w:rPr>
                <w:rFonts w:ascii="Times New Roman;Times;serif" w:hAnsi="Times New Roman;Times;serif"/>
                <w:caps w:val="false"/>
                <w:smallCaps w:val="false"/>
                <w:sz w:val="18"/>
              </w:rPr>
              <w:t>)</w:t>
            </w:r>
          </w:p>
        </w:tc>
        <w:tc>
          <w:tcPr>
            <w:tcW w:w="999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Debt investment is on non-accrual status as of </w:t>
            </w:r>
            <w:r>
              <w:rPr>
                <w:rStyle w:val="Emphasis"/>
                <w:rFonts w:ascii="Times New Roman;Times;serif" w:hAnsi="Times New Roman;Times;serif"/>
                <w:caps w:val="false"/>
                <w:smallCaps w:val="false"/>
                <w:sz w:val="18"/>
              </w:rPr>
              <w:t>December 31, 2025</w:t>
            </w:r>
            <w:r>
              <w:rPr>
                <w:rFonts w:ascii="Times New Roman;Times;serif" w:hAnsi="Times New Roman;Times;serif"/>
                <w:caps w:val="false"/>
                <w:smallCaps w:val="false"/>
                <w:sz w:val="18"/>
              </w:rPr>
              <w:t>.</w:t>
            </w:r>
          </w:p>
        </w:tc>
      </w:tr>
      <w:tr>
        <w:tc>
          <w:tcPr>
            <w:tcW w:w="215" w:type="dxa"/>
            <w:tcBorders/>
            <w:vAlign w:val="center"/>
          </w:tcPr>
          <w:p>
            <w:pPr>
              <w:pStyle w:val="TableContents"/>
              <w:bidi w:val="0"/>
              <w:spacing w:before="0" w:after="283"/>
              <w:jc w:val="left"/>
            </w:pPr>
            <w:r>
              <w:rPr>
                <w:sz w:val="18"/>
              </w:rPr>
              <w:t>(</w:t>
            </w:r>
            <w:r>
              <w:rPr>
                <w:rStyle w:val="Emphasis"/>
                <w:sz w:val="18"/>
              </w:rPr>
              <w:t>14</w:t>
            </w:r>
            <w:r>
              <w:rPr>
                <w:sz w:val="18"/>
              </w:rPr>
              <w:t>)</w:t>
            </w:r>
          </w:p>
        </w:tc>
        <w:tc>
          <w:tcPr>
            <w:tcW w:w="9990" w:type="dxa"/>
            <w:tcBorders/>
            <w:vAlign w:val="center"/>
          </w:tcPr>
          <w:p>
            <w:pPr>
              <w:pStyle w:val="TableContents"/>
              <w:bidi w:val="0"/>
              <w:spacing w:before="0" w:after="283"/>
              <w:jc w:val="both"/>
            </w:pPr>
            <w:r>
              <w:rPr>
                <w:sz w:val="18"/>
              </w:rPr>
              <w:t xml:space="preserve">Debt investment is on non-accrual status as of </w:t>
            </w:r>
            <w:r>
              <w:rPr>
                <w:rStyle w:val="Emphasis"/>
                <w:sz w:val="18"/>
              </w:rPr>
              <w:t>December 31, 2025</w:t>
            </w:r>
            <w:r>
              <w:rPr>
                <w:sz w:val="18"/>
              </w:rPr>
              <w:t> and interest payments will be recognized as income on a cash basis.</w:t>
            </w:r>
          </w:p>
        </w:tc>
      </w:tr>
      <w:tr>
        <w:tc>
          <w:tcPr>
            <w:tcW w:w="215" w:type="dxa"/>
            <w:tcBorders/>
            <w:vAlign w:val="center"/>
          </w:tcPr>
          <w:p>
            <w:pPr>
              <w:pStyle w:val="TableContents"/>
              <w:bidi w:val="0"/>
              <w:spacing w:before="0" w:after="283"/>
              <w:jc w:val="left"/>
            </w:pPr>
            <w:r>
              <w:rPr>
                <w:sz w:val="18"/>
              </w:rPr>
              <w:t>(</w:t>
            </w:r>
            <w:r>
              <w:rPr>
                <w:rStyle w:val="Emphasis"/>
                <w:sz w:val="18"/>
              </w:rPr>
              <w:t>15</w:t>
            </w:r>
            <w:r>
              <w:rPr>
                <w:sz w:val="18"/>
              </w:rPr>
              <w:t>)</w:t>
            </w:r>
          </w:p>
        </w:tc>
        <w:tc>
          <w:tcPr>
            <w:tcW w:w="9990" w:type="dxa"/>
            <w:tcBorders/>
            <w:vAlign w:val="center"/>
          </w:tcPr>
          <w:p>
            <w:pPr>
              <w:pStyle w:val="TableContents"/>
              <w:bidi w:val="0"/>
              <w:spacing w:before="0" w:after="283"/>
              <w:jc w:val="both"/>
            </w:pPr>
            <w:r>
              <w:rPr>
                <w:sz w:val="18"/>
              </w:rPr>
              <w:t xml:space="preserve">The investment originally consisted of debt investments in Evelo. Evelo was a clinical stage life science company that was unable to raise additional capital to continue as a going concern and, through a series of transactions, Evelo became a subsidiary of Evelo Holdings and Evelo Holdings assumed the indebtedness of Evelo to the Company.  Evelo Holdings is </w:t>
            </w:r>
            <w:r>
              <w:rPr>
                <w:rStyle w:val="Emphasis"/>
                <w:sz w:val="18"/>
              </w:rPr>
              <w:t>not</w:t>
            </w:r>
            <w:r>
              <w:rPr>
                <w:sz w:val="18"/>
              </w:rPr>
              <w:t xml:space="preserve"> an operating company but holds certain contractual rights to contingent payments and owns equity in Evelo, as well as certain assets it seeks to sell. The Company has a </w:t>
            </w:r>
            <w:r>
              <w:rPr>
                <w:rStyle w:val="Emphasis"/>
                <w:sz w:val="18"/>
              </w:rPr>
              <w:t>first</w:t>
            </w:r>
            <w:r>
              <w:rPr>
                <w:sz w:val="18"/>
              </w:rPr>
              <w:t xml:space="preserve"> priority security interest in the assets of Evelo Holdings, so if any payments are received by Evelo Holdings or any of its equity holdings or other assets are sold, the Company will receive substantially all of the proceeds from the same, until such time, if ever, that all of the indebtedness is repaid. Accordingly, the Company characterizes this investment as an “Other Investment” rather than a “Debt Investment”.</w:t>
            </w:r>
          </w:p>
        </w:tc>
      </w:tr>
      <w:tr>
        <w:tc>
          <w:tcPr>
            <w:tcW w:w="215" w:type="dxa"/>
            <w:tcBorders/>
            <w:vAlign w:val="center"/>
          </w:tcPr>
          <w:p>
            <w:pPr>
              <w:pStyle w:val="TableContents"/>
              <w:bidi w:val="0"/>
              <w:spacing w:before="0" w:after="283"/>
              <w:jc w:val="left"/>
            </w:pPr>
            <w:r>
              <w:rPr>
                <w:sz w:val="18"/>
              </w:rPr>
              <w:t>(</w:t>
            </w:r>
            <w:r>
              <w:rPr>
                <w:rStyle w:val="Emphasis"/>
                <w:sz w:val="18"/>
              </w:rPr>
              <w:t>16</w:t>
            </w:r>
            <w:r>
              <w:rPr>
                <w:sz w:val="18"/>
              </w:rPr>
              <w:t>)</w:t>
            </w:r>
          </w:p>
        </w:tc>
        <w:tc>
          <w:tcPr>
            <w:tcW w:w="9990" w:type="dxa"/>
            <w:tcBorders/>
            <w:vAlign w:val="center"/>
          </w:tcPr>
          <w:p>
            <w:pPr>
              <w:pStyle w:val="TableContents"/>
              <w:bidi w:val="0"/>
              <w:spacing w:before="0" w:after="283"/>
              <w:jc w:val="both"/>
            </w:pPr>
            <w:r>
              <w:rPr>
                <w:sz w:val="18"/>
              </w:rPr>
              <w:t xml:space="preserve">The investment originally consisted of debt investments in Better Place.  On </w:t>
            </w:r>
            <w:r>
              <w:rPr>
                <w:rStyle w:val="Emphasis"/>
                <w:sz w:val="18"/>
              </w:rPr>
              <w:t xml:space="preserve">April 30, 2025, </w:t>
            </w:r>
            <w:r>
              <w:rPr>
                <w:sz w:val="18"/>
              </w:rPr>
              <w:t xml:space="preserve">Better Place transferred ownership of all of its right, title and interest in and to all of its tangible and intangible assets to BP ABC and BP ABC sold a portion of such assets to Memorial Forests Foundation in consideration for, among other things, the assumption of certain liabilities of BP ABC. The Company has a </w:t>
            </w:r>
            <w:r>
              <w:rPr>
                <w:rStyle w:val="Emphasis"/>
                <w:sz w:val="18"/>
              </w:rPr>
              <w:t>first</w:t>
            </w:r>
            <w:r>
              <w:rPr>
                <w:sz w:val="18"/>
              </w:rPr>
              <w:t xml:space="preserve"> priority security interest in the remaining assets of BP ABC, including certain rights to employee retention tax credits, so if any payments are received by BP ABC, the Company will receive a portion of the proceeds from the same, until such time, if ever, that all of the obligations of BP ABC to the Company are repaid. Accordingly, the Company characterizes this investment as an “Other Investment” rather than a “Debt Investment".</w:t>
            </w:r>
          </w:p>
        </w:tc>
      </w:tr>
      <w:tr>
        <w:tc>
          <w:tcPr>
            <w:tcW w:w="215" w:type="dxa"/>
            <w:tcBorders/>
            <w:vAlign w:val="center"/>
          </w:tcPr>
          <w:p>
            <w:pPr>
              <w:pStyle w:val="TableContents"/>
              <w:bidi w:val="0"/>
              <w:spacing w:before="0" w:after="283"/>
              <w:jc w:val="left"/>
            </w:pPr>
            <w:r>
              <w:rPr>
                <w:sz w:val="18"/>
              </w:rPr>
              <w:t>(</w:t>
            </w:r>
            <w:r>
              <w:rPr>
                <w:rStyle w:val="Emphasis"/>
                <w:sz w:val="18"/>
              </w:rPr>
              <w:t>17</w:t>
            </w:r>
            <w:r>
              <w:rPr>
                <w:sz w:val="18"/>
              </w:rPr>
              <w:t>)</w:t>
            </w:r>
          </w:p>
        </w:tc>
        <w:tc>
          <w:tcPr>
            <w:tcW w:w="9990" w:type="dxa"/>
            <w:tcBorders/>
            <w:vAlign w:val="center"/>
          </w:tcPr>
          <w:p>
            <w:pPr>
              <w:pStyle w:val="TableContents"/>
              <w:bidi w:val="0"/>
              <w:spacing w:before="0" w:after="283"/>
              <w:jc w:val="both"/>
            </w:pPr>
            <w:r>
              <w:rPr>
                <w:sz w:val="18"/>
              </w:rPr>
              <w:t xml:space="preserve">On </w:t>
            </w:r>
            <w:r>
              <w:rPr>
                <w:rStyle w:val="Emphasis"/>
                <w:sz w:val="18"/>
              </w:rPr>
              <w:t xml:space="preserve">August 6, 2025, </w:t>
            </w:r>
            <w:r>
              <w:rPr>
                <w:sz w:val="18"/>
              </w:rPr>
              <w:t xml:space="preserve">the Company purchased this investment as a part of a portfolio of debt and related investments of Powerscourt XXV LP, a fund managed by WAM, for a purchase price of $22.5 million, which assets at the purchase date had a fair value of $36.5 million and included debt investments on accrual status with a principal balance of $34.9 million. WAM and the Advisor (as defined in Note </w:t>
            </w:r>
            <w:r>
              <w:rPr>
                <w:rStyle w:val="Emphasis"/>
                <w:sz w:val="18"/>
              </w:rPr>
              <w:t>1</w:t>
            </w:r>
            <w:r>
              <w:rPr>
                <w:sz w:val="18"/>
              </w:rPr>
              <w:t xml:space="preserve">) had previously entered into Master Program Agreement in </w:t>
            </w:r>
            <w:r>
              <w:rPr>
                <w:rStyle w:val="Emphasis"/>
                <w:sz w:val="18"/>
              </w:rPr>
              <w:t xml:space="preserve">March 2023 </w:t>
            </w:r>
            <w:r>
              <w:rPr>
                <w:sz w:val="18"/>
              </w:rPr>
              <w:t xml:space="preserve">whereby the Advisor offered WAM the opportunity to participate, as a co-lender with the Company, in debt investments originated by the Advisor. WAM retained all investment decisions. In </w:t>
            </w:r>
            <w:r>
              <w:rPr>
                <w:rStyle w:val="Emphasis"/>
                <w:sz w:val="18"/>
              </w:rPr>
              <w:t>2023,</w:t>
            </w:r>
            <w:r>
              <w:rPr>
                <w:sz w:val="18"/>
              </w:rPr>
              <w:t xml:space="preserve"> WAM ceased making new investments under the program, as it </w:t>
            </w:r>
            <w:r>
              <w:rPr>
                <w:rStyle w:val="Emphasis"/>
                <w:sz w:val="18"/>
              </w:rPr>
              <w:t>no</w:t>
            </w:r>
            <w:r>
              <w:rPr>
                <w:sz w:val="18"/>
              </w:rPr>
              <w:t xml:space="preserve"> longer wished to pursue a venture debt strategy.</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bookmarkStart w:id="8" w:name="notes"/>
      <w:bookmarkEnd w:id="8"/>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Horizon Technology Finance Corporation (the “Company”) was organized as a Delaware corporation on </w:t>
      </w:r>
      <w:r>
        <w:rPr>
          <w:rStyle w:val="Emphasis"/>
          <w:rFonts w:ascii="Times New Roman" w:hAnsi="Times New Roman"/>
          <w:caps w:val="false"/>
          <w:smallCaps w:val="false"/>
          <w:sz w:val="20"/>
        </w:rPr>
        <w:t>March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2010</w:t>
      </w:r>
      <w:r>
        <w:rPr>
          <w:rFonts w:ascii="Times New Roman" w:hAnsi="Times New Roman"/>
          <w:caps w:val="false"/>
          <w:smallCaps w:val="false"/>
          <w:sz w:val="20"/>
        </w:rPr>
        <w:t xml:space="preserve"> and is an externally managed, non-diversified, closed-end investment company. The Company has elected to be regulated as a business development company (“BDC”) under the </w:t>
      </w:r>
      <w:r>
        <w:rPr>
          <w:rStyle w:val="Emphasis"/>
          <w:rFonts w:ascii="Times New Roman" w:hAnsi="Times New Roman"/>
          <w:caps w:val="false"/>
          <w:smallCaps w:val="false"/>
          <w:sz w:val="20"/>
        </w:rPr>
        <w:t>1940</w:t>
      </w:r>
      <w:r>
        <w:rPr>
          <w:rFonts w:ascii="Times New Roman" w:hAnsi="Times New Roman"/>
          <w:caps w:val="false"/>
          <w:smallCaps w:val="false"/>
          <w:sz w:val="20"/>
        </w:rPr>
        <w:t xml:space="preserve"> Act. In addition, for tax purposes, the Company has elected to be treated as a regulated investment company (“RIC”) as defined under Subchapter M of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(the “Code”). As a RIC, the Company generally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sustainability industries. All of the Company’s debt investments consist of loans secured by all of, or a portion of, the applicable debtor company’s tangible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October 28,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2010,</w:t>
      </w:r>
      <w:r>
        <w:rPr>
          <w:rFonts w:ascii="Times New Roman" w:hAnsi="Times New Roman"/>
          <w:caps w:val="false"/>
          <w:smallCaps w:val="false"/>
          <w:sz w:val="20"/>
        </w:rPr>
        <w:t xml:space="preserve"> the Company completed an initial public offering (“IPO”) and its common stock trades on the Nasdaq Global Select Market under the symbol “HRZN”.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14, 2026, </w:t>
      </w:r>
      <w:r>
        <w:rPr>
          <w:rFonts w:ascii="Times New Roman" w:hAnsi="Times New Roman"/>
          <w:caps w:val="false"/>
          <w:smallCaps w:val="false"/>
          <w:sz w:val="20"/>
        </w:rPr>
        <w:t xml:space="preserve">the Company completed its previously announced merger with Monroe Capital Corporation (“MRCC”), HMMS, Inc. (“Merger Sub”), Monroe Capital BDC Advisors, LLC, and Horizon Technology Finance Management LLC (the “Advisor”), pursuant to the Agreement and Plan of Merger, dated as of </w:t>
      </w:r>
      <w:r>
        <w:rPr>
          <w:rStyle w:val="Emphasis"/>
          <w:rFonts w:ascii="Times New Roman" w:hAnsi="Times New Roman"/>
          <w:caps w:val="false"/>
          <w:smallCaps w:val="false"/>
          <w:sz w:val="20"/>
        </w:rPr>
        <w:t>August 7, 2025 (</w:t>
      </w:r>
      <w:r>
        <w:rPr>
          <w:rFonts w:ascii="Times New Roman" w:hAnsi="Times New Roman"/>
          <w:caps w:val="false"/>
          <w:smallCaps w:val="false"/>
          <w:sz w:val="20"/>
        </w:rPr>
        <w:t>the “Merger Agreement”). Pursuant to the Merger Agreement, immediately following the Asset Sale (as defined below) and at the effective time of the Merger (the “Effective Time”), Merger Sub merged with and into MRCC, with MRCC continuing as the surviving company and as a wholly owned subsidiary of the Company, and, immediately thereafter, MRCC merged into the Company, with the Company continuing as the surviving company (collectively, the “Mergers”). MRCC also entered into an Asset Purchase Agreement (the “Asset Purchase Agreement”) with Monroe Capital Income Plus Corporation (“MCIP”), and MC Advisors, pursuant to which, MCIP acquired all of MRCC’s investment assets and liabilities at fair value, for cash (the “Asset Sale” and together with the Merger, the “Transactions”).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Horizon Credit II LLC (“Credit II”) was formed as a Delaware limited liability company on </w:t>
      </w:r>
      <w:r>
        <w:rPr>
          <w:rStyle w:val="Emphasis"/>
          <w:rFonts w:ascii="Times New Roman" w:hAnsi="Times New Roman"/>
          <w:caps w:val="false"/>
          <w:smallCaps w:val="false"/>
          <w:sz w:val="20"/>
        </w:rPr>
        <w:t>June 28,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with the Company as its sole equity member. Credit II is a special purpose bankruptcy-remote entity and is a separate legal entity from the Company. Any assets conveyed to Credit II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to creditors of the Company or any other entity other than Credit II’s lenders. Credit II is consolidated in the financial statements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Horizon Funding I, LLC (“HFI”) was formed as a Delaware limited liability company on </w:t>
      </w:r>
      <w:r>
        <w:rPr>
          <w:rStyle w:val="Emphasis"/>
          <w:rFonts w:ascii="Times New Roman" w:hAnsi="Times New Roman"/>
          <w:caps w:val="false"/>
          <w:smallCaps w:val="false"/>
          <w:sz w:val="20"/>
        </w:rPr>
        <w:t xml:space="preserve">May 9, 2018, </w:t>
      </w:r>
      <w:r>
        <w:rPr>
          <w:rFonts w:ascii="Times New Roman" w:hAnsi="Times New Roman"/>
          <w:caps w:val="false"/>
          <w:smallCaps w:val="false"/>
          <w:sz w:val="20"/>
        </w:rPr>
        <w:t xml:space="preserve">with Horizon Secured Loan Fund I LLC, a Delaware limited liability company (“HSLFI”) as its sole member. HFI is a special purpose bankruptcy-remote entity and is a separate legal entity from HSLFI. Any assets conveyed to HFI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to creditors of HSLFI or any other entity other than HFI’s lenders. As of </w:t>
      </w:r>
      <w:r>
        <w:rPr>
          <w:rStyle w:val="Emphasis"/>
          <w:rFonts w:ascii="Times New Roman" w:hAnsi="Times New Roman"/>
          <w:caps w:val="false"/>
          <w:smallCaps w:val="false"/>
          <w:sz w:val="20"/>
        </w:rPr>
        <w:t xml:space="preserve">April 21, 2020, </w:t>
      </w:r>
      <w:r>
        <w:rPr>
          <w:rFonts w:ascii="Times New Roman" w:hAnsi="Times New Roman"/>
          <w:caps w:val="false"/>
          <w:smallCaps w:val="false"/>
          <w:sz w:val="20"/>
        </w:rPr>
        <w:t>HSLFI and its subsidiary, HFI, are consolidated in the financial statements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shd w:fill="FFFFFF" w:val="clear"/>
        </w:rPr>
        <w:t>Horizon Funding II, LLC (“HFII”) was formed as a Delaware limited liability company o</w:t>
      </w:r>
      <w:r>
        <w:rPr>
          <w:rFonts w:ascii="Times New Roman" w:hAnsi="Times New Roman"/>
          <w:caps w:val="false"/>
          <w:smallCaps w:val="false"/>
          <w:sz w:val="20"/>
        </w:rPr>
        <w:t>n </w:t>
      </w:r>
      <w:r>
        <w:rPr>
          <w:rStyle w:val="Emphasis"/>
          <w:rFonts w:ascii="Times New Roman" w:hAnsi="Times New Roman"/>
          <w:caps w:val="false"/>
          <w:smallCaps w:val="false"/>
          <w:sz w:val="20"/>
        </w:rPr>
        <w:t xml:space="preserve"> May 13, 20</w:t>
      </w:r>
      <w:r>
        <w:rPr>
          <w:rStyle w:val="Emphasis"/>
          <w:rFonts w:ascii="Times New Roman" w:hAnsi="Times New Roman"/>
          <w:caps w:val="false"/>
          <w:smallCaps w:val="false"/>
          <w:sz w:val="20"/>
          <w:shd w:fill="FFFFFF" w:val="clear"/>
        </w:rPr>
        <w:t>24,</w:t>
      </w:r>
      <w:r>
        <w:rPr>
          <w:rFonts w:ascii="Times New Roman" w:hAnsi="Times New Roman"/>
          <w:caps w:val="false"/>
          <w:smallCaps w:val="false"/>
          <w:sz w:val="20"/>
          <w:shd w:fill="FFFFFF" w:val="clear"/>
        </w:rPr>
        <w:t xml:space="preserve"> with the Company as its sole equity member. H</w:t>
      </w:r>
      <w:r>
        <w:rPr>
          <w:rFonts w:ascii="Times New Roman" w:hAnsi="Times New Roman"/>
          <w:caps w:val="false"/>
          <w:smallCaps w:val="false"/>
          <w:sz w:val="20"/>
        </w:rPr>
        <w:t xml:space="preserve">FII is a special purpose bankruptcy-remote entity and is a separate legal entity from the Company. Any assets conveyed to HFII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to creditors of the Company or any other entity other than HFII’s lenders. HFII is consolidated in the financial statements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has established wholly owned subsidiaries, which are structured as Delaware limited liability companies, either to hold assets of portfolio companies acquired in connection with a foreclosure or bankruptcy or to hold equity in portfolio companies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control. Such wholly-owned subsidiaries are separate legal entities from the Company and are consolidated in the financial statements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together with a former co-lender to IMV, established HIMV LLC, a Delaware limited liability company to purchase and sell the assets of IMV, a past borrower of the Company. The assets of IMV were sold for (i) the right to receive certain payments, if any, in connection with the potential future development and licensing of the assets sold and (ii) equity in the buyer of such assets. HIMV LLC was 70% owned by the Company and 30% owned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co-lender. On </w:t>
      </w:r>
      <w:r>
        <w:rPr>
          <w:rStyle w:val="Emphasis"/>
          <w:rFonts w:ascii="Times New Roman" w:hAnsi="Times New Roman"/>
          <w:caps w:val="false"/>
          <w:smallCaps w:val="false"/>
          <w:sz w:val="20"/>
        </w:rPr>
        <w:t xml:space="preserve">August 6, 2025, </w:t>
      </w:r>
      <w:r>
        <w:rPr>
          <w:rFonts w:ascii="Times New Roman" w:hAnsi="Times New Roman"/>
          <w:caps w:val="false"/>
          <w:smallCaps w:val="false"/>
          <w:sz w:val="20"/>
        </w:rPr>
        <w:t xml:space="preserve">the Company purchased its co-lender’s interest in HIMV LLC. As of </w:t>
      </w:r>
      <w:r>
        <w:rPr>
          <w:rStyle w:val="Emphasis"/>
          <w:rFonts w:ascii="Times New Roman" w:hAnsi="Times New Roman"/>
          <w:caps w:val="false"/>
          <w:smallCaps w:val="false"/>
          <w:sz w:val="20"/>
        </w:rPr>
        <w:t xml:space="preserve">August 6, 2025, </w:t>
      </w:r>
      <w:r>
        <w:rPr>
          <w:rFonts w:ascii="Times New Roman" w:hAnsi="Times New Roman"/>
          <w:caps w:val="false"/>
          <w:smallCaps w:val="false"/>
          <w:sz w:val="20"/>
        </w:rPr>
        <w:t xml:space="preserve">the Company owns 100% of HIMV LLC and HIMV LLC is consolidated in the financial statements of the Company. The Company dissolved HIMV LLC on </w:t>
      </w:r>
      <w:r>
        <w:rPr>
          <w:rStyle w:val="Emphasis"/>
          <w:rFonts w:ascii="Times New Roman" w:hAnsi="Times New Roman"/>
          <w:caps w:val="false"/>
          <w:smallCaps w:val="false"/>
          <w:sz w:val="20"/>
        </w:rPr>
        <w:t>January 27,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the Advisor under which the Advisor manages the day-to-day operations of, and provides investment advisory services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Basis of presentation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The consolidated financial statements of the Company have been prepared in accordance with U.S. generally accepted accounting principles (“GAAP”) and pursuant to the requirements for reporting on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Articles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“Securities Act”). In the opinion of management, the consolidated financial statements reflect all adjustments and reclassifications, consisting solely of normal recurring accruals, that are necessary for the fair presentation of financial results as of and for the periods presented. All intercompany balances and transactions have been eliminated. The current period’s results of operations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that ultimately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achieved for the year. Therefore, the unaudited financial statements and notes should be read in conjunction with the audited financial statements and notes thereto as of and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As required under GAAP and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consolidate its non-controlling interest in the RoHo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Assets related to transactions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Accounting Standards Codification (“ASC”) Topic </w:t>
      </w:r>
      <w:r>
        <w:rPr>
          <w:rStyle w:val="Emphasis"/>
          <w:rFonts w:ascii="Times New Roman" w:hAnsi="Times New Roman"/>
          <w:caps w:val="false"/>
          <w:smallCaps w:val="false"/>
          <w:sz w:val="20"/>
        </w:rPr>
        <w:t>860,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Transfers and Servicing </w:t>
      </w:r>
      <w:r>
        <w:rPr>
          <w:rFonts w:ascii="Times New Roman" w:hAnsi="Times New Roman"/>
          <w:caps w:val="false"/>
          <w:smallCaps w:val="false"/>
          <w:sz w:val="20"/>
        </w:rPr>
        <w:t xml:space="preserve">requirements for accounting sale treatment are reflected in the Company’s Consolidated Statements of Assets and Liabilities as investments. Those assets are owned by special purpose entities that are consolidated in the Company’s consolidated financial statements. The creditors of the special purpose entities have received security interests in such assets, and such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intended to be available to the creditors of the Company (or any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w:t>
      </w:r>
      <w:r>
        <w:rPr>
          <w:rStyle w:val="Emphasis"/>
          <w:rFonts w:ascii="Times New Roman" w:hAnsi="Times New Roman"/>
          <w:caps w:val="false"/>
          <w:smallCaps w:val="false"/>
          <w:sz w:val="20"/>
        </w:rPr>
        <w:t>three</w:t>
      </w:r>
      <w:r>
        <w:rPr>
          <w:rFonts w:ascii="Times New Roman" w:hAnsi="Times New Roman"/>
          <w:caps w:val="false"/>
          <w:smallCaps w:val="false"/>
          <w:sz w:val="20"/>
        </w:rPr>
        <w:t>-level fair value hierarchy as more fully described in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Fair value is a market-based measure considered from the perspective of the market participant who holds the financial instrument rather than an entity specific measure. Therefore, when market assumptions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available, the Company’s own assumptions are set to reflect those that management believes market participants would use in pricing the financial instrument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w:t>
      </w:r>
      <w:r>
        <w:rPr>
          <w:rStyle w:val="Emphasis"/>
          <w:rFonts w:ascii="Times New Roman" w:hAnsi="Times New Roman"/>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for additional information regarding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has determined that it has a single reporting segment and operating unit structure. The Company lends to and invests in portfolio companies in various technology, life science, healthcare information and services and sustainability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chief operating decision maker (“CODM”) is comprised of the Company’s Chief Executive Officer, Chief Financial Officer and Chief Investment Officer. The CODM assesses the performance of and makes operating decisions on behalf of the Company on a consolidated basis primarily based on the Company’s net increase (decrease) in net assets resulting from operations (“net income”). In addition to numerous other factors and metrics, the CODM utilizes net income as a key metric in recommending to the Company's board of directors (the “Board”) the amount of distributions to be made to the Company’s stockholders and the Board makes the determination of the amount of distributions to be made to the Company’s stockholders. As the Company’s operations comprise a single reporting segment, the segment assets are reflected on the Company’s Consolidated Statements of Assets and Liabilities as “Total assets” and the significant segment expenses are listed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pPr>
      <w: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Investments are recorded at fair value. Pursuant to the amended SEC Rule </w:t>
      </w:r>
      <w:r>
        <w:rPr>
          <w:rStyle w:val="Emphasis"/>
          <w:rFonts w:ascii="Times New Roman" w:hAnsi="Times New Roman"/>
          <w:caps w:val="false"/>
          <w:smallCaps w:val="false"/>
          <w:sz w:val="20"/>
        </w:rPr>
        <w:t>2a</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of the </w:t>
      </w:r>
      <w:r>
        <w:rPr>
          <w:rStyle w:val="Emphasis"/>
          <w:rFonts w:ascii="Times New Roman" w:hAnsi="Times New Roman"/>
          <w:caps w:val="false"/>
          <w:smallCaps w:val="false"/>
          <w:sz w:val="20"/>
        </w:rPr>
        <w:t>1940</w:t>
      </w:r>
      <w:r>
        <w:rPr>
          <w:rFonts w:ascii="Times New Roman" w:hAnsi="Times New Roman"/>
          <w:caps w:val="false"/>
          <w:smallCaps w:val="false"/>
          <w:sz w:val="20"/>
        </w:rPr>
        <w:t xml:space="preserve"> Act, on </w:t>
      </w:r>
      <w:r>
        <w:rPr>
          <w:rStyle w:val="Emphasis"/>
          <w:rFonts w:ascii="Times New Roman" w:hAnsi="Times New Roman"/>
          <w:caps w:val="false"/>
          <w:smallCaps w:val="false"/>
          <w:sz w:val="20"/>
        </w:rPr>
        <w:t xml:space="preserve">July 29, 2022, </w:t>
      </w:r>
      <w:r>
        <w:rPr>
          <w:rFonts w:ascii="Times New Roman" w:hAnsi="Times New Roman"/>
          <w:caps w:val="false"/>
          <w:smallCaps w:val="false"/>
          <w:sz w:val="20"/>
        </w:rPr>
        <w:t>the Board designated the Advisor as the Company’s “valuation designee.” The valuation designee determines the fair value of the Company’s portfolio investments and the Company's Board oversees the valuation designee. The Company has the intent to hold its debt investments for the foreseeable future or until maturity or payoff.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or if the Company otherwise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receive interest and principal repayments, the debt investment is placed on non-accrual status and the recognition of interest income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discontinued. Interest payments received on non-accrual debt investments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recognized as income, on a cash basis, or applied to principal depending upon management’s judgment at the time the debt investment is placed on non-accrual status.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there were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investments on nonaccrual status with a cost of $64.9 million and a fair value of $18.8 million.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investments on non-accrual status with a cost of $32.8 million and a fair value of $24.5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$0.05 million and $0.04 million, respectively, of interest income from debt investments while on non-accrual status. For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$0.1 million and $0.3 million, respectively, of interest income from debt investments while on non-accrual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debt investments that contain a PIK provision. Contractual PIK interest, which represents contractually deferred interest added to the loan balance that is generally due at the end of the loan term, is generally recorded on an accrual basis to the extent such amounts are expected to be collected.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there were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respectively, investments with PIK provisions.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PIK interest income totaled $0.8 million and $0.7 million,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3.4% and 2.5%, respectively, of the Company’s total investment income was attributable to non-cash PIK interest.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PIK interest income totaled $3.7 million and $1.2 million,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5.0% and 1.6%, respectively, of the Company’s total investment income was attributable to non-cash PIK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will generally cease accruing PIK interest if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portfolio company to be able to pay all principal and interest due.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there were no debt investments which had accrued PIK interest into income placed on nonaccrual status as of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debt investments, which had accrued PIK interest into income of $1.3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placed on nonaccrual status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debt investment, which had accrued PIK interest into income of $0.2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was placed on nonaccrual status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sz w:val="20"/>
        </w:rPr>
        <w:t xml:space="preserve">The Company receives a variety of fees from borrowers in the ordinary course of conducting its business, including advisory fees, commitment fees, amendment fees, non-utilization fees, success fees and prepayment fees. In a limited number of cases, the Company </w:t>
      </w:r>
      <w:r>
        <w:rPr>
          <w:rStyle w:val="Emphasis"/>
          <w:rFonts w:ascii="Times New Roman" w:hAnsi="Times New Roman"/>
          <w:sz w:val="20"/>
        </w:rPr>
        <w:t xml:space="preserve">may </w:t>
      </w:r>
      <w:r>
        <w:rPr>
          <w:rFonts w:ascii="Times New Roman" w:hAnsi="Times New Roman"/>
          <w:sz w:val="20"/>
        </w:rPr>
        <w:t>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borrower to be able to pay the ETP when due. The proportion of the Company’s total investment income that resulted from the portion of ETPs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in cash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1.5% and 3.5%, respectively. The proportion of the Company’s total investment income that resulted from the portion of ETPs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in cash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4.0% and 3.6%,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 Company determines, at the time the RoHo Joint Venture makes distributions to the Company, whether the distributions should be recorded by the Company as dividend income or a return of capital. Generally, the Company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distributions from the RoHo Joint Venture as dividend income unless there are sufficient accumulated tax-basis earnings and profit in the RoHo Joint Venture prior to distribution. Distributions that are classified as a return of capital are recorded as a reduction in the cost basis of the investment.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the period </w:t>
      </w:r>
      <w:r>
        <w:rPr>
          <w:rStyle w:val="Emphasis"/>
          <w:rFonts w:ascii="Times New Roman" w:hAnsi="Times New Roman"/>
          <w:caps w:val="false"/>
          <w:smallCaps w:val="false"/>
          <w:sz w:val="20"/>
        </w:rPr>
        <w:t>March 18, 2026 (</w:t>
      </w:r>
      <w:r>
        <w:rPr>
          <w:rFonts w:ascii="Times New Roman" w:hAnsi="Times New Roman"/>
          <w:caps w:val="false"/>
          <w:smallCaps w:val="false"/>
          <w:sz w:val="20"/>
        </w:rPr>
        <w:t>the commencement of the RoHo Joint Venture’s operations) through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the RoHo Joint Venture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distribute dividend income to the Company.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Realized gains or losses on the sale of investments, or upon the determination that an investment balance, or portion thereof,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are calculated using the specific identification method. The Company measures realized gains or losses by calculating the difference between the net proceeds from the repayment or sale and the amortized cost basis of the investment. Net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Debt issuance costs are fees and other direct incremental costs incurred by the Company in obtaining debt financing from its lenders and issuing debt securities. The unamortized balance of debt issuance costs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was $8.7 million and $10.6 million, respectively. These amounts are capitalized and amortized and included in interest expense in the consolidated statements of operations over the life of the borrowings. The accumulated amortization balances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were $8.7 million and $8.9 million, respectively. The amortization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$0.5 million and $0.6 million, respectively. The amortization expense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$1.7 million and $2.0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provision for federal income tax has been recorded in the financial statements. Differences between taxable income and net increase in net assets resulting from operations either can be temporary, meaning they will reverse in the future, or permanent. In accordance with ASC Topic </w:t>
      </w:r>
      <w:r>
        <w:rPr>
          <w:rStyle w:val="Emphasis"/>
          <w:rFonts w:ascii="Times New Roman" w:hAnsi="Times New Roman"/>
          <w:caps w:val="false"/>
          <w:smallCaps w:val="false"/>
          <w:sz w:val="20"/>
        </w:rPr>
        <w:t>946,</w:t>
      </w:r>
      <w:r>
        <w:rPr>
          <w:rFonts w:ascii="Times New Roman" w:hAnsi="Times New Roman"/>
          <w:caps w:val="false"/>
          <w:smallCaps w:val="false"/>
          <w:sz w:val="20"/>
        </w:rPr>
        <w:t xml:space="preserve"> </w:t>
      </w:r>
      <w:r>
        <w:rPr>
          <w:rFonts w:ascii="Times New Roman" w:hAnsi="Times New Roman"/>
          <w:i/>
          <w:caps w:val="false"/>
          <w:smallCaps w:val="false"/>
          <w:sz w:val="20"/>
        </w:rPr>
        <w:t>Financial Services</w:t>
      </w:r>
      <w:r>
        <w:rPr>
          <w:rFonts w:ascii="Times New Roman" w:hAnsi="Times New Roman"/>
          <w:caps w:val="false"/>
          <w:smallCaps w:val="false"/>
          <w:sz w:val="20"/>
        </w:rPr>
        <w:t>—</w:t>
      </w:r>
      <w:r>
        <w:rPr>
          <w:rFonts w:ascii="Times New Roman" w:hAnsi="Times New Roman"/>
          <w:i/>
          <w:caps w:val="false"/>
          <w:smallCaps w:val="false"/>
          <w:sz w:val="20"/>
        </w:rPr>
        <w:t>Investment Companies</w:t>
      </w:r>
      <w:r>
        <w:rPr>
          <w:rFonts w:ascii="Times New Roman" w:hAnsi="Times New Roman"/>
          <w:caps w:val="false"/>
          <w:smallCaps w:val="false"/>
          <w:sz w:val="20"/>
        </w:rPr>
        <w:t xml:space="preserve">, as amended, of the Financial Accounting Standards Board (“FASB”),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total net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Depending on the level of taxable income earned in a tax year,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$0.3 and $0.4 million, respectively, was accrued for U.S. federal excise tax.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$0.8 and $1.1 million, respectively, was accrued for U.S. federal excise tax.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The Company evaluates tax positions taken in the course of preparing the Company’s tax returns to determine whether the tax positions are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by the applicable tax authority in accordance with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as modified by ASC Topic </w:t>
      </w:r>
      <w:r>
        <w:rPr>
          <w:rStyle w:val="Emphasis"/>
          <w:rFonts w:ascii="Times New Roman" w:hAnsi="Times New Roman"/>
          <w:caps w:val="false"/>
          <w:smallCaps w:val="false"/>
          <w:sz w:val="20"/>
        </w:rPr>
        <w:t>946.</w:t>
      </w:r>
      <w:r>
        <w:rPr>
          <w:rFonts w:ascii="Times New Roman" w:hAnsi="Times New Roman"/>
          <w:caps w:val="false"/>
          <w:smallCaps w:val="false"/>
          <w:sz w:val="20"/>
        </w:rPr>
        <w:t xml:space="preserve"> Tax benefits of positions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deemed to meet the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threshold, or uncertain tax positions, would be recorded as a tax expense in the current year. It is the Company’s policy to recognize accrued interest and penalties related to uncertain tax benefits in income tax expense. The Company had no material uncertain tax positions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Company’s income tax returns for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2024 tax years remain subject to examination by U.S. federal and state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Prior to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Company recorded distributions to common stockholders on the date the distribution was declared by the Board. On and after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Company records distributions to common stockholders on the ex-dividend date for such distribution. The Board continually monitors and reassesses the amount of cash to be paid out as distributions relative to the net investment income generated by the Company and other metrics. Net realized capital gains,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distributed, although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decide to retain such net realized gains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has adopted a dividend reinvestment plan that provides for reinvestment of cash distributions on behalf of its stockholders, unless a stockholder elects to receive cash. As a result, if the Board declares a cash distribution, then stockholders who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“opted out” of the dividend reinvestment plan will have their cash distributions automatically reinvested in additional shares of the Company’s common stock, rather than receiving the cash distribution.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issue new shares or purchase shares in the open market to fulfill its obligations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caps w:val="false"/>
          <w:smallCaps w:val="false"/>
          <w:sz w:val="20"/>
        </w:rPr>
      </w:pPr>
      <w:r>
        <w:rPr>
          <w:rFonts w:ascii="Times New Roman" w:hAnsi="Times New Roman"/>
          <w:b/>
          <w:i/>
          <w:caps w:val="false"/>
          <w:smallCaps w:val="false"/>
          <w:sz w:val="20"/>
        </w:rPr>
        <w:t>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22, 2023, </w:t>
      </w:r>
      <w:r>
        <w:rPr>
          <w:rFonts w:ascii="Times New Roman" w:hAnsi="Times New Roman"/>
          <w:caps w:val="false"/>
          <w:smallCaps w:val="false"/>
          <w:sz w:val="20"/>
        </w:rPr>
        <w:t xml:space="preserve">the Company entered into an At-The-Market (“ATM”) sales agreement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Equity Distribution Agreement”), with Goldman Sachs &amp; Co. LLC and B. Riley FBR, Inc. (each a “Sales Agent” and, collectively, the “Sales Agents”).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Equity Distribution Agreement provides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and sell its shares of its common stock from time to time through the Sales Agents up to $150.0 million worth of its common stock, in amounts and at times to be determined by the Company. Sales of the Company’s common stock,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made in negotiated transactions or transactions that are deemed to be “at-the-market,”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xml:space="preserve"> under the Securities Act, including sales made directly on the Nasdaq or similar securities exchange or sales made to or through a market maker other than on an exchange, at prices related to the prevailing market prices or at negotiated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Company did not sell shares of common stock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Equity Distribution Agreement.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sold 1,570,248 shares of common stock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Equity Distribution Agreement. For the same period, the Company received total accumulated net proceeds of approximately $10.6 million, including $0.3 million of offering expenses, from these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sold 1,974,553 shares of common stock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Equity Distribution Agreement. For the same period, the Company received total accumulated net proceeds of approximately $14.2 million, including $0.5 million of offering expenses, from these sales.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generally uses net proceeds from these offerings to make investments, to pay down liabilities and for general corporate purposes.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shares representing approximately $64.3 million of its common stock remain available for issuance and sale under the </w:t>
      </w:r>
      <w:r>
        <w:rPr>
          <w:rStyle w:val="Emphasis"/>
          <w:rFonts w:ascii="Times New Roman" w:hAnsi="Times New Roman"/>
          <w:caps w:val="false"/>
          <w:smallCaps w:val="false"/>
          <w:sz w:val="20"/>
        </w:rPr>
        <w:t>2023</w:t>
      </w:r>
      <w:r>
        <w:rPr>
          <w:rFonts w:ascii="Times New Roman" w:hAnsi="Times New Roman"/>
          <w:caps w:val="false"/>
          <w:smallCaps w:val="false"/>
          <w:sz w:val="20"/>
        </w:rPr>
        <w:t> Equity Distribution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3, 2026, </w:t>
      </w:r>
      <w:r>
        <w:rPr>
          <w:rFonts w:ascii="Times New Roman" w:hAnsi="Times New Roman"/>
          <w:caps w:val="false"/>
          <w:smallCaps w:val="false"/>
          <w:sz w:val="20"/>
        </w:rPr>
        <w:t xml:space="preserve">the Board extended a previously authorized stock repurchase program which allows the Company to repurchase up to $20.0 million of its common stock at prices below the Company’s net asset value per share as reported in its most recent consolidated financial statements, provided such purchases, in the aggregate,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percent (2%) of the shares outstanding at the time of purchase and such shares are purchased only when the such shares are trading below 90% of the Company's most recently disclosed net asset value per share. Under the repurchase program,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but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repurchase shares of its outstanding common stock in the open market or in privately negotiated transactions from time to time. It is the intention of the Company that any repurchases of common stock will comply with the requirements of Rule </w:t>
      </w:r>
      <w:r>
        <w:rPr>
          <w:rStyle w:val="Emphasis"/>
          <w:rFonts w:ascii="Times New Roman" w:hAnsi="Times New Roman"/>
          <w:caps w:val="false"/>
          <w:smallCaps w:val="false"/>
          <w:sz w:val="20"/>
        </w:rPr>
        <w:t>10b</w:t>
        <w:noBreakHyphen/>
        <w:t>18</w:t>
      </w:r>
      <w:r>
        <w:rPr>
          <w:rFonts w:ascii="Times New Roman" w:hAnsi="Times New Roman"/>
          <w:caps w:val="false"/>
          <w:smallCaps w:val="false"/>
          <w:sz w:val="20"/>
        </w:rPr>
        <w:t xml:space="preserve"> under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(the “Exchange Act”), and any applicable requirements of the </w:t>
      </w:r>
      <w:r>
        <w:rPr>
          <w:rStyle w:val="Emphasis"/>
          <w:rFonts w:ascii="Times New Roman" w:hAnsi="Times New Roman"/>
          <w:caps w:val="false"/>
          <w:smallCaps w:val="false"/>
          <w:sz w:val="20"/>
        </w:rPr>
        <w:t>1940</w:t>
      </w:r>
      <w:r>
        <w:rPr>
          <w:rFonts w:ascii="Times New Roman" w:hAnsi="Times New Roman"/>
          <w:caps w:val="false"/>
          <w:smallCaps w:val="false"/>
          <w:sz w:val="20"/>
        </w:rPr>
        <w:t xml:space="preserve"> Act. Unless extended by the Board, the repurchase program will terminate on the earlier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or the repurchase of $20.0 million of the Company’s common stock.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the Company repurchased 2,033,991 shares of its common stock at an average price of $4.90 on the open market at a total cost of $10.0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Company repurchased 3,399,213 shares of its common stock at an average price of $4.76 on the open market at a total cost of $16.2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did not make any repurchases of its common stock under its stock repurchase program. From the date of the inception of the Company’s stock repurchase program through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repurchased 3,566,678 shares of its common stock at an average price of $5.06 on the open market at a total cost of $18.1 million. From time to time, the Board assesses the size and effectiveness of the stock repurchase program and could elect to increase or decrease the size of the program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Transfers of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Assets related to transactions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requirements under ASC Topic </w:t>
      </w:r>
      <w:r>
        <w:rPr>
          <w:rStyle w:val="Emphasis"/>
          <w:rFonts w:ascii="Times New Roman" w:hAnsi="Times New Roman"/>
          <w:caps w:val="false"/>
          <w:smallCaps w:val="false"/>
          <w:sz w:val="20"/>
        </w:rPr>
        <w:t>860,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Transfers and Servicing </w:t>
      </w:r>
      <w:r>
        <w:rPr>
          <w:rFonts w:ascii="Times New Roman" w:hAnsi="Times New Roman"/>
          <w:caps w:val="false"/>
          <w:smallCaps w:val="false"/>
          <w:sz w:val="20"/>
        </w:rPr>
        <w:t xml:space="preserve">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intended to be available to the creditors of the Company (or any other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Transfers of financial assets are accounted for as sales when control over the assets has been surrendered. Control over transferred assets is deemed to be surrendered when (</w:t>
      </w:r>
      <w:r>
        <w:rPr>
          <w:rStyle w:val="Emphasis"/>
          <w:rFonts w:ascii="Times New Roman" w:hAnsi="Times New Roman"/>
          <w:caps w:val="false"/>
          <w:smallCaps w:val="false"/>
          <w:sz w:val="20"/>
        </w:rPr>
        <w:t>1</w:t>
      </w:r>
      <w:r>
        <w:rPr>
          <w:rFonts w:ascii="Times New Roman" w:hAnsi="Times New Roman"/>
          <w:caps w:val="false"/>
          <w:smallCaps w:val="false"/>
          <w:sz w:val="20"/>
        </w:rPr>
        <w:t>) the assets have been isolated from the Company — put presumptively beyond the reach of the transferor and its creditors, even in bankruptcy or other receivership, (</w:t>
      </w:r>
      <w:r>
        <w:rPr>
          <w:rStyle w:val="Emphasis"/>
          <w:rFonts w:ascii="Times New Roman" w:hAnsi="Times New Roman"/>
          <w:caps w:val="false"/>
          <w:smallCaps w:val="false"/>
          <w:sz w:val="20"/>
        </w:rPr>
        <w:t>2</w:t>
      </w:r>
      <w:r>
        <w:rPr>
          <w:rFonts w:ascii="Times New Roman" w:hAnsi="Times New Roman"/>
          <w:caps w:val="false"/>
          <w:smallCaps w:val="false"/>
          <w:sz w:val="20"/>
        </w:rPr>
        <w:t>) the transferee obtains the right (free of conditions that constrain it from taking advantage of that right) to pledge or exchange the transferred assets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transferor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b/>
          <w:i/>
          <w:caps w:val="false"/>
          <w:smallCaps w:val="false"/>
          <w:sz w:val="20"/>
        </w:rPr>
        <w:t>Recently issued</w:t>
      </w:r>
      <w:r>
        <w:rPr>
          <w:rFonts w:ascii="Times New Roman" w:hAnsi="Times New Roman"/>
          <w:caps w:val="false"/>
          <w:smallCaps w:val="false"/>
          <w:sz w:val="20"/>
        </w:rPr>
        <w:t> </w:t>
      </w:r>
      <w:r>
        <w:rPr>
          <w:rFonts w:ascii="Times New Roman" w:hAnsi="Times New Roman"/>
          <w:b/>
          <w:i/>
          <w:caps w:val="false"/>
          <w:smallCaps w:val="false"/>
          <w:sz w:val="20"/>
        </w:rPr>
        <w:t>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 Reporting Comprehensive Income - 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requires disaggregated disclosure of certain costs and expenses, including purchase of inventory, employee compensation, depreciation, amortization and depletion, within relevant income statement captions.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and retrospective application are permitted. The Company is currently evaluating the impact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Narrow-Scope Improvements, which clarifies interim reporting disclosure requirements and enhances the organization of interim reporting guidance.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is effective for interim reporting periods within fiscal years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 xml:space="preserve">Early adoption is permitted. The Company is currently evaluating the impact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2026,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2026</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Fair Value Measurement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Investment Companies with Equity Securities Subject to Contractual Sale Restrictions, which amends the fair value measurement guidance for investment companies to require that a contractual restriction prohibiting the sale of an equity security be considered in measuring the fair value of the security. The amendments also require additional disclosure of the discount attributable to the contractual sale restriction that is incorporated into the fair value measurement. ASU </w:t>
      </w:r>
      <w:r>
        <w:rPr>
          <w:rStyle w:val="Emphasis"/>
          <w:rFonts w:ascii="Times New Roman" w:hAnsi="Times New Roman"/>
          <w:caps w:val="false"/>
          <w:smallCaps w:val="false"/>
          <w:sz w:val="20"/>
        </w:rPr>
        <w:t>2026</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including interim periods within those fiscal years. Early adoption is permitted. The Company is currently evaluating the impact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w:t>
      </w:r>
      <w:r>
        <w:rPr>
          <w:rStyle w:val="Emphasis"/>
          <w:rFonts w:ascii="Times New Roman" w:hAnsi="Times New Roman"/>
          <w:caps w:val="false"/>
          <w:smallCaps w:val="false"/>
          <w:sz w:val="20"/>
        </w:rPr>
        <w:t>03.</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cente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ind w:left="0" w:right="0" w:hanging="0"/>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At a meeting of the stockholders convened on </w:t>
      </w:r>
      <w:r>
        <w:rPr>
          <w:rStyle w:val="Emphasis"/>
          <w:rFonts w:ascii="Times New Roman" w:hAnsi="Times New Roman"/>
          <w:caps w:val="false"/>
          <w:smallCaps w:val="false"/>
          <w:sz w:val="20"/>
        </w:rPr>
        <w:t xml:space="preserve"> May 25, 2023 </w:t>
      </w:r>
      <w:r>
        <w:rPr>
          <w:rFonts w:ascii="Times New Roman" w:hAnsi="Times New Roman"/>
          <w:caps w:val="false"/>
          <w:smallCaps w:val="false"/>
          <w:sz w:val="20"/>
        </w:rPr>
        <w:t>and reconvened on </w:t>
      </w:r>
      <w:r>
        <w:rPr>
          <w:rStyle w:val="Emphasis"/>
          <w:rFonts w:ascii="Times New Roman" w:hAnsi="Times New Roman"/>
          <w:caps w:val="false"/>
          <w:smallCaps w:val="false"/>
          <w:sz w:val="20"/>
        </w:rPr>
        <w:t xml:space="preserve"> June 28, 2023</w:t>
      </w:r>
      <w:r>
        <w:rPr>
          <w:rFonts w:ascii="Times New Roman" w:hAnsi="Times New Roman"/>
          <w:i/>
          <w:caps w:val="false"/>
          <w:smallCaps w:val="false"/>
          <w:sz w:val="20"/>
        </w:rPr>
        <w:t>,</w:t>
      </w:r>
      <w:r>
        <w:rPr>
          <w:rFonts w:ascii="Times New Roman" w:hAnsi="Times New Roman"/>
          <w:caps w:val="false"/>
          <w:smallCaps w:val="false"/>
          <w:sz w:val="20"/>
        </w:rPr>
        <w:t> the Company’s stockholders, upon the recommendation of the Board, approved an investment management agreement with the Advisor, which became effective on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(the “Original Investment Management Agreement”). The Original Investment Management Agreement was effective for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from the date of approval and then was required to be annually reapproved by the Board for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The Original Investment Management Agreement was considered and reapproved by the Company’s Board, including a majority of the independent directors, on </w:t>
      </w:r>
      <w:r>
        <w:rPr>
          <w:rStyle w:val="Emphasis"/>
          <w:rFonts w:ascii="Times New Roman" w:hAnsi="Times New Roman"/>
          <w:caps w:val="false"/>
          <w:smallCaps w:val="false"/>
          <w:sz w:val="20"/>
        </w:rPr>
        <w:t xml:space="preserve">December 10, 2024 </w:t>
      </w:r>
      <w:r>
        <w:rPr>
          <w:rFonts w:ascii="Times New Roman" w:hAnsi="Times New Roman"/>
          <w:caps w:val="false"/>
          <w:smallCaps w:val="false"/>
          <w:sz w:val="20"/>
        </w:rPr>
        <w:t xml:space="preserve">for a </w:t>
      </w:r>
      <w:r>
        <w:rPr>
          <w:rStyle w:val="Emphasis"/>
          <w:rFonts w:ascii="Times New Roman" w:hAnsi="Times New Roman"/>
          <w:caps w:val="false"/>
          <w:smallCaps w:val="false"/>
          <w:sz w:val="20"/>
        </w:rPr>
        <w:t>one</w:t>
      </w:r>
      <w:r>
        <w:rPr>
          <w:rFonts w:ascii="Times New Roman" w:hAnsi="Times New Roman"/>
          <w:caps w:val="false"/>
          <w:smallCaps w:val="false"/>
          <w:sz w:val="20"/>
        </w:rPr>
        <w:t>-year period.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the Company entered into a new investment management agreement with the Advisor (the “New Investment Management Agreement”, collectively with the Original Investment Management Agreement, the “Investment Management Agreement”) in connection with the closing of a transaction pursuant to which Momentum US Bidco LLC, an affiliate of Wendel SE, acquired 75% of the outstanding equity interests of Monroe Capital Intermediate Holdings, LLC, the indirect parent company of the Advisor, and certain other affiliates of Monroe Capital LLC (the “Transaction”) (any such affiliate party to the Transaction, collectively, “Monroe”). The Transaction constituted a change of control in the Advisor and terminated the Original Investment Management Agreement. On </w:t>
      </w:r>
      <w:r>
        <w:rPr>
          <w:rStyle w:val="Emphasis"/>
          <w:rFonts w:ascii="Times New Roman" w:hAnsi="Times New Roman"/>
          <w:caps w:val="false"/>
          <w:smallCaps w:val="false"/>
          <w:sz w:val="20"/>
        </w:rPr>
        <w:t xml:space="preserve">December 10, 2024, </w:t>
      </w:r>
      <w:r>
        <w:rPr>
          <w:rFonts w:ascii="Times New Roman" w:hAnsi="Times New Roman"/>
          <w:caps w:val="false"/>
          <w:smallCaps w:val="false"/>
          <w:sz w:val="20"/>
        </w:rPr>
        <w:t xml:space="preserve">the Company’s Board, including a majority of the independent directors, approved, and recommended for approval by the Company’s stockholders, the New Investment Management Agreement. The New Investment Management Agreement was approved, subject to the closing of the Transaction, by the Company’s stockholders at a special meeting of stockholders held on </w:t>
      </w:r>
      <w:r>
        <w:rPr>
          <w:rStyle w:val="Emphasis"/>
          <w:rFonts w:ascii="Times New Roman" w:hAnsi="Times New Roman"/>
          <w:caps w:val="false"/>
          <w:smallCaps w:val="false"/>
          <w:sz w:val="20"/>
        </w:rPr>
        <w:t xml:space="preserve">February 21, 2025. </w:t>
      </w:r>
      <w:r>
        <w:rPr>
          <w:rFonts w:ascii="Times New Roman" w:hAnsi="Times New Roman"/>
          <w:caps w:val="false"/>
          <w:smallCaps w:val="false"/>
          <w:sz w:val="20"/>
        </w:rPr>
        <w:t>The terms of the New Investment Management Agreement, including the fee structure and services to be provided, are the same as the terms of the Original Investment Management Agreement, except for the date and term.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Advisor’s services under the Investment Management Agreement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exclusive to the Company, and the Advisor is free to furnish similar services to other entities so long as its services to the Company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impaired. The Advisor is a registered investment adviser with the SEC. The Advisor receives fees for providing services to the Company under the Investment Management Agreement, consisting of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components, a base management fee and an incentive fee.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connection with entry into the Merger Agreement with MRCC, HMMS, Inc., a Maryland corporation and wholly owned subsidiary of the Company, Monroe Capital BDC Advisors, LLC, an investment adviser to MRCC, and the Advisor, the Advisor agreed to waive $4.0 million of base management fees and/or incentive fees (the “Fee Waiver”) due and payable to the Advisor pursuant to the terms of the Investment Management Agreement at the rate of $1.0 million per quarter commencing with the Company’s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fiscal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Fee Waiver is in effect until the end of the Company’s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fiscal quarter of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and, for each applicable fiscal quarter,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the total amount of base management fees and incentive fees earned by the Advisor during such fiscal quarter. During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waived $1.0 million of base management fee in connection with the Fee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base management fee is calculated at an annual rate of 2.00% of the Company’s gross assets (less cash and cash equivalents) including any assets acquired with the proceeds of leverage; provided, that, to the extent the Company’s gross assets (less cash and cash equivalents) exceed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million, the base management fee on the amount of such excess over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base management fee payable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was $1.0 million. The base management fee expense, net of the Fee Waiver, was $2.0 million and $2.7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 base management fee expense, net of the Fee Waiver, was $8.3 million and $8.9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incentive fee has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parts,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coupon securities), accrued income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adjusted for any share issuances or repurchases during the relevant quarter, subject to a “catch-up” provision measured as of the end of each calendar quarter. Under this provision, in any calendar quarter, the Advisor receives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incentive fee until the Pre-Incentive Fee Net Investment Income equals the hurdle rate of </w:t>
      </w:r>
      <w:r>
        <w:rPr>
          <w:rStyle w:val="Emphasis"/>
          <w:rFonts w:ascii="Times New Roman" w:hAnsi="Times New Roman"/>
          <w:caps w:val="false"/>
          <w:smallCaps w:val="false"/>
          <w:sz w:val="20"/>
        </w:rPr>
        <w:t>1.75%,</w:t>
      </w:r>
      <w:r>
        <w:rPr>
          <w:rFonts w:ascii="Times New Roman" w:hAnsi="Times New Roman"/>
          <w:caps w:val="false"/>
          <w:smallCaps w:val="false"/>
          <w:sz w:val="20"/>
        </w:rPr>
        <w:t xml:space="preserve">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w:t>
      </w:r>
      <w:r>
        <w:rPr>
          <w:rStyle w:val="Emphasis"/>
          <w:rFonts w:ascii="Times New Roman" w:hAnsi="Times New Roman"/>
          <w:caps w:val="false"/>
          <w:smallCaps w:val="false"/>
          <w:sz w:val="20"/>
        </w:rPr>
        <w:t>2.1875%</w:t>
      </w:r>
      <w:r>
        <w:rPr>
          <w:rFonts w:ascii="Times New Roman" w:hAnsi="Times New Roman"/>
          <w:caps w:val="false"/>
          <w:smallCaps w:val="false"/>
          <w:sz w:val="20"/>
        </w:rPr>
        <w:t xml:space="preserve"> in any calendar quarter, the Advisor will receive </w:t>
      </w:r>
      <w:r>
        <w:rPr>
          <w:rStyle w:val="Emphasis"/>
          <w:rFonts w:ascii="Times New Roman" w:hAnsi="Times New Roman"/>
          <w:caps w:val="false"/>
          <w:smallCaps w:val="false"/>
          <w:sz w:val="20"/>
        </w:rPr>
        <w:t>20.00%</w:t>
      </w:r>
      <w:r>
        <w:rPr>
          <w:rFonts w:ascii="Times New Roman" w:hAnsi="Times New Roman"/>
          <w:caps w:val="false"/>
          <w:smallCaps w:val="false"/>
          <w:sz w:val="20"/>
        </w:rPr>
        <w:t xml:space="preserve"> of the Pre-Incentive Fee Net Investment Income as if the hurdle rate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Pre-Incentive Fee Net Investment Income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realized capital gains, realized capital losses or unrealized capital appreciation or depreciation. Because of the structure of the incentive fee, it is possible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w:t>
      </w:r>
      <w:r>
        <w:rPr>
          <w:rStyle w:val="Emphasis"/>
          <w:rFonts w:ascii="Times New Roman" w:hAnsi="Times New Roman"/>
          <w:caps w:val="false"/>
          <w:smallCaps w:val="false"/>
          <w:sz w:val="20"/>
        </w:rPr>
        <w:t>2.00%</w:t>
      </w:r>
      <w:r>
        <w:rPr>
          <w:rFonts w:ascii="Times New Roman" w:hAnsi="Times New Roman"/>
          <w:caps w:val="false"/>
          <w:smallCaps w:val="false"/>
          <w:sz w:val="20"/>
        </w:rPr>
        <w:t xml:space="preserve"> base management fee. These calculations are appropriately prorated for any period of less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and adjusted for any share issuances or repurchases during the current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incentive fee on Pre-Incentive Fee Net Investment Income is subject to a fee cap and deferral mechanism which is determined based upon a look-back period of up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and is expensed when incurred. For this purpose, the look-back period for the incentive fee based on Pre-Incentive Fee Net Investment Income (the “Incentive Fee Look-back Period”) includes the relevant calendar quarter and the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preceding full calendar quarters. Each quarterly incentive fee payable on Pre-Incentive Fee Net Investment Income is subject to a cap (the “Incentive Fee Cap”) and a deferral mechanism through which the Advisor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recoup a portion of such deferred incentive fees (collectively, the “Incentive Fee Cap and Deferral Mechanism”). The Incentive Fee Cap is equal to (a) </w:t>
      </w:r>
      <w:r>
        <w:rPr>
          <w:rStyle w:val="Emphasis"/>
          <w:rFonts w:ascii="Times New Roman" w:hAnsi="Times New Roman"/>
          <w:caps w:val="false"/>
          <w:smallCaps w:val="false"/>
          <w:sz w:val="20"/>
        </w:rPr>
        <w:t>20.00%</w:t>
      </w:r>
      <w:r>
        <w:rPr>
          <w:rFonts w:ascii="Times New Roman" w:hAnsi="Times New Roman"/>
          <w:caps w:val="false"/>
          <w:smallCaps w:val="false"/>
          <w:sz w:val="20"/>
        </w:rPr>
        <w:t xml:space="preserve"> of Cumulative Pre-Incentive Fee Net Return (as defined below) during the Incentive Fee Look-back Period less (b) cumulative incentive fees of any kind paid to the Advisor during the Incentive Fee Look-back Period. To the extent the Incentive Fee Cap is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or a negative value in any calendar quarter, the Company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w:t>
      </w:r>
      <w:r>
        <w:rPr>
          <w:rStyle w:val="Emphasis"/>
          <w:rFonts w:ascii="Times New Roman" w:hAnsi="Times New Roman"/>
          <w:caps w:val="false"/>
          <w:smallCaps w:val="false"/>
          <w:sz w:val="20"/>
        </w:rPr>
        <w:t>three</w:t>
      </w:r>
      <w:r>
        <w:rPr>
          <w:rFonts w:ascii="Times New Roman" w:hAnsi="Times New Roman"/>
          <w:caps w:val="false"/>
          <w:smallCaps w:val="false"/>
          <w:sz w:val="20"/>
        </w:rPr>
        <w:t>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part of the incentive fee is determined and payable in arrears as of the end of each calendar year (or, upon termination of the Investment Management Agreement, as of the termination date), and equals </w:t>
      </w:r>
      <w:r>
        <w:rPr>
          <w:rStyle w:val="Emphasis"/>
          <w:rFonts w:ascii="Times New Roman" w:hAnsi="Times New Roman"/>
          <w:caps w:val="false"/>
          <w:smallCaps w:val="false"/>
          <w:sz w:val="20"/>
        </w:rPr>
        <w:t>20.00%</w:t>
      </w:r>
      <w:r>
        <w:rPr>
          <w:rFonts w:ascii="Times New Roman" w:hAnsi="Times New Roman"/>
          <w:caps w:val="false"/>
          <w:smallCaps w:val="false"/>
          <w:sz w:val="20"/>
        </w:rPr>
        <w:t xml:space="preserve">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permitted to be considered in calculating the fee actually payable under the Investment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There was no performance based incentive fee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incentive fee on Pre-Incentive Fee Net Investment Income was subject to the Incentive Fee Cap and Deferral Mechanism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which resulted in $2.5 million and $2.8 million, respectively, of reduced expense and additional net investment income. The performance based incentive fee expense was $1.8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There was no performance based incentive fee expense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incentive fee on Pre-Incentive Fee Net Investment Income was subject to the Incentive Fee Cap and Deferral Mechanism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which resulted in $3.2 million and $7.2 million, respectively, of reduced expense and additional net investment income. This deferral represents a contingent future liability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accrued until the amount can be reasonably estimated and payment is probable. The remaining deferred amount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paid up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after the date of deferment. There was no performance based incentive fee payable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Company’s Advisor agreed to waive the portion of its quarterly income incentive fee, if any, if and to the extent that, after payment of such portion, the Company’s net investment income per share for such quarter would be less than the quarterly distribution per share declared in such quarter. The income incentive fee waiver was effective commencing with the quarter ending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terminated with the quarter ending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no income incentive fee was earned.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pPr>
      <w:r>
        <w:t> </w:t>
      </w:r>
    </w:p>
    <w:p>
      <w:pPr>
        <w:pStyle w:val="TextBody"/>
        <w:bidi w:val="0"/>
        <w:spacing w:before="0" w:after="0"/>
        <w:jc w:val="cente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$3.5 million and $6.8 million, respectively, of the incentive fee deferred under the Incentive Fee Cap and Deferral Mechanism expired. The following table provides the expiration dates of the Company’s Incentive Fee Cap and Deferral Mechanism contingent future liability as of </w:t>
      </w:r>
      <w:r>
        <w:rPr>
          <w:rStyle w:val="Emphasis"/>
          <w:rFonts w:ascii="Times New Roman;Times;serif" w:hAnsi="Times New Roman;Times;serif"/>
          <w:sz w:val="20"/>
        </w:rPr>
        <w:t xml:space="preserve"> September 30, 2026</w:t>
      </w:r>
      <w:r>
        <w:rPr>
          <w:rFonts w:ascii="Times New Roman;Times;serif" w:hAnsi="Times New Roman;Times;serif"/>
          <w:sz w:val="20"/>
        </w:rPr>
        <w:t>: </w:t>
      </w:r>
    </w:p>
    <w:p>
      <w:pPr>
        <w:pStyle w:val="TextBody"/>
        <w:bidi w:val="0"/>
        <w:spacing w:before="0" w:after="0"/>
        <w:ind w:left="0" w:right="0" w:hanging="0"/>
        <w:jc w:val="left"/>
      </w:pPr>
      <w:r>
        <w:t> </w:t>
      </w:r>
    </w:p>
    <w:tbl>
      <w:tblPr>
        <w:tblW w:w="2964" w:type="dxa"/>
        <w:jc w:val="left"/>
        <w:tblInd w:w="0" w:type="dxa"/>
        <w:tblLayout w:type="fixed"/>
        <w:tblCellMar>
          <w:top w:w="0" w:type="dxa"/>
          <w:left w:w="0" w:type="dxa"/>
          <w:bottom w:w="0" w:type="dxa"/>
          <w:right w:w="0" w:type="dxa"/>
        </w:tblCellMar>
      </w:tblPr>
      <w:tblGrid>
        <w:gridCol w:w="1640"/>
        <w:gridCol w:w="60"/>
        <w:gridCol w:w="210"/>
        <w:gridCol w:w="994"/>
        <w:gridCol w:w="60"/>
      </w:tblGrid>
      <w:t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tc>
        <w:tc>
          <w:tcPr>
            <w:tcW w:w="60" w:type="dxa"/>
            <w:tcBorders/>
            <w:shd w:fill="FFFFFF" w:val="clear"/>
            <w:vAlign w:val="center"/>
          </w:tcPr>
          <w:p>
            <w:pPr>
              <w:pStyle w:val="TableContents"/>
              <w:bidi w:val="0"/>
              <w:spacing w:before="0" w:after="283"/>
              <w:ind w:left="0" w:right="0" w:hanging="0"/>
              <w:jc w:val="left"/>
            </w:pPr>
            <w: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2026</w:t>
            </w:r>
          </w:p>
        </w:tc>
        <w:tc>
          <w:tcPr>
            <w:tcW w:w="60"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ind w:left="0" w:right="0" w:hanging="0"/>
              <w:jc w:val="left"/>
            </w:pPr>
            <w: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w:t>
            </w:r>
          </w:p>
        </w:tc>
        <w:tc>
          <w:tcPr>
            <w:tcW w:w="60" w:type="dxa"/>
            <w:tcBorders/>
            <w:shd w:fill="CCEEFF" w:val="clear"/>
            <w:vAlign w:val="center"/>
          </w:tcPr>
          <w:p>
            <w:pPr>
              <w:pStyle w:val="TableContents"/>
              <w:bidi w:val="0"/>
              <w:spacing w:before="0" w:after="283"/>
              <w:jc w:val="left"/>
            </w:pPr>
            <w:r>
              <w:t> </w:t>
            </w:r>
          </w:p>
        </w:tc>
      </w:tr>
      <w:t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2027</w:t>
            </w:r>
          </w:p>
        </w:tc>
        <w:tc>
          <w:tcPr>
            <w:tcW w:w="60" w:type="dxa"/>
            <w:tcBorders/>
            <w:shd w:fill="FFFFFF" w:val="clear"/>
            <w:vAlign w:val="center"/>
          </w:tcPr>
          <w:p>
            <w:pPr>
              <w:pStyle w:val="TableContents"/>
              <w:bidi w:val="0"/>
              <w:spacing w:before="0" w:after="283"/>
              <w:jc w:val="left"/>
            </w:pPr>
            <w:r>
              <w:t> </w:t>
            </w:r>
          </w:p>
        </w:tc>
        <w:tc>
          <w:tcPr>
            <w:tcW w:w="210" w:type="dxa"/>
            <w:tcBorders/>
            <w:shd w:fill="FFFFFF" w:val="clear"/>
            <w:vAlign w:val="center"/>
          </w:tcPr>
          <w:p>
            <w:pPr>
              <w:pStyle w:val="TableContents"/>
              <w:bidi w:val="0"/>
              <w:spacing w:before="0" w:after="283"/>
              <w:ind w:left="0" w:right="0" w:hanging="0"/>
              <w:jc w:val="left"/>
            </w:pPr>
            <w: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60" w:type="dxa"/>
            <w:tcBorders/>
            <w:shd w:fill="FFFFFF" w:val="clear"/>
            <w:vAlign w:val="center"/>
          </w:tcPr>
          <w:p>
            <w:pPr>
              <w:pStyle w:val="TableContents"/>
              <w:bidi w:val="0"/>
              <w:spacing w:before="0" w:after="283"/>
              <w:jc w:val="left"/>
            </w:pPr>
            <w:r>
              <w:t> </w:t>
            </w:r>
          </w:p>
        </w:tc>
      </w:tr>
      <w:t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2027</w:t>
            </w:r>
          </w:p>
        </w:tc>
        <w:tc>
          <w:tcPr>
            <w:tcW w:w="60" w:type="dxa"/>
            <w:tcBorders/>
            <w:shd w:fill="CCEEFF" w:val="clear"/>
            <w:vAlign w:val="center"/>
          </w:tcPr>
          <w:p>
            <w:pPr>
              <w:pStyle w:val="TableContents"/>
              <w:bidi w:val="0"/>
              <w:spacing w:before="0" w:after="283"/>
              <w:ind w:left="0" w:right="0" w:hanging="0"/>
              <w:jc w:val="left"/>
            </w:pPr>
            <w:r>
              <w:t> </w:t>
            </w:r>
          </w:p>
        </w:tc>
        <w:tc>
          <w:tcPr>
            <w:tcW w:w="210" w:type="dxa"/>
            <w:tcBorders/>
            <w:shd w:fill="CCEEFF" w:val="clear"/>
            <w:vAlign w:val="center"/>
          </w:tcPr>
          <w:p>
            <w:pPr>
              <w:pStyle w:val="TableContents"/>
              <w:bidi w:val="0"/>
              <w:spacing w:before="0" w:after="0"/>
              <w:ind w:left="0" w:right="0" w:hanging="0"/>
              <w:jc w:val="left"/>
            </w:pPr>
            <w:r>
              <w:t> </w:t>
            </w:r>
          </w:p>
        </w:tc>
        <w:tc>
          <w:tcPr>
            <w:tcW w:w="994"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2,582</w:t>
            </w:r>
          </w:p>
        </w:tc>
        <w:tc>
          <w:tcPr>
            <w:tcW w:w="60" w:type="dxa"/>
            <w:tcBorders/>
            <w:shd w:fill="CCEEFF" w:val="clear"/>
            <w:vAlign w:val="center"/>
          </w:tcPr>
          <w:p>
            <w:pPr>
              <w:pStyle w:val="TableContents"/>
              <w:bidi w:val="0"/>
              <w:spacing w:before="0" w:after="283"/>
              <w:jc w:val="left"/>
            </w:pPr>
            <w:r>
              <w:t> </w:t>
            </w:r>
          </w:p>
        </w:tc>
      </w:tr>
      <w:t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2027</w:t>
            </w:r>
          </w:p>
        </w:tc>
        <w:tc>
          <w:tcPr>
            <w:tcW w:w="60" w:type="dxa"/>
            <w:tcBorders/>
            <w:shd w:fill="FFFFFF" w:val="clear"/>
            <w:vAlign w:val="center"/>
          </w:tcPr>
          <w:p>
            <w:pPr>
              <w:pStyle w:val="TableContents"/>
              <w:bidi w:val="0"/>
              <w:spacing w:before="0" w:after="283"/>
              <w:jc w:val="left"/>
            </w:pPr>
            <w:r>
              <w:t> </w:t>
            </w:r>
          </w:p>
        </w:tc>
        <w:tc>
          <w:tcPr>
            <w:tcW w:w="210" w:type="dxa"/>
            <w:tcBorders/>
            <w:shd w:fill="FFFFFF" w:val="clear"/>
            <w:vAlign w:val="center"/>
          </w:tcPr>
          <w:p>
            <w:pPr>
              <w:pStyle w:val="TableContents"/>
              <w:bidi w:val="0"/>
              <w:spacing w:before="0" w:after="283"/>
              <w:ind w:left="0" w:right="0" w:hanging="0"/>
              <w:jc w:val="left"/>
            </w:pPr>
            <w: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60" w:type="dxa"/>
            <w:tcBorders/>
            <w:shd w:fill="FFFFFF" w:val="clear"/>
            <w:vAlign w:val="center"/>
          </w:tcPr>
          <w:p>
            <w:pPr>
              <w:pStyle w:val="TableContents"/>
              <w:bidi w:val="0"/>
              <w:spacing w:before="0" w:after="283"/>
              <w:jc w:val="left"/>
            </w:pPr>
            <w:r>
              <w:t> </w:t>
            </w:r>
          </w:p>
        </w:tc>
      </w:tr>
      <w:t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2027</w:t>
            </w:r>
          </w:p>
        </w:tc>
        <w:tc>
          <w:tcPr>
            <w:tcW w:w="60"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jc w:val="left"/>
            </w:pPr>
            <w:r>
              <w:t> </w:t>
            </w:r>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2,085</w:t>
            </w:r>
          </w:p>
        </w:tc>
        <w:tc>
          <w:tcPr>
            <w:tcW w:w="60" w:type="dxa"/>
            <w:tcBorders/>
            <w:shd w:fill="CCEEFF" w:val="clear"/>
            <w:vAlign w:val="center"/>
          </w:tcPr>
          <w:p>
            <w:pPr>
              <w:pStyle w:val="TableContents"/>
              <w:bidi w:val="0"/>
              <w:spacing w:before="0" w:after="283"/>
              <w:ind w:left="0" w:right="0" w:hanging="0"/>
              <w:jc w:val="left"/>
            </w:pPr>
            <w:r>
              <w:t> </w:t>
            </w:r>
          </w:p>
        </w:tc>
      </w:tr>
      <w:t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2028</w:t>
            </w:r>
          </w:p>
        </w:tc>
        <w:tc>
          <w:tcPr>
            <w:tcW w:w="60" w:type="dxa"/>
            <w:tcBorders/>
            <w:shd w:fill="FFFFFF" w:val="clear"/>
            <w:vAlign w:val="center"/>
          </w:tcPr>
          <w:p>
            <w:pPr>
              <w:pStyle w:val="TableContents"/>
              <w:bidi w:val="0"/>
              <w:spacing w:before="0" w:after="0"/>
              <w:ind w:left="0" w:right="0" w:hanging="0"/>
              <w:jc w:val="left"/>
            </w:pPr>
            <w:r>
              <w:t> </w:t>
            </w:r>
          </w:p>
        </w:tc>
        <w:tc>
          <w:tcPr>
            <w:tcW w:w="210" w:type="dxa"/>
            <w:tcBorders/>
            <w:shd w:fill="FFFFFF" w:val="clear"/>
            <w:vAlign w:val="center"/>
          </w:tcPr>
          <w:p>
            <w:pPr>
              <w:pStyle w:val="TableContents"/>
              <w:bidi w:val="0"/>
              <w:spacing w:before="0" w:after="0"/>
              <w:ind w:left="0" w:right="0" w:hanging="0"/>
              <w:jc w:val="left"/>
            </w:pPr>
            <w:r>
              <w:t> </w:t>
            </w:r>
          </w:p>
        </w:tc>
        <w:tc>
          <w:tcPr>
            <w:tcW w:w="9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w:t>
            </w:r>
          </w:p>
        </w:tc>
        <w:tc>
          <w:tcPr>
            <w:tcW w:w="60" w:type="dxa"/>
            <w:tcBorders/>
            <w:shd w:fill="FFFFFF" w:val="clear"/>
            <w:vAlign w:val="center"/>
          </w:tcPr>
          <w:p>
            <w:pPr>
              <w:pStyle w:val="TableContents"/>
              <w:bidi w:val="0"/>
              <w:spacing w:before="0" w:after="0"/>
              <w:ind w:left="0" w:right="0" w:hanging="0"/>
              <w:jc w:val="left"/>
            </w:pPr>
            <w:r>
              <w:t> </w:t>
            </w:r>
          </w:p>
        </w:tc>
      </w:tr>
      <w:t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2028</w:t>
            </w:r>
          </w:p>
        </w:tc>
        <w:tc>
          <w:tcPr>
            <w:tcW w:w="60" w:type="dxa"/>
            <w:tcBorders/>
            <w:shd w:fill="CCEEFF" w:val="clear"/>
            <w:vAlign w:val="center"/>
          </w:tcPr>
          <w:p>
            <w:pPr>
              <w:pStyle w:val="TableContents"/>
              <w:bidi w:val="0"/>
              <w:spacing w:before="0" w:after="0"/>
              <w:ind w:left="0" w:right="0" w:hanging="0"/>
              <w:jc w:val="left"/>
            </w:pPr>
            <w:r>
              <w:t> </w:t>
            </w:r>
          </w:p>
        </w:tc>
        <w:tc>
          <w:tcPr>
            <w:tcW w:w="210" w:type="dxa"/>
            <w:tcBorders/>
            <w:shd w:fill="CCEEFF" w:val="clear"/>
            <w:vAlign w:val="center"/>
          </w:tcPr>
          <w:p>
            <w:pPr>
              <w:pStyle w:val="TableContents"/>
              <w:bidi w:val="0"/>
              <w:spacing w:before="0" w:after="0"/>
              <w:ind w:left="0" w:right="0" w:hanging="0"/>
              <w:jc w:val="left"/>
            </w:pPr>
            <w: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c>
          <w:tcPr>
            <w:tcW w:w="60" w:type="dxa"/>
            <w:tcBorders/>
            <w:shd w:fill="CCEEFF" w:val="clear"/>
            <w:vAlign w:val="center"/>
          </w:tcPr>
          <w:p>
            <w:pPr>
              <w:pStyle w:val="TableContents"/>
              <w:bidi w:val="0"/>
              <w:spacing w:before="0" w:after="0"/>
              <w:ind w:left="0" w:right="0" w:hanging="0"/>
              <w:jc w:val="left"/>
            </w:pPr>
            <w:r>
              <w:t> </w:t>
            </w:r>
          </w:p>
        </w:tc>
      </w:tr>
      <w:t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2028</w:t>
            </w:r>
          </w:p>
        </w:tc>
        <w:tc>
          <w:tcPr>
            <w:tcW w:w="60" w:type="dxa"/>
            <w:tcBorders/>
            <w:shd w:fill="FFFFFF" w:val="clear"/>
            <w:vAlign w:val="center"/>
          </w:tcPr>
          <w:p>
            <w:pPr>
              <w:pStyle w:val="TableContents"/>
              <w:bidi w:val="0"/>
              <w:spacing w:before="0" w:after="0"/>
              <w:ind w:left="0" w:right="0" w:hanging="0"/>
              <w:jc w:val="left"/>
            </w:pPr>
            <w:r>
              <w:t> </w:t>
            </w:r>
          </w:p>
        </w:tc>
        <w:tc>
          <w:tcPr>
            <w:tcW w:w="210" w:type="dxa"/>
            <w:tcBorders/>
            <w:shd w:fill="FFFFFF" w:val="clear"/>
            <w:vAlign w:val="center"/>
          </w:tcPr>
          <w:p>
            <w:pPr>
              <w:pStyle w:val="TableContents"/>
              <w:bidi w:val="0"/>
              <w:spacing w:before="0" w:after="0"/>
              <w:ind w:left="0" w:right="0" w:hanging="0"/>
              <w:jc w:val="left"/>
            </w:pPr>
            <w:r>
              <w:t> </w:t>
            </w:r>
          </w:p>
        </w:tc>
        <w:tc>
          <w:tcPr>
            <w:tcW w:w="9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w:t>
            </w:r>
          </w:p>
        </w:tc>
        <w:tc>
          <w:tcPr>
            <w:tcW w:w="60" w:type="dxa"/>
            <w:tcBorders/>
            <w:shd w:fill="FFFFFF" w:val="clear"/>
            <w:vAlign w:val="center"/>
          </w:tcPr>
          <w:p>
            <w:pPr>
              <w:pStyle w:val="TableContents"/>
              <w:bidi w:val="0"/>
              <w:spacing w:before="0" w:after="0"/>
              <w:jc w:val="left"/>
            </w:pPr>
            <w:r>
              <w:t> </w:t>
            </w:r>
          </w:p>
        </w:tc>
      </w:tr>
      <w:t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2028</w:t>
            </w:r>
          </w:p>
        </w:tc>
        <w:tc>
          <w:tcPr>
            <w:tcW w:w="60"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jc w:val="left"/>
            </w:pPr>
            <w:r>
              <w:t> </w:t>
            </w:r>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1,650</w:t>
            </w:r>
          </w:p>
        </w:tc>
        <w:tc>
          <w:tcPr>
            <w:tcW w:w="60" w:type="dxa"/>
            <w:tcBorders/>
            <w:shd w:fill="CCEEFF" w:val="clear"/>
            <w:vAlign w:val="center"/>
          </w:tcPr>
          <w:p>
            <w:pPr>
              <w:pStyle w:val="TableContents"/>
              <w:bidi w:val="0"/>
              <w:spacing w:before="0" w:after="283"/>
              <w:ind w:left="0" w:right="0" w:hanging="0"/>
              <w:jc w:val="left"/>
            </w:pPr>
            <w:r>
              <w:t> </w:t>
            </w:r>
          </w:p>
        </w:tc>
      </w:tr>
      <w:t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2029</w:t>
            </w:r>
          </w:p>
        </w:tc>
        <w:tc>
          <w:tcPr>
            <w:tcW w:w="60" w:type="dxa"/>
            <w:tcBorders/>
            <w:shd w:fill="FFFFFF" w:val="clear"/>
            <w:vAlign w:val="center"/>
          </w:tcPr>
          <w:p>
            <w:pPr>
              <w:pStyle w:val="TableContents"/>
              <w:bidi w:val="0"/>
              <w:spacing w:before="0" w:after="0"/>
              <w:ind w:left="0" w:right="0" w:hanging="0"/>
              <w:jc w:val="left"/>
            </w:pPr>
            <w:r>
              <w:t> </w:t>
            </w:r>
          </w:p>
        </w:tc>
        <w:tc>
          <w:tcPr>
            <w:tcW w:w="210" w:type="dxa"/>
            <w:tcBorders/>
            <w:shd w:fill="FFFFFF" w:val="clear"/>
            <w:vAlign w:val="center"/>
          </w:tcPr>
          <w:p>
            <w:pPr>
              <w:pStyle w:val="TableContents"/>
              <w:bidi w:val="0"/>
              <w:spacing w:before="0" w:after="0"/>
              <w:ind w:left="0" w:right="0" w:hanging="0"/>
              <w:jc w:val="left"/>
            </w:pPr>
            <w:r>
              <w:t> </w:t>
            </w:r>
          </w:p>
        </w:tc>
        <w:tc>
          <w:tcPr>
            <w:tcW w:w="9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60" w:type="dxa"/>
            <w:tcBorders/>
            <w:shd w:fill="FFFFFF" w:val="clear"/>
            <w:vAlign w:val="center"/>
          </w:tcPr>
          <w:p>
            <w:pPr>
              <w:pStyle w:val="TableContents"/>
              <w:bidi w:val="0"/>
              <w:spacing w:before="0" w:after="0"/>
              <w:jc w:val="left"/>
            </w:pPr>
            <w:r>
              <w:t> </w:t>
            </w:r>
          </w:p>
        </w:tc>
      </w:tr>
      <w:t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2029</w:t>
            </w:r>
          </w:p>
        </w:tc>
        <w:tc>
          <w:tcPr>
            <w:tcW w:w="60"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jc w:val="left"/>
            </w:pPr>
            <w:r>
              <w:t> </w:t>
            </w:r>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w:t>
            </w:r>
          </w:p>
        </w:tc>
        <w:tc>
          <w:tcPr>
            <w:tcW w:w="60" w:type="dxa"/>
            <w:tcBorders/>
            <w:shd w:fill="CCEEFF" w:val="clear"/>
            <w:vAlign w:val="center"/>
          </w:tcPr>
          <w:p>
            <w:pPr>
              <w:pStyle w:val="TableContents"/>
              <w:bidi w:val="0"/>
              <w:spacing w:before="0" w:after="283"/>
              <w:jc w:val="left"/>
            </w:pPr>
            <w:r>
              <w:t> </w:t>
            </w:r>
          </w:p>
        </w:tc>
      </w:tr>
      <w:t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2029</w:t>
            </w:r>
          </w:p>
        </w:tc>
        <w:tc>
          <w:tcPr>
            <w:tcW w:w="60" w:type="dxa"/>
            <w:tcBorders/>
            <w:shd w:fill="FFFFFF" w:val="clear"/>
            <w:vAlign w:val="center"/>
          </w:tcPr>
          <w:p>
            <w:pPr>
              <w:pStyle w:val="TableContents"/>
              <w:bidi w:val="0"/>
              <w:spacing w:before="0" w:after="283"/>
              <w:jc w:val="left"/>
            </w:pPr>
            <w:r>
              <w:t> </w:t>
            </w:r>
          </w:p>
        </w:tc>
        <w:tc>
          <w:tcPr>
            <w:tcW w:w="210" w:type="dxa"/>
            <w:tcBorders/>
            <w:shd w:fill="FFFFFF" w:val="clear"/>
            <w:vAlign w:val="center"/>
          </w:tcPr>
          <w:p>
            <w:pPr>
              <w:pStyle w:val="TableContents"/>
              <w:bidi w:val="0"/>
              <w:spacing w:before="0" w:after="283"/>
              <w:ind w:left="0" w:right="0" w:hanging="0"/>
              <w:jc w:val="left"/>
            </w:pPr>
            <w: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60" w:type="dxa"/>
            <w:tcBorders/>
            <w:shd w:fill="FFFFFF" w:val="clear"/>
            <w:vAlign w:val="center"/>
          </w:tcPr>
          <w:p>
            <w:pPr>
              <w:pStyle w:val="TableContents"/>
              <w:bidi w:val="0"/>
              <w:spacing w:before="0" w:after="283"/>
              <w:jc w:val="left"/>
            </w:pPr>
            <w:r>
              <w:t> </w:t>
            </w:r>
          </w:p>
        </w:tc>
      </w:tr>
      <w:t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2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24,415</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$0.4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administrative fee expense was $1.5 million and $1.2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 administrative fee payable at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was $0.4 million and $0.3 million, respectively. The administrative fee payable is included in other accrued liabilities on the Company's Statement of Assets and Liabilities.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Exemptive Relief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Advisor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the Company with an opportunity to co-invest with other investment vehicles managed by the Advisor, Monroe and/or their affiliates. Under the </w:t>
      </w:r>
      <w:r>
        <w:rPr>
          <w:rStyle w:val="Emphasis"/>
          <w:rFonts w:ascii="Times New Roman" w:hAnsi="Times New Roman"/>
          <w:caps w:val="false"/>
          <w:smallCaps w:val="false"/>
          <w:sz w:val="20"/>
        </w:rPr>
        <w:t>1940</w:t>
      </w:r>
      <w:r>
        <w:rPr>
          <w:rFonts w:ascii="Times New Roman" w:hAnsi="Times New Roman"/>
          <w:caps w:val="false"/>
          <w:smallCaps w:val="false"/>
          <w:sz w:val="20"/>
        </w:rPr>
        <w:t xml:space="preserve"> Act, absent receipt of exemptive relief from the SEC, the Company and its affiliates are precluded from co-investing in negotiated investments with other funds and accounts sponsored or managed by the Advisor, Monroe and their affiliates. On </w:t>
      </w:r>
      <w:r>
        <w:rPr>
          <w:rStyle w:val="Emphasis"/>
          <w:rFonts w:ascii="Times New Roman" w:hAnsi="Times New Roman"/>
          <w:caps w:val="false"/>
          <w:smallCaps w:val="false"/>
          <w:sz w:val="20"/>
        </w:rPr>
        <w:t xml:space="preserve">December 17, 2025, </w:t>
      </w:r>
      <w:r>
        <w:rPr>
          <w:rFonts w:ascii="Times New Roman" w:hAnsi="Times New Roman"/>
          <w:caps w:val="false"/>
          <w:smallCaps w:val="false"/>
          <w:sz w:val="20"/>
        </w:rPr>
        <w:t>the SEC granted Monroe and its affiliates, the Advisor, and the Company exemptive relief for co-investments for the Company, the Advisor, Monroe and its affiliates. The Company is required to comply with all terms and conditions required therein. The exemptive relief affords the Advisor greater flexibility to negotiate the terms of co-investments if the Board determines that it would be advantageous for the Company to co-invest with other accounts sponsored or managed by the Advisor, Monroe or their affiliates in a manner consistent with the Company's investment objectives, positions, policies, strategies and restrictions as well as regulatory requirements and other pertinent factors.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shows the Company’s investments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095"/>
        <w:gridCol w:w="60"/>
        <w:gridCol w:w="125"/>
        <w:gridCol w:w="695"/>
        <w:gridCol w:w="60"/>
        <w:gridCol w:w="60"/>
        <w:gridCol w:w="142"/>
        <w:gridCol w:w="792"/>
        <w:gridCol w:w="60"/>
        <w:gridCol w:w="60"/>
        <w:gridCol w:w="125"/>
        <w:gridCol w:w="695"/>
        <w:gridCol w:w="60"/>
        <w:gridCol w:w="60"/>
        <w:gridCol w:w="142"/>
        <w:gridCol w:w="792"/>
        <w:gridCol w:w="60"/>
      </w:tblGrid>
      <w:tr>
        <w:tc>
          <w:tcPr>
            <w:tcW w:w="30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0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0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68"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Debt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689,871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621,222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602,488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596,025</w:t>
            </w:r>
          </w:p>
        </w:tc>
        <w:tc>
          <w:tcPr>
            <w:tcW w:w="60" w:type="dxa"/>
            <w:tcBorders/>
            <w:shd w:fill="FFFFFF" w:val="clear"/>
            <w:vAlign w:val="center"/>
          </w:tcPr>
          <w:p>
            <w:pPr>
              <w:pStyle w:val="TableContents"/>
              <w:bidi w:val="0"/>
              <w:spacing w:before="0" w:after="283"/>
              <w:jc w:val="left"/>
            </w:pPr>
            <w:r>
              <w:t> </w:t>
            </w:r>
          </w:p>
        </w:tc>
      </w:tr>
      <w:t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Warrants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16,648</w:t>
            </w:r>
          </w:p>
        </w:tc>
        <w:tc>
          <w:tcPr>
            <w:tcW w:w="60" w:type="dxa"/>
            <w:tcBorders/>
            <w:shd w:fill="CCEEFF" w:val="clear"/>
            <w:vAlign w:val="center"/>
          </w:tcPr>
          <w:p>
            <w:pPr>
              <w:pStyle w:val="TableContents"/>
              <w:bidi w:val="0"/>
              <w:spacing w:before="0" w:after="283"/>
              <w:jc w:val="left"/>
            </w:pPr>
            <w:r>
              <w:t> </w:t>
            </w:r>
          </w:p>
        </w:tc>
      </w:tr>
      <w:t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37,081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45,258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3,444</w:t>
            </w:r>
          </w:p>
        </w:tc>
        <w:tc>
          <w:tcPr>
            <w:tcW w:w="60" w:type="dxa"/>
            <w:tcBorders/>
            <w:shd w:fill="FFFFFF" w:val="clear"/>
            <w:vAlign w:val="center"/>
          </w:tcPr>
          <w:p>
            <w:pPr>
              <w:pStyle w:val="TableContents"/>
              <w:bidi w:val="0"/>
              <w:spacing w:before="0" w:after="283"/>
              <w:jc w:val="left"/>
            </w:pPr>
            <w:r>
              <w:t> </w:t>
            </w:r>
          </w:p>
        </w:tc>
      </w:tr>
      <w:t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42,655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31,127</w:t>
            </w:r>
          </w:p>
        </w:tc>
        <w:tc>
          <w:tcPr>
            <w:tcW w:w="60" w:type="dxa"/>
            <w:tcBorders/>
            <w:shd w:fill="CCEEFF" w:val="clear"/>
            <w:vAlign w:val="center"/>
          </w:tcPr>
          <w:p>
            <w:pPr>
              <w:pStyle w:val="TableContents"/>
              <w:bidi w:val="0"/>
              <w:spacing w:before="0" w:after="283"/>
              <w:ind w:left="0" w:right="0" w:hanging="0"/>
              <w:jc w:val="left"/>
            </w:pPr>
            <w:r>
              <w:t> </w:t>
            </w:r>
          </w:p>
        </w:tc>
      </w:tr>
      <w:tr>
        <w:tc>
          <w:tcPr>
            <w:tcW w:w="3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interest in RoHo Joint Venture</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8,264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780,670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650,323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705,269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647,244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shows the Company’s investments by industry sector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080"/>
        <w:gridCol w:w="60"/>
        <w:gridCol w:w="125"/>
        <w:gridCol w:w="695"/>
        <w:gridCol w:w="60"/>
        <w:gridCol w:w="60"/>
        <w:gridCol w:w="142"/>
        <w:gridCol w:w="792"/>
        <w:gridCol w:w="60"/>
        <w:gridCol w:w="60"/>
        <w:gridCol w:w="125"/>
        <w:gridCol w:w="695"/>
        <w:gridCol w:w="60"/>
        <w:gridCol w:w="60"/>
        <w:gridCol w:w="142"/>
        <w:gridCol w:w="792"/>
        <w:gridCol w:w="60"/>
      </w:tblGrid>
      <w:tr>
        <w:tc>
          <w:tcPr>
            <w:tcW w:w="30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68"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Life Science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101,258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69,659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94,280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61,829</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Medical Device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243,520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245,652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227,893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222,485</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79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79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Communications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3,142</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Consumer-Related</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31,204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21,846</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Data Storage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Internet and Media</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Networking</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252,104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240,354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199,608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190,911</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Sustainability</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Alternative Energy</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9,452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7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8,882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7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4,905</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Energy Efficiency</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Sustainability</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40,483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50,321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49,315</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Healthcare Information and Services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Diagnostics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11,369</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38,902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20,456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34,508</w:t>
            </w:r>
          </w:p>
        </w:tc>
        <w:tc>
          <w:tcPr>
            <w:tcW w:w="6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45,094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28,862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46,544</w:t>
            </w:r>
          </w:p>
        </w:tc>
        <w:tc>
          <w:tcPr>
            <w:tcW w:w="6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funds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r>
      <w:t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RoHo Capital Opportunity Fund LLC</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8,264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780,670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650,323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705,269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647,244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RoHo Capital Opportunity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18, 2026, </w:t>
      </w:r>
      <w:r>
        <w:rPr>
          <w:rFonts w:ascii="Times New Roman" w:hAnsi="Times New Roman"/>
          <w:caps w:val="false"/>
          <w:smallCaps w:val="false"/>
          <w:sz w:val="20"/>
        </w:rPr>
        <w:t>the Company and CRFH entered into the LLC Agreement to form the RoHo Joint Venture. The RoHo Joint Venture is intended to enhance the investment strategy of the Company by providing growth capital financing solutions to small and micro-cap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has committed to invest up to $87.5 million in the RoHo Joint Venture and CRFH has committed to invest up to $12.5 million in the RoHo Joint Venture. Investments by each of the Company and CRFH in the RoHo Joint Venture will be made in the form of membership interests.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$79.0 of the Company’s commitment was unfunded.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investments by the RoHo Joint Venture must be approved by the unanimous vote of the RoHo Joint Venture’s investment committee, which is comprised of an equal number of representatives designated by each of the Company and CRFH. Further, all other decisions regarding the management of the RoHo Joint Venture require the approval of the majority of the RoHo Joint Venture’s board of directors, which is comprised of an equal number of representatives from each of the Company and CRFH.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RoHo Joint Venture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consolidated by either the Company or CRFH for financial reporting purposes. Investments held by the RoHo Joint Venture are measured at fair value using the same valuation methodology as described in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RoHo Joint Venture had total assets of $9.1 million. The RoHo Joint Venture’s portfolio consisted of a debt investment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portfolio company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with an aggregate principal amount was $10.0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RoHo Joint Venture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investments on non-accrual status. The RoHo Joint Venture invests in portfolio companies in the same industries in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directly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for the period </w:t>
      </w:r>
      <w:r>
        <w:rPr>
          <w:rStyle w:val="Emphasis"/>
          <w:rFonts w:ascii="Times New Roman" w:hAnsi="Times New Roman"/>
          <w:caps w:val="false"/>
          <w:smallCaps w:val="false"/>
          <w:sz w:val="20"/>
        </w:rPr>
        <w:t>March 18, 2026 (</w:t>
      </w:r>
      <w:r>
        <w:rPr>
          <w:rFonts w:ascii="Times New Roman" w:hAnsi="Times New Roman"/>
          <w:caps w:val="false"/>
          <w:smallCaps w:val="false"/>
          <w:sz w:val="20"/>
        </w:rPr>
        <w:t xml:space="preserve">the commencement of the RoHo Joint Venture’s operations) through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there were no distributions from the RoHo Joint Venture.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pPr>
      <w: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shows the RoHo Joint Venture’s investments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4"/>
        <w:gridCol w:w="60"/>
        <w:gridCol w:w="532"/>
        <w:gridCol w:w="536"/>
        <w:gridCol w:w="60"/>
        <w:gridCol w:w="60"/>
        <w:gridCol w:w="591"/>
        <w:gridCol w:w="591"/>
        <w:gridCol w:w="60"/>
        <w:gridCol w:w="60"/>
        <w:gridCol w:w="72"/>
        <w:gridCol w:w="839"/>
        <w:gridCol w:w="185"/>
        <w:gridCol w:w="60"/>
        <w:gridCol w:w="250"/>
        <w:gridCol w:w="250"/>
        <w:gridCol w:w="60"/>
        <w:gridCol w:w="60"/>
        <w:gridCol w:w="424"/>
        <w:gridCol w:w="426"/>
        <w:gridCol w:w="60"/>
        <w:gridCol w:w="60"/>
        <w:gridCol w:w="139"/>
        <w:gridCol w:w="661"/>
        <w:gridCol w:w="60"/>
        <w:gridCol w:w="60"/>
        <w:gridCol w:w="229"/>
        <w:gridCol w:w="890"/>
        <w:gridCol w:w="60"/>
        <w:gridCol w:w="60"/>
        <w:gridCol w:w="125"/>
        <w:gridCol w:w="485"/>
        <w:gridCol w:w="66"/>
      </w:tblGrid>
      <w:tr>
        <w:tc>
          <w:tcPr>
            <w:tcW w:w="207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53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center"/>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Principal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Fair</w:t>
            </w:r>
          </w:p>
        </w:tc>
        <w:tc>
          <w:tcPr>
            <w:tcW w:w="66" w:type="dxa"/>
            <w:tcBorders/>
            <w:shd w:fill="FFFFFF" w:val="clear"/>
            <w:vAlign w:val="center"/>
          </w:tcPr>
          <w:p>
            <w:pPr>
              <w:pStyle w:val="TableContents"/>
              <w:bidi w:val="0"/>
              <w:spacing w:before="0" w:after="283"/>
              <w:jc w:val="left"/>
            </w:pPr>
            <w:r>
              <w:t> </w:t>
            </w:r>
          </w:p>
        </w:tc>
      </w:tr>
      <w:tr>
        <w:tc>
          <w:tcPr>
            <w:tcW w:w="2074" w:type="dxa"/>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 Company (1)</w:t>
            </w:r>
          </w:p>
        </w:tc>
        <w:tc>
          <w:tcPr>
            <w:tcW w:w="60" w:type="dxa"/>
            <w:tcBorders/>
            <w:shd w:fill="FFFFFF" w:val="clear"/>
            <w:vAlign w:val="center"/>
          </w:tcPr>
          <w:p>
            <w:pPr>
              <w:pStyle w:val="TableContents"/>
              <w:bidi w:val="0"/>
              <w:spacing w:before="0" w:after="283"/>
              <w:ind w:left="0" w:right="0" w:hanging="0"/>
              <w:jc w:val="left"/>
            </w:pPr>
            <w:r>
              <w:t> </w:t>
            </w:r>
          </w:p>
        </w:tc>
        <w:tc>
          <w:tcPr>
            <w:tcW w:w="10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Sector</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2"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Investment (2)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Rate (3)</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Index</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Maturity Date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Investments(4)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Value</w:t>
            </w:r>
          </w:p>
        </w:tc>
        <w:tc>
          <w:tcPr>
            <w:tcW w:w="66" w:type="dxa"/>
            <w:tcBorders/>
            <w:shd w:fill="FFFFFF" w:val="clear"/>
            <w:vAlign w:val="center"/>
          </w:tcPr>
          <w:p>
            <w:pPr>
              <w:pStyle w:val="TableContents"/>
              <w:bidi w:val="0"/>
              <w:spacing w:before="0" w:after="283"/>
              <w:jc w:val="left"/>
            </w:pPr>
            <w:r>
              <w:t> </w:t>
            </w:r>
          </w:p>
        </w:tc>
      </w:tr>
      <w:tr>
        <w:tc>
          <w:tcPr>
            <w:tcW w:w="10139" w:type="dxa"/>
            <w:gridSpan w:val="3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6" w:type="dxa"/>
            <w:tcBorders/>
            <w:shd w:fill="FFFFFF" w:val="clear"/>
            <w:vAlign w:val="center"/>
          </w:tcPr>
          <w:p>
            <w:pPr>
              <w:pStyle w:val="TableContents"/>
              <w:bidi w:val="0"/>
              <w:spacing w:before="0" w:after="283"/>
              <w:jc w:val="left"/>
            </w:pPr>
            <w:r>
              <w:t> </w:t>
            </w:r>
          </w:p>
        </w:tc>
      </w:tr>
      <w:tr>
        <w:tc>
          <w:tcPr>
            <w:tcW w:w="20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Debt Investments — Sustainability</w:t>
            </w:r>
          </w:p>
        </w:tc>
        <w:tc>
          <w:tcPr>
            <w:tcW w:w="60"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53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3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pPr>
            <w:r>
              <w:t> </w:t>
            </w:r>
          </w:p>
        </w:tc>
        <w:tc>
          <w:tcPr>
            <w:tcW w:w="42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r>
      <w:tr>
        <w:tc>
          <w:tcPr>
            <w:tcW w:w="2074"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NeoVolta, Inc. (5)(6)</w:t>
            </w:r>
          </w:p>
        </w:tc>
        <w:tc>
          <w:tcPr>
            <w:tcW w:w="60" w:type="dxa"/>
            <w:tcBorders/>
            <w:shd w:fill="FFFFFF" w:val="clear"/>
            <w:vAlign w:val="center"/>
          </w:tcPr>
          <w:p>
            <w:pPr>
              <w:pStyle w:val="TableContents"/>
              <w:bidi w:val="0"/>
              <w:spacing w:before="0" w:after="283"/>
              <w:ind w:left="0" w:right="0" w:hanging="0"/>
              <w:jc w:val="left"/>
            </w:pPr>
            <w:r>
              <w:t> </w:t>
            </w:r>
          </w:p>
        </w:tc>
        <w:tc>
          <w:tcPr>
            <w:tcW w:w="1068"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Alternative Energy</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2"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Term Loan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Fixed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4, 2028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6" w:type="dxa"/>
            <w:tcBorders/>
            <w:shd w:fill="FFFFFF" w:val="clear"/>
            <w:vAlign w:val="center"/>
          </w:tcPr>
          <w:p>
            <w:pPr>
              <w:pStyle w:val="TableContents"/>
              <w:bidi w:val="0"/>
              <w:spacing w:before="0" w:after="283"/>
              <w:jc w:val="left"/>
            </w:pPr>
            <w:r>
              <w:t> </w:t>
            </w:r>
          </w:p>
        </w:tc>
      </w:tr>
      <w:tr>
        <w:tc>
          <w:tcPr>
            <w:tcW w:w="20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Investments — Sustainability</w:t>
            </w:r>
          </w:p>
        </w:tc>
        <w:tc>
          <w:tcPr>
            <w:tcW w:w="60"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536" w:type="dxa"/>
            <w:tcBorders/>
            <w:shd w:fill="CCEEFF" w:val="clear"/>
            <w:vAlign w:val="center"/>
          </w:tcPr>
          <w:p>
            <w:pPr>
              <w:pStyle w:val="TableContents"/>
              <w:bidi w:val="0"/>
              <w:spacing w:before="0" w:after="283"/>
              <w:ind w:left="0" w:right="0" w:hanging="0"/>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ind w:left="0" w:right="0" w:hanging="0"/>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39" w:type="dxa"/>
            <w:tcBorders/>
            <w:shd w:fill="CCEEFF" w:val="clear"/>
            <w:vAlign w:val="center"/>
          </w:tcPr>
          <w:p>
            <w:pPr>
              <w:pStyle w:val="TableContents"/>
              <w:bidi w:val="0"/>
              <w:spacing w:before="0" w:after="283"/>
              <w:jc w:val="left"/>
            </w:pPr>
            <w:r>
              <w:rPr>
                <w:rStyle w:val="Emphasis"/>
              </w:rP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ind w:left="0" w:right="0" w:hanging="0"/>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pPr>
            <w:r>
              <w:t> </w:t>
            </w:r>
          </w:p>
        </w:tc>
        <w:tc>
          <w:tcPr>
            <w:tcW w:w="426" w:type="dxa"/>
            <w:tcBorders/>
            <w:shd w:fill="CCEEFF" w:val="clear"/>
            <w:vAlign w:val="center"/>
          </w:tcPr>
          <w:p>
            <w:pPr>
              <w:pStyle w:val="TableContents"/>
              <w:bidi w:val="0"/>
              <w:spacing w:before="0" w:after="283"/>
              <w:ind w:left="0" w:right="0" w:hanging="0"/>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6" w:type="dxa"/>
            <w:tcBorders/>
            <w:shd w:fill="CCEEFF" w:val="clear"/>
            <w:vAlign w:val="center"/>
          </w:tcPr>
          <w:p>
            <w:pPr>
              <w:pStyle w:val="TableContents"/>
              <w:bidi w:val="0"/>
              <w:spacing w:before="0" w:after="283"/>
              <w:jc w:val="left"/>
            </w:pPr>
            <w:r>
              <w:t> </w:t>
            </w:r>
          </w:p>
        </w:tc>
      </w:tr>
      <w:tr>
        <w:tc>
          <w:tcPr>
            <w:tcW w:w="20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Investments</w:t>
            </w:r>
          </w:p>
        </w:tc>
        <w:tc>
          <w:tcPr>
            <w:tcW w:w="60"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53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6" w:type="dxa"/>
            <w:tcBorders/>
            <w:shd w:fill="FFFFFF" w:val="clear"/>
            <w:vAlign w:val="center"/>
          </w:tcPr>
          <w:p>
            <w:pPr>
              <w:pStyle w:val="TableContents"/>
              <w:bidi w:val="0"/>
              <w:spacing w:before="0" w:after="283"/>
              <w:jc w:val="left"/>
            </w:pPr>
            <w:r>
              <w:t> </w:t>
            </w:r>
          </w:p>
        </w:tc>
      </w:tr>
      <w:tr>
        <w:tc>
          <w:tcPr>
            <w:tcW w:w="207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53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r>
      <w:tr>
        <w:tc>
          <w:tcPr>
            <w:tcW w:w="207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53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r>
      <w:tr>
        <w:tc>
          <w:tcPr>
            <w:tcW w:w="2074" w:type="dxa"/>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 Company (1)(3)</w:t>
            </w:r>
          </w:p>
        </w:tc>
        <w:tc>
          <w:tcPr>
            <w:tcW w:w="60" w:type="dxa"/>
            <w:tcBorders/>
            <w:shd w:fill="FFFFFF" w:val="clear"/>
            <w:vAlign w:val="center"/>
          </w:tcPr>
          <w:p>
            <w:pPr>
              <w:pStyle w:val="TableContents"/>
              <w:bidi w:val="0"/>
              <w:spacing w:before="0" w:after="283"/>
              <w:ind w:left="0" w:right="0" w:hanging="0"/>
              <w:jc w:val="left"/>
            </w:pPr>
            <w:r>
              <w:t> </w:t>
            </w:r>
          </w:p>
        </w:tc>
        <w:tc>
          <w:tcPr>
            <w:tcW w:w="10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Sector</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2"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Investment (7)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Number of Shares</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rPr>
                <w:rStyle w:val="Emphasis"/>
              </w:rPr>
              <w:t> </w:t>
            </w:r>
          </w:p>
        </w:tc>
        <w:tc>
          <w:tcPr>
            <w:tcW w:w="66" w:type="dxa"/>
            <w:tcBorders/>
            <w:shd w:fill="FFFFFF" w:val="clear"/>
            <w:vAlign w:val="center"/>
          </w:tcPr>
          <w:p>
            <w:pPr>
              <w:pStyle w:val="TableContents"/>
              <w:bidi w:val="0"/>
              <w:spacing w:before="0" w:after="283"/>
              <w:jc w:val="left"/>
            </w:pPr>
            <w:r>
              <w:t> </w:t>
            </w:r>
          </w:p>
        </w:tc>
      </w:tr>
      <w:tr>
        <w:tc>
          <w:tcPr>
            <w:tcW w:w="20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 Investments — Sustainability</w:t>
            </w:r>
          </w:p>
        </w:tc>
        <w:tc>
          <w:tcPr>
            <w:tcW w:w="60"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53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3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pPr>
            <w:r>
              <w:t> </w:t>
            </w:r>
          </w:p>
        </w:tc>
        <w:tc>
          <w:tcPr>
            <w:tcW w:w="42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r>
      <w:tr>
        <w:tc>
          <w:tcPr>
            <w:tcW w:w="2074"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NeoVolta, Inc. (5)(6)</w:t>
            </w:r>
          </w:p>
        </w:tc>
        <w:tc>
          <w:tcPr>
            <w:tcW w:w="60" w:type="dxa"/>
            <w:tcBorders/>
            <w:shd w:fill="FFFFFF" w:val="clear"/>
            <w:vAlign w:val="center"/>
          </w:tcPr>
          <w:p>
            <w:pPr>
              <w:pStyle w:val="TableContents"/>
              <w:bidi w:val="0"/>
              <w:spacing w:before="0" w:after="283"/>
              <w:ind w:left="0" w:right="0" w:hanging="0"/>
              <w:jc w:val="left"/>
            </w:pPr>
            <w:r>
              <w:t> </w:t>
            </w:r>
          </w:p>
        </w:tc>
        <w:tc>
          <w:tcPr>
            <w:tcW w:w="1068"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Alternative Energy</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2" w:type="dxa"/>
            <w:gridSpan w:val="2"/>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Common Stock Warrants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727,273</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6" w:type="dxa"/>
            <w:tcBorders/>
            <w:shd w:fill="FFFFFF" w:val="clear"/>
            <w:vAlign w:val="center"/>
          </w:tcPr>
          <w:p>
            <w:pPr>
              <w:pStyle w:val="TableContents"/>
              <w:bidi w:val="0"/>
              <w:spacing w:before="0" w:after="283"/>
              <w:jc w:val="left"/>
            </w:pPr>
            <w:r>
              <w:t> </w:t>
            </w:r>
          </w:p>
        </w:tc>
      </w:tr>
      <w:tr>
        <w:tc>
          <w:tcPr>
            <w:tcW w:w="20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Warrant Investments — Sustainability</w:t>
            </w:r>
          </w:p>
        </w:tc>
        <w:tc>
          <w:tcPr>
            <w:tcW w:w="60"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53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39" w:type="dxa"/>
            <w:tcBorders/>
            <w:shd w:fill="CCEEFF" w:val="clear"/>
            <w:vAlign w:val="center"/>
          </w:tcPr>
          <w:p>
            <w:pPr>
              <w:pStyle w:val="TableContents"/>
              <w:bidi w:val="0"/>
              <w:spacing w:before="0" w:after="283"/>
              <w:jc w:val="right"/>
            </w:pPr>
            <w:r>
              <w:rPr>
                <w:rStyle w:val="Emphasis"/>
              </w:rP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pPr>
            <w:r>
              <w:t> </w:t>
            </w:r>
          </w:p>
        </w:tc>
        <w:tc>
          <w:tcPr>
            <w:tcW w:w="42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6" w:type="dxa"/>
            <w:tcBorders/>
            <w:shd w:fill="CCEEFF" w:val="clear"/>
            <w:vAlign w:val="center"/>
          </w:tcPr>
          <w:p>
            <w:pPr>
              <w:pStyle w:val="TableContents"/>
              <w:bidi w:val="0"/>
              <w:spacing w:before="0" w:after="283"/>
              <w:jc w:val="left"/>
            </w:pPr>
            <w:r>
              <w:t> </w:t>
            </w:r>
          </w:p>
        </w:tc>
      </w:tr>
      <w:tr>
        <w:tc>
          <w:tcPr>
            <w:tcW w:w="20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Warrant Investments</w:t>
            </w:r>
          </w:p>
        </w:tc>
        <w:tc>
          <w:tcPr>
            <w:tcW w:w="60"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53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6" w:type="dxa"/>
            <w:tcBorders/>
            <w:shd w:fill="FFFFFF" w:val="clear"/>
            <w:vAlign w:val="center"/>
          </w:tcPr>
          <w:p>
            <w:pPr>
              <w:pStyle w:val="TableContents"/>
              <w:bidi w:val="0"/>
              <w:spacing w:before="0" w:after="283"/>
              <w:jc w:val="left"/>
            </w:pPr>
            <w:r>
              <w:t> </w:t>
            </w:r>
          </w:p>
        </w:tc>
      </w:tr>
      <w:tr>
        <w:tc>
          <w:tcPr>
            <w:tcW w:w="207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53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3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pPr>
            <w:r>
              <w:t> </w:t>
            </w:r>
          </w:p>
        </w:tc>
        <w:tc>
          <w:tcPr>
            <w:tcW w:w="42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9"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r>
      <w:tr>
        <w:tc>
          <w:tcPr>
            <w:tcW w:w="20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Portfolio Investment Assets</w:t>
            </w:r>
          </w:p>
        </w:tc>
        <w:tc>
          <w:tcPr>
            <w:tcW w:w="60"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53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66" w:type="dxa"/>
            <w:tcBorders/>
            <w:shd w:fill="FFFFFF" w:val="clear"/>
            <w:vAlign w:val="center"/>
          </w:tcPr>
          <w:p>
            <w:pPr>
              <w:pStyle w:val="TableContents"/>
              <w:bidi w:val="0"/>
              <w:spacing w:before="0" w:after="283"/>
              <w:jc w:val="left"/>
            </w:pPr>
            <w:r>
              <w:t> </w:t>
            </w:r>
          </w:p>
        </w:tc>
      </w:tr>
      <w:tr>
        <w:tc>
          <w:tcPr>
            <w:tcW w:w="207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53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3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pPr>
            <w:r>
              <w:t> </w:t>
            </w:r>
          </w:p>
        </w:tc>
        <w:tc>
          <w:tcPr>
            <w:tcW w:w="42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pPr>
            <w:r>
              <w:t> </w:t>
            </w:r>
          </w:p>
        </w:tc>
        <w:tc>
          <w:tcPr>
            <w:tcW w:w="89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r>
      <w:tr>
        <w:tc>
          <w:tcPr>
            <w:tcW w:w="20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Short Term Investments — Unrestricted Investments</w:t>
            </w:r>
          </w:p>
        </w:tc>
        <w:tc>
          <w:tcPr>
            <w:tcW w:w="60"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53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pPr>
            <w:r>
              <w:t> </w:t>
            </w:r>
          </w:p>
        </w:tc>
        <w:tc>
          <w:tcPr>
            <w:tcW w:w="8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r>
      <w:tr>
        <w:tc>
          <w:tcPr>
            <w:tcW w:w="20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Bank Money Market Deposit Account</w:t>
            </w:r>
          </w:p>
        </w:tc>
        <w:tc>
          <w:tcPr>
            <w:tcW w:w="60"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53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left"/>
            </w:pPr>
            <w:r>
              <w:t> </w:t>
            </w:r>
          </w:p>
        </w:tc>
        <w:tc>
          <w:tcPr>
            <w:tcW w:w="591"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39" w:type="dxa"/>
            <w:tcBorders/>
            <w:shd w:fill="CCEEFF" w:val="clear"/>
            <w:vAlign w:val="center"/>
          </w:tcPr>
          <w:p>
            <w:pPr>
              <w:pStyle w:val="TableContents"/>
              <w:bidi w:val="0"/>
              <w:spacing w:before="0" w:after="283"/>
              <w:jc w:val="right"/>
            </w:pPr>
            <w:r>
              <w:rPr>
                <w:rStyle w:val="Emphasis"/>
              </w:rP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pPr>
            <w:r>
              <w:t> </w:t>
            </w:r>
          </w:p>
        </w:tc>
        <w:tc>
          <w:tcPr>
            <w:tcW w:w="42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6" w:type="dxa"/>
            <w:tcBorders/>
            <w:shd w:fill="CCEEFF" w:val="clear"/>
            <w:vAlign w:val="center"/>
          </w:tcPr>
          <w:p>
            <w:pPr>
              <w:pStyle w:val="TableContents"/>
              <w:bidi w:val="0"/>
              <w:spacing w:before="0" w:after="283"/>
              <w:jc w:val="left"/>
            </w:pPr>
            <w:r>
              <w:t> </w:t>
            </w:r>
          </w:p>
        </w:tc>
      </w:tr>
      <w:tr>
        <w:tc>
          <w:tcPr>
            <w:tcW w:w="3202" w:type="dxa"/>
            <w:gridSpan w:val="4"/>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b/>
                <w:caps w:val="false"/>
                <w:smallCaps w:val="false"/>
                <w:sz w:val="20"/>
              </w:rPr>
              <w:t>Total Short Term Investments — Unrestricted Investments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left"/>
            </w:pPr>
            <w:r>
              <w:t> </w:t>
            </w:r>
          </w:p>
        </w:tc>
        <w:tc>
          <w:tcPr>
            <w:tcW w:w="59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42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6"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c>
          <w:tcPr>
            <w:tcW w:w="219"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998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All investments of the Company are in entities organized under the laws of the United States and have a principal place of business in the United States, unless otherwise noted.</w:t>
            </w:r>
          </w:p>
        </w:tc>
      </w:tr>
      <w:tr>
        <w:tc>
          <w:tcPr>
            <w:tcW w:w="219" w:type="dxa"/>
            <w:tcBorders/>
            <w:vAlign w:val="center"/>
          </w:tcPr>
          <w:p>
            <w:pPr>
              <w:pStyle w:val="TableContents"/>
              <w:bidi w:val="0"/>
              <w:spacing w:before="0" w:after="283"/>
              <w:jc w:val="left"/>
            </w:pPr>
            <w:r>
              <w:rPr>
                <w:rFonts w:ascii="Times New Roman;Times;serif" w:hAnsi="Times New Roman;Times;serif"/>
                <w:sz w:val="18"/>
              </w:rPr>
              <w:t>(</w:t>
            </w:r>
            <w:r>
              <w:rPr>
                <w:rStyle w:val="Emphasis"/>
                <w:rFonts w:ascii="Times New Roman;Times;serif" w:hAnsi="Times New Roman;Times;serif"/>
                <w:sz w:val="18"/>
              </w:rPr>
              <w:t>2</w:t>
            </w:r>
            <w:r>
              <w:rPr>
                <w:rFonts w:ascii="Times New Roman;Times;serif" w:hAnsi="Times New Roman;Times;serif"/>
                <w:sz w:val="18"/>
              </w:rPr>
              <w:t>)</w:t>
            </w:r>
          </w:p>
        </w:tc>
        <w:tc>
          <w:tcPr>
            <w:tcW w:w="99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Warrants are non-income producing.</w:t>
            </w:r>
          </w:p>
        </w:tc>
      </w:tr>
    </w:tbl>
    <w:tbl>
      <w:tblPr>
        <w:tblW w:w="10205" w:type="dxa"/>
        <w:jc w:val="left"/>
        <w:tblInd w:w="0" w:type="dxa"/>
        <w:tblLayout w:type="fixed"/>
        <w:tblCellMar>
          <w:top w:w="0" w:type="dxa"/>
          <w:left w:w="0" w:type="dxa"/>
          <w:bottom w:w="0" w:type="dxa"/>
          <w:right w:w="0" w:type="dxa"/>
        </w:tblCellMar>
      </w:tblPr>
      <w:tblGrid>
        <w:gridCol w:w="157"/>
        <w:gridCol w:w="10048"/>
      </w:tblGrid>
      <w:tr>
        <w:tc>
          <w:tcPr>
            <w:tcW w:w="157"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10048"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 xml:space="preserve">All interest is payable in cash due monthly in arrears, unless otherwise indicated, and applies only to the Company’s debt investments. Interest rate is the annual interest rate on the debt investment and does </w:t>
            </w:r>
            <w:r>
              <w:rPr>
                <w:rStyle w:val="Emphasis"/>
                <w:rFonts w:ascii="Times New Roman;Times;serif" w:hAnsi="Times New Roman;Times;serif"/>
                <w:caps w:val="false"/>
                <w:smallCaps w:val="false"/>
                <w:sz w:val="18"/>
              </w:rPr>
              <w:t>not</w:t>
            </w:r>
            <w:r>
              <w:rPr>
                <w:rFonts w:ascii="Times New Roman;Times;serif" w:hAnsi="Times New Roman;Times;serif"/>
                <w:caps w:val="false"/>
                <w:smallCaps w:val="false"/>
                <w:sz w:val="18"/>
              </w:rPr>
              <w:t xml:space="preserve"> include ETPs, and any additional fees related to the investments, such as deferred interest, commitment fees or prepayment fees. </w:t>
            </w:r>
          </w:p>
        </w:tc>
      </w:tr>
      <w:tr>
        <w:tc>
          <w:tcPr>
            <w:tcW w:w="157" w:type="dxa"/>
            <w:tcBorders/>
            <w:vAlign w:val="center"/>
          </w:tcPr>
          <w:p>
            <w:pPr>
              <w:pStyle w:val="TableContents"/>
              <w:bidi w:val="0"/>
              <w:spacing w:before="0" w:after="283"/>
              <w:jc w:val="left"/>
            </w:pPr>
            <w:r>
              <w:rPr>
                <w:sz w:val="18"/>
              </w:rPr>
              <w:t>(</w:t>
            </w:r>
            <w:r>
              <w:rPr>
                <w:rStyle w:val="Emphasis"/>
                <w:sz w:val="18"/>
              </w:rPr>
              <w:t>4</w:t>
            </w:r>
            <w:r>
              <w:rPr>
                <w:sz w:val="18"/>
              </w:rPr>
              <w:t>)</w:t>
            </w:r>
          </w:p>
        </w:tc>
        <w:tc>
          <w:tcPr>
            <w:tcW w:w="10048" w:type="dxa"/>
            <w:tcBorders/>
            <w:vAlign w:val="center"/>
          </w:tcPr>
          <w:p>
            <w:pPr>
              <w:pStyle w:val="TableContents"/>
              <w:bidi w:val="0"/>
              <w:spacing w:before="0" w:after="283"/>
              <w:jc w:val="left"/>
              <w:rPr>
                <w:sz w:val="18"/>
              </w:rPr>
            </w:pPr>
            <w:r>
              <w:rPr>
                <w:sz w:val="18"/>
              </w:rPr>
              <w:t>For debt investments, represents principal balance less unearned income.</w:t>
            </w:r>
          </w:p>
        </w:tc>
      </w:tr>
    </w:tbl>
    <w:tbl>
      <w:tblPr>
        <w:tblW w:w="3070" w:type="dxa"/>
        <w:jc w:val="left"/>
        <w:tblInd w:w="0" w:type="dxa"/>
        <w:tblLayout w:type="fixed"/>
        <w:tblCellMar>
          <w:top w:w="0" w:type="dxa"/>
          <w:left w:w="0" w:type="dxa"/>
          <w:bottom w:w="0" w:type="dxa"/>
          <w:right w:w="0" w:type="dxa"/>
        </w:tblCellMar>
      </w:tblPr>
      <w:tblGrid>
        <w:gridCol w:w="230"/>
        <w:gridCol w:w="2840"/>
      </w:tblGrid>
      <w:tr>
        <w:tc>
          <w:tcPr>
            <w:tcW w:w="23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5</w:t>
            </w:r>
            <w:r>
              <w:rPr>
                <w:rFonts w:ascii="Times New Roman;Times;serif" w:hAnsi="Times New Roman;Times;serif"/>
                <w:caps w:val="false"/>
                <w:smallCaps w:val="false"/>
                <w:sz w:val="18"/>
              </w:rPr>
              <w:t>)</w:t>
            </w:r>
          </w:p>
        </w:tc>
        <w:tc>
          <w:tcPr>
            <w:tcW w:w="2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Portfolio company is a public company.</w:t>
            </w:r>
          </w:p>
        </w:tc>
      </w:tr>
    </w:tbl>
    <w:tbl>
      <w:tblPr>
        <w:tblW w:w="6055" w:type="dxa"/>
        <w:jc w:val="left"/>
        <w:tblInd w:w="0" w:type="dxa"/>
        <w:tblLayout w:type="fixed"/>
        <w:tblCellMar>
          <w:top w:w="0" w:type="dxa"/>
          <w:left w:w="0" w:type="dxa"/>
          <w:bottom w:w="0" w:type="dxa"/>
          <w:right w:w="0" w:type="dxa"/>
        </w:tblCellMar>
      </w:tblPr>
      <w:tblGrid>
        <w:gridCol w:w="230"/>
        <w:gridCol w:w="5825"/>
      </w:tblGrid>
      <w:tr>
        <w:tc>
          <w:tcPr>
            <w:tcW w:w="230"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6</w:t>
            </w:r>
            <w:r>
              <w:rPr>
                <w:rFonts w:ascii="Times New Roman;Times;serif" w:hAnsi="Times New Roman;Times;serif"/>
                <w:caps w:val="false"/>
                <w:smallCaps w:val="false"/>
                <w:sz w:val="18"/>
              </w:rPr>
              <w:t>)</w:t>
            </w:r>
          </w:p>
        </w:tc>
        <w:tc>
          <w:tcPr>
            <w:tcW w:w="5825" w:type="dxa"/>
            <w:tcBorders/>
            <w:vAlign w:val="center"/>
          </w:tcPr>
          <w:p>
            <w:pPr>
              <w:pStyle w:val="TableContents"/>
              <w:bidi w:val="0"/>
              <w:spacing w:before="0" w:after="283"/>
              <w:jc w:val="left"/>
              <w:rPr>
                <w:sz w:val="18"/>
              </w:rPr>
            </w:pPr>
            <w:r>
              <w:rPr>
                <w:sz w:val="18"/>
              </w:rPr>
              <w:t>The fair value of the investment was valued using significant unobservable inputs.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39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tables show certain summarized financial information for the RoHo Joint Venture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for the period </w:t>
      </w:r>
      <w:r>
        <w:rPr>
          <w:rStyle w:val="Emphasis"/>
          <w:rFonts w:ascii="Times New Roman" w:hAnsi="Times New Roman"/>
          <w:caps w:val="false"/>
          <w:smallCaps w:val="false"/>
          <w:sz w:val="20"/>
        </w:rPr>
        <w:t>March 18, 2026 (</w:t>
      </w:r>
      <w:r>
        <w:rPr>
          <w:rFonts w:ascii="Times New Roman" w:hAnsi="Times New Roman"/>
          <w:caps w:val="false"/>
          <w:smallCaps w:val="false"/>
          <w:sz w:val="20"/>
        </w:rPr>
        <w:t xml:space="preserve">the commencement of the RoHo Joint Venture’s operations) through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3425"/>
        <w:gridCol w:w="60"/>
        <w:gridCol w:w="243"/>
        <w:gridCol w:w="946"/>
        <w:gridCol w:w="60"/>
      </w:tblGrid>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94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Investments at fair value (cost of $9,592)</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9,021</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money market funds</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ind w:left="0" w:right="0" w:hanging="0"/>
              <w:jc w:val="left"/>
            </w:pPr>
            <w: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receivable</w:t>
            </w:r>
          </w:p>
        </w:tc>
        <w:tc>
          <w:tcPr>
            <w:tcW w:w="60" w:type="dxa"/>
            <w:tcBorders/>
            <w:shd w:fill="FFFFFF" w:val="clear"/>
            <w:vAlign w:val="center"/>
          </w:tcPr>
          <w:p>
            <w:pPr>
              <w:pStyle w:val="TableContents"/>
              <w:bidi w:val="0"/>
              <w:spacing w:before="0" w:after="283"/>
              <w:jc w:val="left"/>
            </w:pPr>
            <w: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94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pPr>
            <w: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pPr>
            <w: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94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94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94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Members’ Capital</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94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Members’ capital</w:t>
            </w:r>
          </w:p>
        </w:tc>
        <w:tc>
          <w:tcPr>
            <w:tcW w:w="60" w:type="dxa"/>
            <w:tcBorders/>
            <w:shd w:fill="CCEEFF" w:val="clear"/>
            <w:vAlign w:val="center"/>
          </w:tcPr>
          <w:p>
            <w:pPr>
              <w:pStyle w:val="TableContents"/>
              <w:bidi w:val="0"/>
              <w:spacing w:before="0" w:after="283"/>
              <w:jc w:val="left"/>
            </w:pPr>
            <w: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members’ capital</w:t>
            </w:r>
          </w:p>
        </w:tc>
        <w:tc>
          <w:tcPr>
            <w:tcW w:w="60" w:type="dxa"/>
            <w:tcBorders/>
            <w:shd w:fill="FFFFFF" w:val="clear"/>
            <w:vAlign w:val="center"/>
          </w:tcPr>
          <w:p>
            <w:pPr>
              <w:pStyle w:val="TableContents"/>
              <w:bidi w:val="0"/>
              <w:spacing w:before="0" w:after="283"/>
              <w:jc w:val="left"/>
            </w:pPr>
            <w: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members’ capital</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both"/>
      </w:pPr>
      <w:r>
        <w:t> </w:t>
      </w:r>
    </w:p>
    <w:tbl>
      <w:tblPr>
        <w:tblW w:w="8288" w:type="dxa"/>
        <w:jc w:val="left"/>
        <w:tblInd w:w="0" w:type="dxa"/>
        <w:tblLayout w:type="fixed"/>
        <w:tblCellMar>
          <w:top w:w="0" w:type="dxa"/>
          <w:left w:w="0" w:type="dxa"/>
          <w:bottom w:w="0" w:type="dxa"/>
          <w:right w:w="0" w:type="dxa"/>
        </w:tblCellMar>
      </w:tblPr>
      <w:tblGrid>
        <w:gridCol w:w="4145"/>
        <w:gridCol w:w="60"/>
        <w:gridCol w:w="419"/>
        <w:gridCol w:w="1325"/>
        <w:gridCol w:w="80"/>
        <w:gridCol w:w="60"/>
        <w:gridCol w:w="395"/>
        <w:gridCol w:w="1724"/>
        <w:gridCol w:w="80"/>
      </w:tblGrid>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19" w:type="dxa"/>
            <w:tcBorders/>
            <w:shd w:fill="FFFFFF" w:val="clear"/>
            <w:vAlign w:val="center"/>
          </w:tcPr>
          <w:p>
            <w:pPr>
              <w:pStyle w:val="TableContents"/>
              <w:bidi w:val="0"/>
              <w:spacing w:before="0" w:after="283"/>
              <w:jc w:val="left"/>
            </w:pPr>
            <w:r>
              <w:t> </w:t>
            </w:r>
          </w:p>
        </w:tc>
        <w:tc>
          <w:tcPr>
            <w:tcW w:w="132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95" w:type="dxa"/>
            <w:tcBorders/>
            <w:shd w:fill="FFFFFF" w:val="clear"/>
            <w:vAlign w:val="center"/>
          </w:tcPr>
          <w:p>
            <w:pPr>
              <w:pStyle w:val="TableContents"/>
              <w:bidi w:val="0"/>
              <w:spacing w:before="0" w:after="283"/>
              <w:jc w:val="left"/>
            </w:pPr>
            <w:r>
              <w:t> </w:t>
            </w:r>
          </w:p>
        </w:tc>
        <w:tc>
          <w:tcPr>
            <w:tcW w:w="172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For the three months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1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For the period March 18,</w:t>
            </w:r>
          </w:p>
        </w:tc>
        <w:tc>
          <w:tcPr>
            <w:tcW w:w="80" w:type="dxa"/>
            <w:tcBorders/>
            <w:shd w:fill="FFFF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1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 through</w:t>
            </w:r>
          </w:p>
        </w:tc>
        <w:tc>
          <w:tcPr>
            <w:tcW w:w="80" w:type="dxa"/>
            <w:tcBorders/>
            <w:shd w:fill="FFFF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0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pPr>
            <w: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Selected Statements of Operations Information</w:t>
            </w:r>
          </w:p>
        </w:tc>
        <w:tc>
          <w:tcPr>
            <w:tcW w:w="60" w:type="dxa"/>
            <w:tcBorders/>
            <w:shd w:fill="CCEEFF" w:val="clear"/>
            <w:vAlign w:val="center"/>
          </w:tcPr>
          <w:p>
            <w:pPr>
              <w:pStyle w:val="TableContents"/>
              <w:bidi w:val="0"/>
              <w:spacing w:before="0" w:after="283"/>
              <w:jc w:val="left"/>
            </w:pPr>
            <w:r>
              <w:t> </w:t>
            </w:r>
          </w:p>
        </w:tc>
        <w:tc>
          <w:tcPr>
            <w:tcW w:w="419" w:type="dxa"/>
            <w:tcBorders/>
            <w:shd w:fill="CCEEFF" w:val="clear"/>
            <w:vAlign w:val="center"/>
          </w:tcPr>
          <w:p>
            <w:pPr>
              <w:pStyle w:val="TableContents"/>
              <w:bidi w:val="0"/>
              <w:spacing w:before="0" w:after="283"/>
              <w:jc w:val="left"/>
            </w:pPr>
            <w:r>
              <w:t> </w:t>
            </w:r>
          </w:p>
        </w:tc>
        <w:tc>
          <w:tcPr>
            <w:tcW w:w="132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95" w:type="dxa"/>
            <w:tcBorders/>
            <w:shd w:fill="CCEEFF" w:val="clear"/>
            <w:vAlign w:val="center"/>
          </w:tcPr>
          <w:p>
            <w:pPr>
              <w:pStyle w:val="TableContents"/>
              <w:bidi w:val="0"/>
              <w:spacing w:before="0" w:after="283"/>
              <w:jc w:val="left"/>
            </w:pPr>
            <w:r>
              <w:t> </w:t>
            </w:r>
          </w:p>
        </w:tc>
        <w:tc>
          <w:tcPr>
            <w:tcW w:w="172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income</w:t>
            </w:r>
          </w:p>
        </w:tc>
        <w:tc>
          <w:tcPr>
            <w:tcW w:w="60" w:type="dxa"/>
            <w:tcBorders/>
            <w:shd w:fill="FFFFFF" w:val="clear"/>
            <w:vAlign w:val="center"/>
          </w:tcPr>
          <w:p>
            <w:pPr>
              <w:pStyle w:val="TableContents"/>
              <w:bidi w:val="0"/>
              <w:spacing w:before="0" w:after="283"/>
              <w:ind w:left="0" w:right="0" w:hanging="0"/>
              <w:jc w:val="left"/>
            </w:pPr>
            <w:r>
              <w:t> </w:t>
            </w:r>
          </w:p>
        </w:tc>
        <w:tc>
          <w:tcPr>
            <w:tcW w:w="4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pPr>
            <w: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CCEEFF" w:val="clear"/>
            <w:vAlign w:val="center"/>
          </w:tcPr>
          <w:p>
            <w:pPr>
              <w:pStyle w:val="TableContents"/>
              <w:bidi w:val="0"/>
              <w:spacing w:before="0" w:after="283"/>
              <w:ind w:left="0" w:right="0" w:hanging="0"/>
              <w:jc w:val="left"/>
            </w:pPr>
            <w:r>
              <w:t> </w:t>
            </w:r>
          </w:p>
        </w:tc>
        <w:tc>
          <w:tcPr>
            <w:tcW w:w="4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80" w:type="dxa"/>
            <w:tcBorders/>
            <w:shd w:fill="CCEE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loss</w:t>
            </w:r>
          </w:p>
        </w:tc>
        <w:tc>
          <w:tcPr>
            <w:tcW w:w="60" w:type="dxa"/>
            <w:tcBorders/>
            <w:shd w:fill="FFFFFF" w:val="clear"/>
            <w:vAlign w:val="center"/>
          </w:tcPr>
          <w:p>
            <w:pPr>
              <w:pStyle w:val="TableContents"/>
              <w:bidi w:val="0"/>
              <w:spacing w:before="0" w:after="283"/>
              <w:ind w:left="0" w:right="0" w:hanging="0"/>
              <w:jc w:val="left"/>
            </w:pPr>
            <w:r>
              <w:t> </w:t>
            </w:r>
          </w:p>
        </w:tc>
        <w:tc>
          <w:tcPr>
            <w:tcW w:w="4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on investments</w:t>
            </w:r>
          </w:p>
        </w:tc>
        <w:tc>
          <w:tcPr>
            <w:tcW w:w="60" w:type="dxa"/>
            <w:tcBorders/>
            <w:shd w:fill="CCEEFF" w:val="clear"/>
            <w:vAlign w:val="center"/>
          </w:tcPr>
          <w:p>
            <w:pPr>
              <w:pStyle w:val="TableContents"/>
              <w:bidi w:val="0"/>
              <w:spacing w:before="0" w:after="283"/>
              <w:jc w:val="left"/>
            </w:pPr>
            <w:r>
              <w:t> </w:t>
            </w:r>
          </w:p>
        </w:tc>
        <w:tc>
          <w:tcPr>
            <w:tcW w:w="4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net assets resulting from operations</w:t>
            </w:r>
          </w:p>
        </w:tc>
        <w:tc>
          <w:tcPr>
            <w:tcW w:w="60" w:type="dxa"/>
            <w:tcBorders/>
            <w:shd w:fill="FFFFFF" w:val="clear"/>
            <w:vAlign w:val="center"/>
          </w:tcPr>
          <w:p>
            <w:pPr>
              <w:pStyle w:val="TableContents"/>
              <w:bidi w:val="0"/>
              <w:spacing w:before="0" w:after="283"/>
              <w:ind w:left="0" w:right="0" w:hanging="0"/>
              <w:jc w:val="left"/>
            </w:pPr>
            <w:r>
              <w:t> </w:t>
            </w:r>
          </w:p>
        </w:tc>
        <w:tc>
          <w:tcPr>
            <w:tcW w:w="4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pPr>
      <w:r>
        <w:t> </w:t>
      </w:r>
    </w:p>
    <w:p>
      <w:pPr>
        <w:pStyle w:val="TextBody"/>
        <w:bidi w:val="0"/>
        <w:spacing w:before="0" w:after="0"/>
        <w:jc w:val="center"/>
      </w:pP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Transactions with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 non-controlled affiliated company is generally a portfolio company in which the Company owns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or more of such portfolio company’s voting securities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than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of such portfolio company’s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 w:hAnsi="Times New Roman"/>
          <w:caps w:val="false"/>
          <w:smallCaps w:val="false"/>
          <w:sz w:val="20"/>
        </w:rPr>
        <w:t xml:space="preserve">Transactions related to investments in non-controlled affiliated companies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were as follows: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6"/>
        <w:gridCol w:w="60"/>
        <w:gridCol w:w="146"/>
        <w:gridCol w:w="687"/>
        <w:gridCol w:w="60"/>
        <w:gridCol w:w="60"/>
        <w:gridCol w:w="215"/>
        <w:gridCol w:w="510"/>
        <w:gridCol w:w="60"/>
        <w:gridCol w:w="60"/>
        <w:gridCol w:w="124"/>
        <w:gridCol w:w="556"/>
        <w:gridCol w:w="80"/>
        <w:gridCol w:w="60"/>
        <w:gridCol w:w="111"/>
        <w:gridCol w:w="264"/>
        <w:gridCol w:w="60"/>
        <w:gridCol w:w="60"/>
        <w:gridCol w:w="211"/>
        <w:gridCol w:w="499"/>
        <w:gridCol w:w="60"/>
        <w:gridCol w:w="60"/>
        <w:gridCol w:w="196"/>
        <w:gridCol w:w="469"/>
        <w:gridCol w:w="60"/>
        <w:gridCol w:w="60"/>
        <w:gridCol w:w="119"/>
        <w:gridCol w:w="630"/>
        <w:gridCol w:w="80"/>
        <w:gridCol w:w="60"/>
        <w:gridCol w:w="127"/>
        <w:gridCol w:w="669"/>
        <w:gridCol w:w="80"/>
        <w:gridCol w:w="60"/>
        <w:gridCol w:w="173"/>
        <w:gridCol w:w="771"/>
        <w:gridCol w:w="60"/>
        <w:gridCol w:w="60"/>
        <w:gridCol w:w="157"/>
        <w:gridCol w:w="373"/>
        <w:gridCol w:w="72"/>
      </w:tblGrid>
      <w:tr>
        <w:tc>
          <w:tcPr>
            <w:tcW w:w="192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687"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15" w:type="dxa"/>
            <w:tcBorders/>
            <w:vAlign w:val="center"/>
          </w:tcPr>
          <w:p>
            <w:pPr>
              <w:pStyle w:val="TableContents"/>
              <w:bidi w:val="0"/>
              <w:spacing w:before="0" w:after="283"/>
              <w:jc w:val="left"/>
            </w:pPr>
            <w:r>
              <w:t> </w:t>
            </w:r>
          </w:p>
        </w:tc>
        <w:tc>
          <w:tcPr>
            <w:tcW w:w="510"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67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September 30, 2026</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7" w:type="dxa"/>
            <w:tcBorders/>
            <w:vAlign w:val="center"/>
          </w:tcPr>
          <w:p>
            <w:pPr>
              <w:pStyle w:val="TableContents"/>
              <w:bidi w:val="0"/>
              <w:spacing w:before="0" w:after="283"/>
              <w:jc w:val="left"/>
            </w:pPr>
            <w:r>
              <w:t> </w:t>
            </w:r>
          </w:p>
        </w:tc>
        <w:tc>
          <w:tcPr>
            <w:tcW w:w="669"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71"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7" w:type="dxa"/>
            <w:tcBorders/>
            <w:vAlign w:val="center"/>
          </w:tcPr>
          <w:p>
            <w:pPr>
              <w:pStyle w:val="TableContents"/>
              <w:bidi w:val="0"/>
              <w:spacing w:before="0" w:after="283"/>
              <w:jc w:val="left"/>
            </w:pPr>
            <w:r>
              <w:t> </w:t>
            </w:r>
          </w:p>
        </w:tc>
        <w:tc>
          <w:tcPr>
            <w:tcW w:w="373" w:type="dxa"/>
            <w:tcBorders/>
            <w:vAlign w:val="center"/>
          </w:tcPr>
          <w:p>
            <w:pPr>
              <w:pStyle w:val="TableContents"/>
              <w:bidi w:val="0"/>
              <w:spacing w:before="0" w:after="283"/>
              <w:jc w:val="center"/>
            </w:pPr>
            <w:r>
              <w:t> </w:t>
            </w:r>
          </w:p>
        </w:tc>
        <w:tc>
          <w:tcPr>
            <w:tcW w:w="72" w:type="dxa"/>
            <w:tcBorders/>
            <w:vAlign w:val="center"/>
          </w:tcPr>
          <w:p>
            <w:pPr>
              <w:pStyle w:val="TableContents"/>
              <w:bidi w:val="0"/>
              <w:spacing w:before="0" w:after="283"/>
              <w:jc w:val="left"/>
            </w:pPr>
            <w:r>
              <w:t> </w:t>
            </w:r>
          </w:p>
        </w:tc>
      </w:tr>
      <w:tr>
        <w:tc>
          <w:tcPr>
            <w:tcW w:w="192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33"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15" w:type="dxa"/>
            <w:tcBorders/>
            <w:vAlign w:val="center"/>
          </w:tcPr>
          <w:p>
            <w:pPr>
              <w:pStyle w:val="TableContents"/>
              <w:bidi w:val="0"/>
              <w:spacing w:before="0" w:after="283"/>
              <w:jc w:val="left"/>
            </w:pPr>
            <w:r>
              <w:t> </w:t>
            </w:r>
          </w:p>
        </w:tc>
        <w:tc>
          <w:tcPr>
            <w:tcW w:w="510"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556" w:type="dxa"/>
            <w:tcBorders/>
            <w:vAlign w:val="center"/>
          </w:tcPr>
          <w:p>
            <w:pPr>
              <w:pStyle w:val="TableContents"/>
              <w:bidi w:val="0"/>
              <w:spacing w:before="0" w:after="283"/>
              <w:jc w:val="center"/>
            </w:pPr>
            <w:r>
              <w:rPr>
                <w:rStyle w:val="Emphasis"/>
              </w:rP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264"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1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Transfers</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469"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9"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7" w:type="dxa"/>
            <w:tcBorders/>
            <w:vAlign w:val="center"/>
          </w:tcPr>
          <w:p>
            <w:pPr>
              <w:pStyle w:val="TableContents"/>
              <w:bidi w:val="0"/>
              <w:spacing w:before="0" w:after="283"/>
              <w:jc w:val="left"/>
            </w:pPr>
            <w:r>
              <w:t> </w:t>
            </w:r>
          </w:p>
        </w:tc>
        <w:tc>
          <w:tcPr>
            <w:tcW w:w="669" w:type="dxa"/>
            <w:tcBorders/>
            <w:vAlign w:val="center"/>
          </w:tcPr>
          <w:p>
            <w:pPr>
              <w:pStyle w:val="TableContents"/>
              <w:bidi w:val="0"/>
              <w:spacing w:before="0" w:after="283"/>
              <w:jc w:val="center"/>
            </w:pPr>
            <w:r>
              <w:rPr>
                <w:rStyle w:val="Emphasis"/>
              </w:rP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4"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7" w:type="dxa"/>
            <w:tcBorders/>
            <w:vAlign w:val="center"/>
          </w:tcPr>
          <w:p>
            <w:pPr>
              <w:pStyle w:val="TableContents"/>
              <w:bidi w:val="0"/>
              <w:spacing w:before="0" w:after="283"/>
              <w:jc w:val="left"/>
            </w:pPr>
            <w:r>
              <w:t> </w:t>
            </w:r>
          </w:p>
        </w:tc>
        <w:tc>
          <w:tcPr>
            <w:tcW w:w="373" w:type="dxa"/>
            <w:tcBorders/>
            <w:vAlign w:val="center"/>
          </w:tcPr>
          <w:p>
            <w:pPr>
              <w:pStyle w:val="TableContents"/>
              <w:bidi w:val="0"/>
              <w:spacing w:before="0" w:after="283"/>
              <w:jc w:val="center"/>
            </w:pPr>
            <w:r>
              <w:rPr>
                <w:rStyle w:val="Emphasis"/>
              </w:rPr>
              <w:t> </w:t>
            </w:r>
          </w:p>
        </w:tc>
        <w:tc>
          <w:tcPr>
            <w:tcW w:w="72" w:type="dxa"/>
            <w:tcBorders/>
            <w:vAlign w:val="center"/>
          </w:tcPr>
          <w:p>
            <w:pPr>
              <w:pStyle w:val="TableContents"/>
              <w:bidi w:val="0"/>
              <w:spacing w:before="0" w:after="283"/>
              <w:jc w:val="left"/>
            </w:pPr>
            <w:r>
              <w:t> </w:t>
            </w:r>
          </w:p>
        </w:tc>
      </w:tr>
      <w:tr>
        <w:tc>
          <w:tcPr>
            <w:tcW w:w="192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p>
        </w:tc>
        <w:tc>
          <w:tcPr>
            <w:tcW w:w="60" w:type="dxa"/>
            <w:tcBorders/>
            <w:vAlign w:val="center"/>
          </w:tcPr>
          <w:p>
            <w:pPr>
              <w:pStyle w:val="TableContents"/>
              <w:bidi w:val="0"/>
              <w:spacing w:before="0" w:after="283"/>
              <w:ind w:left="0" w:right="0" w:hanging="0"/>
              <w:jc w:val="left"/>
            </w:pPr>
            <w:r>
              <w:t> </w:t>
            </w:r>
          </w:p>
        </w:tc>
        <w:tc>
          <w:tcPr>
            <w:tcW w:w="833"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June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15" w:type="dxa"/>
            <w:tcBorders/>
            <w:vAlign w:val="center"/>
          </w:tcPr>
          <w:p>
            <w:pPr>
              <w:pStyle w:val="TableContents"/>
              <w:bidi w:val="0"/>
              <w:spacing w:before="0" w:after="283"/>
              <w:jc w:val="left"/>
            </w:pPr>
            <w:r>
              <w:t> </w:t>
            </w:r>
          </w:p>
        </w:tc>
        <w:tc>
          <w:tcPr>
            <w:tcW w:w="510"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8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Principal</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264"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1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in/(out)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65"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Discount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9"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unrealized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96"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 realized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4"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3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Interest</w:t>
            </w:r>
          </w:p>
        </w:tc>
        <w:tc>
          <w:tcPr>
            <w:tcW w:w="72" w:type="dxa"/>
            <w:tcBorders/>
            <w:vAlign w:val="center"/>
          </w:tcPr>
          <w:p>
            <w:pPr>
              <w:pStyle w:val="TableContents"/>
              <w:bidi w:val="0"/>
              <w:spacing w:before="0" w:after="283"/>
              <w:jc w:val="left"/>
            </w:pPr>
            <w:r>
              <w:t> </w:t>
            </w:r>
          </w:p>
        </w:tc>
      </w:tr>
      <w:tr>
        <w:tc>
          <w:tcPr>
            <w:tcW w:w="19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Company</w:t>
            </w:r>
          </w:p>
        </w:tc>
        <w:tc>
          <w:tcPr>
            <w:tcW w:w="60" w:type="dxa"/>
            <w:tcBorders/>
            <w:vAlign w:val="center"/>
          </w:tcPr>
          <w:p>
            <w:pPr>
              <w:pStyle w:val="TableContents"/>
              <w:bidi w:val="0"/>
              <w:spacing w:before="0" w:after="283"/>
              <w:ind w:left="0" w:right="0" w:hanging="0"/>
              <w:jc w:val="left"/>
            </w:pPr>
            <w:r>
              <w:t> </w:t>
            </w:r>
          </w:p>
        </w:tc>
        <w:tc>
          <w:tcPr>
            <w:tcW w:w="833"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Purchases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payments</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7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PIK</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accretion</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9"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w:t>
            </w:r>
          </w:p>
        </w:tc>
        <w:tc>
          <w:tcPr>
            <w:tcW w:w="72" w:type="dxa"/>
            <w:tcBorders>
              <w:bottom w:val="single" w:sz="2" w:space="0" w:color="000000"/>
            </w:tcBorders>
            <w:tcMar>
              <w:bottom w:w="28" w:type="dxa"/>
            </w:tcMar>
            <w:vAlign w:val="center"/>
          </w:tcPr>
          <w:p>
            <w:pPr>
              <w:pStyle w:val="TableContents"/>
              <w:bidi w:val="0"/>
              <w:spacing w:before="0" w:after="283"/>
              <w:jc w:val="left"/>
            </w:pPr>
            <w:r>
              <w:t> </w:t>
            </w:r>
          </w:p>
        </w:tc>
      </w:tr>
      <w:tr>
        <w:tc>
          <w:tcPr>
            <w:tcW w:w="192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147" w:type="dxa"/>
            <w:gridSpan w:val="38"/>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72" w:type="dxa"/>
            <w:tcBorders/>
            <w:vAlign w:val="center"/>
          </w:tcPr>
          <w:p>
            <w:pPr>
              <w:pStyle w:val="TableContents"/>
              <w:bidi w:val="0"/>
              <w:spacing w:before="0" w:after="283"/>
              <w:jc w:val="left"/>
            </w:pPr>
            <w:r>
              <w:t> </w:t>
            </w:r>
          </w:p>
        </w:tc>
      </w:tr>
      <w:tr>
        <w:tc>
          <w:tcPr>
            <w:tcW w:w="1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Aulea Medical, Inc.</w:t>
            </w:r>
          </w:p>
        </w:tc>
        <w:tc>
          <w:tcPr>
            <w:tcW w:w="60" w:type="dxa"/>
            <w:tcBorders/>
            <w:shd w:fill="CCEEFF" w:val="clear"/>
            <w:vAlign w:val="center"/>
          </w:tcPr>
          <w:p>
            <w:pPr>
              <w:pStyle w:val="TableContents"/>
              <w:bidi w:val="0"/>
              <w:spacing w:before="0" w:after="283"/>
              <w:ind w:left="0" w:right="0" w:hanging="0"/>
              <w:jc w:val="left"/>
            </w:pPr>
            <w: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6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9"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373" w:type="dxa"/>
            <w:tcBorders/>
            <w:shd w:fill="CCEEFF" w:val="clear"/>
            <w:vAlign w:val="center"/>
          </w:tcPr>
          <w:p>
            <w:pPr>
              <w:pStyle w:val="TableContents"/>
              <w:bidi w:val="0"/>
              <w:spacing w:before="0" w:after="283"/>
              <w:ind w:left="0" w:right="0" w:hanging="0"/>
              <w:jc w:val="right"/>
            </w:pPr>
            <w:r>
              <w:t>—</w:t>
            </w:r>
          </w:p>
        </w:tc>
        <w:tc>
          <w:tcPr>
            <w:tcW w:w="72" w:type="dxa"/>
            <w:tcBorders/>
            <w:shd w:fill="CCEEFF" w:val="clear"/>
            <w:vAlign w:val="center"/>
          </w:tcPr>
          <w:p>
            <w:pPr>
              <w:pStyle w:val="TableContents"/>
              <w:bidi w:val="0"/>
              <w:spacing w:before="0" w:after="283"/>
              <w:jc w:val="left"/>
            </w:pPr>
            <w:r>
              <w:t> </w:t>
            </w:r>
          </w:p>
        </w:tc>
      </w:tr>
      <w:tr>
        <w:tc>
          <w:tcPr>
            <w:tcW w:w="1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Evelo Biosciences, Inc.</w:t>
            </w:r>
          </w:p>
        </w:tc>
        <w:tc>
          <w:tcPr>
            <w:tcW w:w="60" w:type="dxa"/>
            <w:tcBorders/>
            <w:shd w:fill="FFFFFF" w:val="clear"/>
            <w:vAlign w:val="center"/>
          </w:tcPr>
          <w:p>
            <w:pPr>
              <w:pStyle w:val="TableContents"/>
              <w:bidi w:val="0"/>
              <w:spacing w:before="0" w:after="283"/>
              <w:jc w:val="left"/>
            </w:pPr>
            <w:r>
              <w:t> </w:t>
            </w:r>
          </w:p>
        </w:tc>
        <w:tc>
          <w:tcPr>
            <w:tcW w:w="146" w:type="dxa"/>
            <w:tcBorders/>
            <w:shd w:fill="FFFFFF" w:val="clear"/>
            <w:vAlign w:val="center"/>
          </w:tcPr>
          <w:p>
            <w:pPr>
              <w:pStyle w:val="TableContents"/>
              <w:bidi w:val="0"/>
              <w:spacing w:before="0" w:after="283"/>
              <w:ind w:left="0" w:right="0" w:hanging="0"/>
              <w:jc w:val="left"/>
            </w:pPr>
            <w: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ind w:left="0" w:right="0" w:hanging="0"/>
              <w:jc w:val="left"/>
            </w:pPr>
            <w:r>
              <w:t> </w:t>
            </w:r>
          </w:p>
        </w:tc>
        <w:tc>
          <w:tcPr>
            <w:tcW w:w="51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ind w:left="0" w:right="0" w:hanging="0"/>
              <w:jc w:val="left"/>
            </w:pPr>
            <w:r>
              <w:t> </w:t>
            </w:r>
          </w:p>
        </w:tc>
        <w:tc>
          <w:tcPr>
            <w:tcW w:w="55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1" w:type="dxa"/>
            <w:tcBorders/>
            <w:shd w:fill="FFFFFF" w:val="clear"/>
            <w:vAlign w:val="center"/>
          </w:tcPr>
          <w:p>
            <w:pPr>
              <w:pStyle w:val="TableContents"/>
              <w:bidi w:val="0"/>
              <w:spacing w:before="0" w:after="283"/>
              <w:ind w:left="0" w:right="0" w:hanging="0"/>
              <w:jc w:val="left"/>
            </w:pPr>
            <w:r>
              <w:t> </w:t>
            </w:r>
          </w:p>
        </w:tc>
        <w:tc>
          <w:tcPr>
            <w:tcW w:w="26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ind w:left="0" w:right="0" w:hanging="0"/>
              <w:jc w:val="left"/>
            </w:pPr>
            <w:r>
              <w:t> </w:t>
            </w:r>
          </w:p>
        </w:tc>
        <w:tc>
          <w:tcPr>
            <w:tcW w:w="46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630"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66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373" w:type="dxa"/>
            <w:tcBorders/>
            <w:shd w:fill="FFFFFF" w:val="clear"/>
            <w:vAlign w:val="center"/>
          </w:tcPr>
          <w:p>
            <w:pPr>
              <w:pStyle w:val="TableContents"/>
              <w:bidi w:val="0"/>
              <w:spacing w:before="0" w:after="283"/>
              <w:ind w:left="0" w:right="0" w:hanging="0"/>
              <w:jc w:val="right"/>
            </w:pPr>
            <w:r>
              <w:t>—</w:t>
            </w:r>
          </w:p>
        </w:tc>
        <w:tc>
          <w:tcPr>
            <w:tcW w:w="72" w:type="dxa"/>
            <w:tcBorders/>
            <w:shd w:fill="FFFFFF" w:val="clear"/>
            <w:vAlign w:val="center"/>
          </w:tcPr>
          <w:p>
            <w:pPr>
              <w:pStyle w:val="TableContents"/>
              <w:bidi w:val="0"/>
              <w:spacing w:before="0" w:after="283"/>
              <w:jc w:val="left"/>
            </w:pPr>
            <w:r>
              <w:t> </w:t>
            </w:r>
          </w:p>
        </w:tc>
      </w:tr>
      <w:tr>
        <w:tc>
          <w:tcPr>
            <w:tcW w:w="1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Hound Labs II LLC</w:t>
            </w:r>
          </w:p>
        </w:tc>
        <w:tc>
          <w:tcPr>
            <w:tcW w:w="60"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ind w:left="0" w:right="0" w:hanging="0"/>
              <w:jc w:val="left"/>
            </w:pPr>
            <w: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10,560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ind w:left="0" w:right="0" w:hanging="0"/>
              <w:jc w:val="left"/>
            </w:pPr>
            <w:r>
              <w:t> </w:t>
            </w:r>
          </w:p>
        </w:tc>
        <w:tc>
          <w:tcPr>
            <w:tcW w:w="51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ind w:left="0" w:right="0" w:hanging="0"/>
              <w:jc w:val="left"/>
            </w:pPr>
            <w:r>
              <w:t> </w:t>
            </w:r>
          </w:p>
        </w:tc>
        <w:tc>
          <w:tcPr>
            <w:tcW w:w="556"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264"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ind w:left="0" w:right="0" w:hanging="0"/>
              <w:jc w:val="left"/>
            </w:pPr>
            <w:r>
              <w:t> </w:t>
            </w:r>
          </w:p>
        </w:tc>
        <w:tc>
          <w:tcPr>
            <w:tcW w:w="49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ind w:left="0" w:right="0" w:hanging="0"/>
              <w:jc w:val="left"/>
            </w:pPr>
            <w:r>
              <w:t> </w:t>
            </w:r>
          </w:p>
        </w:tc>
        <w:tc>
          <w:tcPr>
            <w:tcW w:w="46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(10,560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ind w:left="0" w:right="0" w:hanging="0"/>
              <w:jc w:val="left"/>
            </w:pPr>
            <w:r>
              <w:t> </w:t>
            </w:r>
          </w:p>
        </w:tc>
        <w:tc>
          <w:tcPr>
            <w:tcW w:w="66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77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373" w:type="dxa"/>
            <w:tcBorders/>
            <w:shd w:fill="CCEEFF" w:val="clear"/>
            <w:vAlign w:val="center"/>
          </w:tcPr>
          <w:p>
            <w:pPr>
              <w:pStyle w:val="TableContents"/>
              <w:bidi w:val="0"/>
              <w:spacing w:before="0" w:after="283"/>
              <w:ind w:left="0" w:right="0" w:hanging="0"/>
              <w:jc w:val="right"/>
            </w:pPr>
            <w:r>
              <w:t>—</w:t>
            </w:r>
          </w:p>
        </w:tc>
        <w:tc>
          <w:tcPr>
            <w:tcW w:w="72" w:type="dxa"/>
            <w:tcBorders/>
            <w:shd w:fill="CCEEFF" w:val="clear"/>
            <w:vAlign w:val="center"/>
          </w:tcPr>
          <w:p>
            <w:pPr>
              <w:pStyle w:val="TableContents"/>
              <w:bidi w:val="0"/>
              <w:spacing w:before="0" w:after="283"/>
              <w:jc w:val="left"/>
            </w:pPr>
            <w:r>
              <w:t> </w:t>
            </w:r>
          </w:p>
        </w:tc>
      </w:tr>
      <w:tr>
        <w:tc>
          <w:tcPr>
            <w:tcW w:w="1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Nexii, Inc.</w:t>
            </w:r>
          </w:p>
        </w:tc>
        <w:tc>
          <w:tcPr>
            <w:tcW w:w="60" w:type="dxa"/>
            <w:tcBorders/>
            <w:shd w:fill="FFFFFF" w:val="clear"/>
            <w:vAlign w:val="center"/>
          </w:tcPr>
          <w:p>
            <w:pPr>
              <w:pStyle w:val="TableContents"/>
              <w:bidi w:val="0"/>
              <w:spacing w:before="0" w:after="283"/>
              <w:jc w:val="left"/>
            </w:pPr>
            <w:r>
              <w:t> </w:t>
            </w:r>
          </w:p>
        </w:tc>
        <w:tc>
          <w:tcPr>
            <w:tcW w:w="146" w:type="dxa"/>
            <w:tcBorders/>
            <w:shd w:fill="FFFFFF" w:val="clear"/>
            <w:vAlign w:val="center"/>
          </w:tcPr>
          <w:p>
            <w:pPr>
              <w:pStyle w:val="TableContents"/>
              <w:bidi w:val="0"/>
              <w:spacing w:before="0" w:after="283"/>
              <w:ind w:left="0" w:right="0" w:hanging="0"/>
              <w:jc w:val="left"/>
            </w:pPr>
            <w:r>
              <w:t> </w:t>
            </w:r>
          </w:p>
        </w:tc>
        <w:tc>
          <w:tcPr>
            <w:tcW w:w="68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ind w:left="0" w:right="0" w:hanging="0"/>
              <w:jc w:val="left"/>
            </w:pPr>
            <w:r>
              <w:t> </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ind w:left="0" w:right="0" w:hanging="0"/>
              <w:jc w:val="left"/>
            </w:pPr>
            <w:r>
              <w:t> </w:t>
            </w:r>
          </w:p>
        </w:tc>
        <w:tc>
          <w:tcPr>
            <w:tcW w:w="55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1" w:type="dxa"/>
            <w:tcBorders/>
            <w:shd w:fill="FFFFFF" w:val="clear"/>
            <w:vAlign w:val="center"/>
          </w:tcPr>
          <w:p>
            <w:pPr>
              <w:pStyle w:val="TableContents"/>
              <w:bidi w:val="0"/>
              <w:spacing w:before="0" w:after="283"/>
              <w:ind w:left="0" w:right="0" w:hanging="0"/>
              <w:jc w:val="left"/>
            </w:pPr>
            <w:r>
              <w:t> </w:t>
            </w:r>
          </w:p>
        </w:tc>
        <w:tc>
          <w:tcPr>
            <w:tcW w:w="26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ind w:left="0" w:right="0" w:hanging="0"/>
              <w:jc w:val="left"/>
            </w:pPr>
            <w:r>
              <w:t> </w:t>
            </w:r>
          </w:p>
        </w:tc>
        <w:tc>
          <w:tcPr>
            <w:tcW w:w="46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66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77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37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w:t>
            </w:r>
          </w:p>
        </w:tc>
        <w:tc>
          <w:tcPr>
            <w:tcW w:w="72" w:type="dxa"/>
            <w:tcBorders/>
            <w:shd w:fill="FFFFFF" w:val="clear"/>
            <w:vAlign w:val="center"/>
          </w:tcPr>
          <w:p>
            <w:pPr>
              <w:pStyle w:val="TableContents"/>
              <w:bidi w:val="0"/>
              <w:spacing w:before="0" w:after="283"/>
              <w:jc w:val="left"/>
            </w:pPr>
            <w:r>
              <w:t> </w:t>
            </w:r>
          </w:p>
        </w:tc>
      </w:tr>
      <w:tr>
        <w:tc>
          <w:tcPr>
            <w:tcW w:w="1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NextCar Holding Company, Inc.</w:t>
            </w:r>
          </w:p>
        </w:tc>
        <w:tc>
          <w:tcPr>
            <w:tcW w:w="60"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ind w:left="0" w:right="0" w:hanging="0"/>
              <w:jc w:val="left"/>
            </w:pPr>
            <w: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ind w:left="0" w:right="0" w:hanging="0"/>
              <w:jc w:val="left"/>
            </w:pPr>
            <w:r>
              <w:t> </w:t>
            </w:r>
          </w:p>
        </w:tc>
        <w:tc>
          <w:tcPr>
            <w:tcW w:w="51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ind w:left="0" w:right="0" w:hanging="0"/>
              <w:jc w:val="left"/>
            </w:pPr>
            <w:r>
              <w:t> </w:t>
            </w:r>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ind w:left="0" w:right="0" w:hanging="0"/>
              <w:jc w:val="left"/>
            </w:pPr>
            <w:r>
              <w:t> </w:t>
            </w:r>
          </w:p>
        </w:tc>
        <w:tc>
          <w:tcPr>
            <w:tcW w:w="26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ind w:left="0" w:right="0" w:hanging="0"/>
              <w:jc w:val="left"/>
            </w:pPr>
            <w:r>
              <w:t> </w:t>
            </w:r>
          </w:p>
        </w:tc>
        <w:tc>
          <w:tcPr>
            <w:tcW w:w="49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ind w:left="0" w:right="0" w:hanging="0"/>
              <w:jc w:val="left"/>
            </w:pPr>
            <w:r>
              <w:t> </w:t>
            </w:r>
          </w:p>
        </w:tc>
        <w:tc>
          <w:tcPr>
            <w:tcW w:w="46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ind w:left="0" w:right="0" w:hanging="0"/>
              <w:jc w:val="left"/>
            </w:pPr>
            <w:r>
              <w:t> </w:t>
            </w:r>
          </w:p>
        </w:tc>
        <w:tc>
          <w:tcPr>
            <w:tcW w:w="66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37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72" w:type="dxa"/>
            <w:tcBorders/>
            <w:shd w:fill="CCEEFF" w:val="clear"/>
            <w:vAlign w:val="center"/>
          </w:tcPr>
          <w:p>
            <w:pPr>
              <w:pStyle w:val="TableContents"/>
              <w:bidi w:val="0"/>
              <w:spacing w:before="0" w:after="283"/>
              <w:jc w:val="left"/>
            </w:pPr>
            <w:r>
              <w:t> </w:t>
            </w:r>
          </w:p>
        </w:tc>
      </w:tr>
      <w:tr>
        <w:tc>
          <w:tcPr>
            <w:tcW w:w="1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Shengrow Inc.</w:t>
            </w:r>
          </w:p>
        </w:tc>
        <w:tc>
          <w:tcPr>
            <w:tcW w:w="60" w:type="dxa"/>
            <w:tcBorders/>
            <w:shd w:fill="FFFFFF" w:val="clear"/>
            <w:vAlign w:val="center"/>
          </w:tcPr>
          <w:p>
            <w:pPr>
              <w:pStyle w:val="TableContents"/>
              <w:bidi w:val="0"/>
              <w:spacing w:before="0" w:after="283"/>
              <w:jc w:val="left"/>
            </w:pPr>
            <w: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non-controlled affiliates</w:t>
            </w:r>
          </w:p>
        </w:tc>
        <w:tc>
          <w:tcPr>
            <w:tcW w:w="60" w:type="dxa"/>
            <w:tcBorders/>
            <w:shd w:fill="CCEEFF" w:val="clear"/>
            <w:vAlign w:val="center"/>
          </w:tcPr>
          <w:p>
            <w:pPr>
              <w:pStyle w:val="TableContents"/>
              <w:bidi w:val="0"/>
              <w:spacing w:before="0" w:after="283"/>
              <w:ind w:left="0" w:right="0" w:hanging="0"/>
              <w:jc w:val="left"/>
            </w:pPr>
            <w: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 w:hAnsi="Times New Roman"/>
          <w:caps w:val="false"/>
          <w:smallCaps w:val="false"/>
          <w:sz w:val="20"/>
        </w:rPr>
        <w:t xml:space="preserve">Transactions related to investments in non-controlled affiliated companies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1"/>
        <w:gridCol w:w="60"/>
        <w:gridCol w:w="173"/>
        <w:gridCol w:w="671"/>
        <w:gridCol w:w="60"/>
        <w:gridCol w:w="60"/>
        <w:gridCol w:w="149"/>
        <w:gridCol w:w="576"/>
        <w:gridCol w:w="60"/>
        <w:gridCol w:w="60"/>
        <w:gridCol w:w="124"/>
        <w:gridCol w:w="556"/>
        <w:gridCol w:w="80"/>
        <w:gridCol w:w="60"/>
        <w:gridCol w:w="110"/>
        <w:gridCol w:w="290"/>
        <w:gridCol w:w="60"/>
        <w:gridCol w:w="60"/>
        <w:gridCol w:w="124"/>
        <w:gridCol w:w="590"/>
        <w:gridCol w:w="60"/>
        <w:gridCol w:w="60"/>
        <w:gridCol w:w="196"/>
        <w:gridCol w:w="469"/>
        <w:gridCol w:w="60"/>
        <w:gridCol w:w="60"/>
        <w:gridCol w:w="137"/>
        <w:gridCol w:w="613"/>
        <w:gridCol w:w="80"/>
        <w:gridCol w:w="60"/>
        <w:gridCol w:w="233"/>
        <w:gridCol w:w="555"/>
        <w:gridCol w:w="60"/>
        <w:gridCol w:w="60"/>
        <w:gridCol w:w="175"/>
        <w:gridCol w:w="796"/>
        <w:gridCol w:w="60"/>
        <w:gridCol w:w="60"/>
        <w:gridCol w:w="145"/>
        <w:gridCol w:w="385"/>
        <w:gridCol w:w="67"/>
      </w:tblGrid>
      <w:tr>
        <w:tc>
          <w:tcPr>
            <w:tcW w:w="189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671"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70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Three months ended September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3" w:type="dxa"/>
            <w:tcBorders/>
            <w:shd w:fill="FFFFFF" w:val="clear"/>
            <w:vAlign w:val="center"/>
          </w:tcPr>
          <w:p>
            <w:pPr>
              <w:pStyle w:val="TableContents"/>
              <w:bidi w:val="0"/>
              <w:spacing w:before="0" w:after="283"/>
              <w:jc w:val="left"/>
            </w:pPr>
            <w:r>
              <w:t> </w:t>
            </w:r>
          </w:p>
        </w:tc>
        <w:tc>
          <w:tcPr>
            <w:tcW w:w="55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jc w:val="left"/>
            </w:pPr>
            <w:r>
              <w:t> </w:t>
            </w:r>
          </w:p>
        </w:tc>
        <w:tc>
          <w:tcPr>
            <w:tcW w:w="79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385" w:type="dxa"/>
            <w:tcBorders/>
            <w:shd w:fill="FFFFFF" w:val="clear"/>
            <w:vAlign w:val="center"/>
          </w:tcPr>
          <w:p>
            <w:pPr>
              <w:pStyle w:val="TableContents"/>
              <w:bidi w:val="0"/>
              <w:spacing w:before="0" w:after="283"/>
              <w:jc w:val="center"/>
            </w:pPr>
            <w:r>
              <w:rPr>
                <w:rStyle w:val="Emphasis"/>
              </w:rPr>
              <w:t> </w:t>
            </w:r>
          </w:p>
        </w:tc>
        <w:tc>
          <w:tcPr>
            <w:tcW w:w="67" w:type="dxa"/>
            <w:tcBorders/>
            <w:shd w:fill="FFFFFF" w:val="clear"/>
            <w:vAlign w:val="center"/>
          </w:tcPr>
          <w:p>
            <w:pPr>
              <w:pStyle w:val="TableContents"/>
              <w:bidi w:val="0"/>
              <w:spacing w:before="0" w:after="283"/>
              <w:jc w:val="left"/>
            </w:pPr>
            <w:r>
              <w:t> </w:t>
            </w:r>
          </w:p>
        </w:tc>
      </w:tr>
      <w:tr>
        <w:tc>
          <w:tcPr>
            <w:tcW w:w="189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67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5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jc w:val="left"/>
            </w:pPr>
            <w:r>
              <w:t> </w:t>
            </w:r>
          </w:p>
        </w:tc>
        <w:tc>
          <w:tcPr>
            <w:tcW w:w="46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613"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3" w:type="dxa"/>
            <w:tcBorders/>
            <w:shd w:fill="FFFFFF" w:val="clear"/>
            <w:vAlign w:val="center"/>
          </w:tcPr>
          <w:p>
            <w:pPr>
              <w:pStyle w:val="TableContents"/>
              <w:bidi w:val="0"/>
              <w:spacing w:before="0" w:after="283"/>
              <w:jc w:val="left"/>
            </w:pPr>
            <w:r>
              <w:t> </w:t>
            </w:r>
          </w:p>
        </w:tc>
        <w:tc>
          <w:tcPr>
            <w:tcW w:w="5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jc w:val="left"/>
            </w:pPr>
            <w:r>
              <w:t> </w:t>
            </w:r>
          </w:p>
        </w:tc>
        <w:tc>
          <w:tcPr>
            <w:tcW w:w="79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385"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r>
      <w:tr>
        <w:tc>
          <w:tcPr>
            <w:tcW w:w="189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56"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Transfers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jc w:val="left"/>
            </w:pPr>
            <w:r>
              <w:t> </w:t>
            </w:r>
          </w:p>
        </w:tc>
        <w:tc>
          <w:tcPr>
            <w:tcW w:w="469"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3" w:type="dxa"/>
            <w:tcBorders/>
            <w:shd w:fill="FFFFFF" w:val="clear"/>
            <w:vAlign w:val="center"/>
          </w:tcPr>
          <w:p>
            <w:pPr>
              <w:pStyle w:val="TableContents"/>
              <w:bidi w:val="0"/>
              <w:spacing w:before="0" w:after="283"/>
              <w:jc w:val="left"/>
            </w:pPr>
            <w:r>
              <w:t> </w:t>
            </w:r>
          </w:p>
        </w:tc>
        <w:tc>
          <w:tcPr>
            <w:tcW w:w="55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385" w:type="dxa"/>
            <w:tcBorders/>
            <w:shd w:fill="FFFFFF" w:val="clear"/>
            <w:vAlign w:val="center"/>
          </w:tcPr>
          <w:p>
            <w:pPr>
              <w:pStyle w:val="TableContents"/>
              <w:bidi w:val="0"/>
              <w:spacing w:before="0" w:after="283"/>
              <w:jc w:val="center"/>
            </w:pPr>
            <w:r>
              <w:rPr>
                <w:rStyle w:val="Emphasis"/>
              </w:rPr>
              <w:t> </w:t>
            </w:r>
          </w:p>
        </w:tc>
        <w:tc>
          <w:tcPr>
            <w:tcW w:w="67" w:type="dxa"/>
            <w:tcBorders/>
            <w:shd w:fill="FFFFFF" w:val="clear"/>
            <w:vAlign w:val="center"/>
          </w:tcPr>
          <w:p>
            <w:pPr>
              <w:pStyle w:val="TableContents"/>
              <w:bidi w:val="0"/>
              <w:spacing w:before="0" w:after="283"/>
              <w:jc w:val="left"/>
            </w:pPr>
            <w:r>
              <w:t> </w:t>
            </w:r>
          </w:p>
        </w:tc>
      </w:tr>
      <w:tr>
        <w:tc>
          <w:tcPr>
            <w:tcW w:w="189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p>
        </w:tc>
        <w:tc>
          <w:tcPr>
            <w:tcW w:w="60" w:type="dxa"/>
            <w:tcBorders/>
            <w:shd w:fill="FFFFFF" w:val="clear"/>
            <w:vAlign w:val="center"/>
          </w:tcPr>
          <w:p>
            <w:pPr>
              <w:pStyle w:val="TableContents"/>
              <w:bidi w:val="0"/>
              <w:spacing w:before="0" w:after="283"/>
              <w:ind w:left="0" w:right="0" w:hanging="0"/>
              <w:jc w:val="left"/>
            </w:pPr>
            <w:r>
              <w:t> </w:t>
            </w:r>
          </w:p>
        </w:tc>
        <w:tc>
          <w:tcPr>
            <w:tcW w:w="8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June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Principal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in/(out)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Discount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unrealized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 realized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Interest</w:t>
            </w:r>
          </w:p>
        </w:tc>
        <w:tc>
          <w:tcPr>
            <w:tcW w:w="67" w:type="dxa"/>
            <w:tcBorders/>
            <w:shd w:fill="FFFFFF" w:val="clear"/>
            <w:vAlign w:val="center"/>
          </w:tcPr>
          <w:p>
            <w:pPr>
              <w:pStyle w:val="TableContents"/>
              <w:bidi w:val="0"/>
              <w:spacing w:before="0" w:after="283"/>
              <w:jc w:val="left"/>
            </w:pPr>
            <w:r>
              <w:t> </w:t>
            </w:r>
          </w:p>
        </w:tc>
      </w:tr>
      <w:tr>
        <w:tc>
          <w:tcPr>
            <w:tcW w:w="18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Company</w:t>
            </w:r>
          </w:p>
        </w:tc>
        <w:tc>
          <w:tcPr>
            <w:tcW w:w="60" w:type="dxa"/>
            <w:tcBorders/>
            <w:shd w:fill="FFFFFF" w:val="clear"/>
            <w:vAlign w:val="center"/>
          </w:tcPr>
          <w:p>
            <w:pPr>
              <w:pStyle w:val="TableContents"/>
              <w:bidi w:val="0"/>
              <w:spacing w:before="0" w:after="283"/>
              <w:ind w:left="0" w:right="0" w:hanging="0"/>
              <w:jc w:val="left"/>
            </w:pPr>
            <w: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Purchases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payments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PIK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accretion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89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187" w:type="dxa"/>
            <w:gridSpan w:val="3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7" w:type="dxa"/>
            <w:tcBorders/>
            <w:shd w:fill="FFFFFF" w:val="clear"/>
            <w:vAlign w:val="center"/>
          </w:tcPr>
          <w:p>
            <w:pPr>
              <w:pStyle w:val="TableContents"/>
              <w:bidi w:val="0"/>
              <w:spacing w:before="0" w:after="283"/>
              <w:jc w:val="left"/>
            </w:pPr>
            <w:r>
              <w:t> </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Aulea Medical, Inc.</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5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9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9"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85" w:type="dxa"/>
            <w:tcBorders/>
            <w:shd w:fill="CCEEFF" w:val="clear"/>
            <w:vAlign w:val="center"/>
          </w:tcPr>
          <w:p>
            <w:pPr>
              <w:pStyle w:val="TableContents"/>
              <w:bidi w:val="0"/>
              <w:spacing w:before="0" w:after="283"/>
              <w:jc w:val="right"/>
            </w:pPr>
            <w:r>
              <w:t>—</w:t>
            </w:r>
          </w:p>
        </w:tc>
        <w:tc>
          <w:tcPr>
            <w:tcW w:w="67" w:type="dxa"/>
            <w:tcBorders/>
            <w:shd w:fill="CCEEFF" w:val="clear"/>
            <w:vAlign w:val="center"/>
          </w:tcPr>
          <w:p>
            <w:pPr>
              <w:pStyle w:val="TableContents"/>
              <w:bidi w:val="0"/>
              <w:spacing w:before="0" w:after="283"/>
              <w:jc w:val="left"/>
            </w:pPr>
            <w:r>
              <w:t> </w:t>
            </w:r>
          </w:p>
        </w:tc>
      </w:tr>
      <w:tr>
        <w:tc>
          <w:tcPr>
            <w:tcW w:w="189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Evelo Biosciences, Inc.</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6,707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ind w:left="0" w:right="0" w:hanging="0"/>
              <w:jc w:val="left"/>
            </w:pPr>
            <w:r>
              <w:t> </w:t>
            </w:r>
          </w:p>
        </w:tc>
        <w:tc>
          <w:tcPr>
            <w:tcW w:w="576"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ind w:left="0" w:right="0" w:hanging="0"/>
              <w:jc w:val="left"/>
            </w:pPr>
            <w:r>
              <w:t> </w:t>
            </w:r>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29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ind w:left="0" w:right="0" w:hanging="0"/>
              <w:jc w:val="left"/>
            </w:pPr>
            <w:r>
              <w:t> </w:t>
            </w:r>
          </w:p>
        </w:tc>
        <w:tc>
          <w:tcPr>
            <w:tcW w:w="46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61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33" w:type="dxa"/>
            <w:tcBorders/>
            <w:shd w:fill="FFFFFF" w:val="clear"/>
            <w:vAlign w:val="center"/>
          </w:tcPr>
          <w:p>
            <w:pPr>
              <w:pStyle w:val="TableContents"/>
              <w:bidi w:val="0"/>
              <w:spacing w:before="0" w:after="283"/>
              <w:ind w:left="0" w:right="0" w:hanging="0"/>
              <w:jc w:val="left"/>
            </w:pPr>
            <w:r>
              <w:t> </w:t>
            </w:r>
          </w:p>
        </w:tc>
        <w:tc>
          <w:tcPr>
            <w:tcW w:w="55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ind w:left="0" w:right="0" w:hanging="0"/>
              <w:jc w:val="left"/>
            </w:pPr>
            <w: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385" w:type="dxa"/>
            <w:tcBorders/>
            <w:shd w:fill="FFFFFF" w:val="clear"/>
            <w:vAlign w:val="center"/>
          </w:tcPr>
          <w:p>
            <w:pPr>
              <w:pStyle w:val="TableContents"/>
              <w:bidi w:val="0"/>
              <w:spacing w:before="0" w:after="283"/>
              <w:ind w:left="0" w:right="0" w:hanging="0"/>
              <w:jc w:val="right"/>
            </w:pPr>
            <w:r>
              <w:t>—</w:t>
            </w:r>
          </w:p>
        </w:tc>
        <w:tc>
          <w:tcPr>
            <w:tcW w:w="67" w:type="dxa"/>
            <w:tcBorders/>
            <w:shd w:fill="FFFFFF" w:val="clear"/>
            <w:vAlign w:val="center"/>
          </w:tcPr>
          <w:p>
            <w:pPr>
              <w:pStyle w:val="TableContents"/>
              <w:bidi w:val="0"/>
              <w:spacing w:before="0" w:after="283"/>
              <w:jc w:val="left"/>
            </w:pPr>
            <w:r>
              <w:t> </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Shengrow Inc.</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671"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9" w:type="dxa"/>
            <w:tcBorders/>
            <w:shd w:fill="CCEEFF" w:val="clear"/>
            <w:vAlign w:val="center"/>
          </w:tcPr>
          <w:p>
            <w:pPr>
              <w:pStyle w:val="TableContents"/>
              <w:bidi w:val="0"/>
              <w:spacing w:before="0" w:after="283"/>
              <w:jc w:val="left"/>
            </w:pPr>
            <w:r>
              <w:t> </w:t>
            </w:r>
          </w:p>
        </w:tc>
        <w:tc>
          <w:tcPr>
            <w:tcW w:w="5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55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pPr>
            <w:r>
              <w:rPr>
                <w:rStyle w:val="Emphasis"/>
                <w:rFonts w:ascii="Times New Roman;Times;serif" w:hAnsi="Times New Roman;Times;serif"/>
                <w:sz w:val="16"/>
              </w:rPr>
              <w:t>367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32,941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pPr>
            <w:r>
              <w:t> </w:t>
            </w:r>
          </w:p>
        </w:tc>
        <w:tc>
          <w:tcPr>
            <w:tcW w:w="46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61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5,146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jc w:val="left"/>
            </w:pPr>
            <w:r>
              <w:t> </w:t>
            </w:r>
          </w:p>
        </w:tc>
        <w:tc>
          <w:tcPr>
            <w:tcW w:w="555"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43,466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462</w:t>
            </w:r>
          </w:p>
        </w:tc>
        <w:tc>
          <w:tcPr>
            <w:tcW w:w="67" w:type="dxa"/>
            <w:tcBorders/>
            <w:shd w:fill="CCEEFF" w:val="clear"/>
            <w:vAlign w:val="center"/>
          </w:tcPr>
          <w:p>
            <w:pPr>
              <w:pStyle w:val="TableContents"/>
              <w:bidi w:val="0"/>
              <w:spacing w:before="0" w:after="283"/>
              <w:jc w:val="left"/>
            </w:pPr>
            <w:r>
              <w:t> </w:t>
            </w:r>
          </w:p>
        </w:tc>
      </w:tr>
      <w:tr>
        <w:tc>
          <w:tcPr>
            <w:tcW w:w="189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non-controlled affiliates</w:t>
            </w:r>
          </w:p>
        </w:tc>
        <w:tc>
          <w:tcPr>
            <w:tcW w:w="60" w:type="dxa"/>
            <w:tcBorders/>
            <w:shd w:fill="FFFFFF" w:val="clear"/>
            <w:vAlign w:val="center"/>
          </w:tcPr>
          <w:p>
            <w:pPr>
              <w:pStyle w:val="TableContents"/>
              <w:bidi w:val="0"/>
              <w:spacing w:before="0" w:after="283"/>
              <w:ind w:left="0" w:right="0" w:hanging="0"/>
              <w:jc w:val="left"/>
            </w:pPr>
            <w: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6,707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32,941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44,816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3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462</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Transactions related to investments in non-controlled affiliated companies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were as follows: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6"/>
        <w:gridCol w:w="60"/>
        <w:gridCol w:w="168"/>
        <w:gridCol w:w="714"/>
        <w:gridCol w:w="60"/>
        <w:gridCol w:w="60"/>
        <w:gridCol w:w="215"/>
        <w:gridCol w:w="510"/>
        <w:gridCol w:w="60"/>
        <w:gridCol w:w="60"/>
        <w:gridCol w:w="124"/>
        <w:gridCol w:w="556"/>
        <w:gridCol w:w="80"/>
        <w:gridCol w:w="60"/>
        <w:gridCol w:w="110"/>
        <w:gridCol w:w="425"/>
        <w:gridCol w:w="60"/>
        <w:gridCol w:w="60"/>
        <w:gridCol w:w="209"/>
        <w:gridCol w:w="496"/>
        <w:gridCol w:w="60"/>
        <w:gridCol w:w="60"/>
        <w:gridCol w:w="182"/>
        <w:gridCol w:w="483"/>
        <w:gridCol w:w="60"/>
        <w:gridCol w:w="60"/>
        <w:gridCol w:w="119"/>
        <w:gridCol w:w="629"/>
        <w:gridCol w:w="80"/>
        <w:gridCol w:w="60"/>
        <w:gridCol w:w="124"/>
        <w:gridCol w:w="653"/>
        <w:gridCol w:w="80"/>
        <w:gridCol w:w="60"/>
        <w:gridCol w:w="171"/>
        <w:gridCol w:w="741"/>
        <w:gridCol w:w="60"/>
        <w:gridCol w:w="60"/>
        <w:gridCol w:w="110"/>
        <w:gridCol w:w="425"/>
        <w:gridCol w:w="65"/>
      </w:tblGrid>
      <w:tr>
        <w:tc>
          <w:tcPr>
            <w:tcW w:w="177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jc w:val="left"/>
            </w:pPr>
            <w:r>
              <w:t> </w:t>
            </w:r>
          </w:p>
        </w:tc>
        <w:tc>
          <w:tcPr>
            <w:tcW w:w="714"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jc w:val="left"/>
            </w:pPr>
            <w:r>
              <w:t> </w:t>
            </w:r>
          </w:p>
        </w:tc>
        <w:tc>
          <w:tcPr>
            <w:tcW w:w="51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3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Nine months ended September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653"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pPr>
            <w:r>
              <w:t> </w:t>
            </w:r>
          </w:p>
        </w:tc>
        <w:tc>
          <w:tcPr>
            <w:tcW w:w="741"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425" w:type="dxa"/>
            <w:tcBorders/>
            <w:shd w:fill="FFFFFF" w:val="clear"/>
            <w:vAlign w:val="center"/>
          </w:tcPr>
          <w:p>
            <w:pPr>
              <w:pStyle w:val="TableContents"/>
              <w:bidi w:val="0"/>
              <w:spacing w:before="0" w:after="283"/>
              <w:jc w:val="center"/>
            </w:pPr>
            <w:r>
              <w:rPr>
                <w:rStyle w:val="Emphasis"/>
              </w:rPr>
              <w:t> </w:t>
            </w:r>
          </w:p>
        </w:tc>
        <w:tc>
          <w:tcPr>
            <w:tcW w:w="65" w:type="dxa"/>
            <w:tcBorders/>
            <w:shd w:fill="FFFFFF" w:val="clear"/>
            <w:vAlign w:val="center"/>
          </w:tcPr>
          <w:p>
            <w:pPr>
              <w:pStyle w:val="TableContents"/>
              <w:bidi w:val="0"/>
              <w:spacing w:before="0" w:after="283"/>
              <w:jc w:val="left"/>
            </w:pPr>
            <w:r>
              <w:t> </w:t>
            </w:r>
          </w:p>
        </w:tc>
      </w:tr>
      <w:tr>
        <w:tc>
          <w:tcPr>
            <w:tcW w:w="177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2"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jc w:val="left"/>
            </w:pPr>
            <w:r>
              <w:t> </w:t>
            </w:r>
          </w:p>
        </w:tc>
        <w:tc>
          <w:tcPr>
            <w:tcW w:w="51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56"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5" w:type="dxa"/>
            <w:gridSpan w:val="2"/>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0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Transfers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2" w:type="dxa"/>
            <w:tcBorders/>
            <w:shd w:fill="FFFFFF" w:val="clear"/>
            <w:vAlign w:val="center"/>
          </w:tcPr>
          <w:p>
            <w:pPr>
              <w:pStyle w:val="TableContents"/>
              <w:bidi w:val="0"/>
              <w:spacing w:before="0" w:after="283"/>
              <w:jc w:val="left"/>
            </w:pPr>
            <w:r>
              <w:t> </w:t>
            </w:r>
          </w:p>
        </w:tc>
        <w:tc>
          <w:tcPr>
            <w:tcW w:w="483"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653"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2"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425" w:type="dxa"/>
            <w:tcBorders/>
            <w:shd w:fill="FFFFFF" w:val="clear"/>
            <w:vAlign w:val="center"/>
          </w:tcPr>
          <w:p>
            <w:pPr>
              <w:pStyle w:val="TableContents"/>
              <w:bidi w:val="0"/>
              <w:spacing w:before="0" w:after="283"/>
              <w:jc w:val="center"/>
            </w:pPr>
            <w:r>
              <w:rPr>
                <w:rStyle w:val="Emphasis"/>
              </w:rPr>
              <w:t> </w:t>
            </w:r>
          </w:p>
        </w:tc>
        <w:tc>
          <w:tcPr>
            <w:tcW w:w="65" w:type="dxa"/>
            <w:tcBorders/>
            <w:shd w:fill="FFFFFF" w:val="clear"/>
            <w:vAlign w:val="center"/>
          </w:tcPr>
          <w:p>
            <w:pPr>
              <w:pStyle w:val="TableContents"/>
              <w:bidi w:val="0"/>
              <w:spacing w:before="0" w:after="283"/>
              <w:jc w:val="left"/>
            </w:pPr>
            <w:r>
              <w:t> </w:t>
            </w:r>
          </w:p>
        </w:tc>
      </w:tr>
      <w:tr>
        <w:tc>
          <w:tcPr>
            <w:tcW w:w="177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p>
        </w:tc>
        <w:tc>
          <w:tcPr>
            <w:tcW w:w="60" w:type="dxa"/>
            <w:tcBorders/>
            <w:shd w:fill="FFFFFF" w:val="clear"/>
            <w:vAlign w:val="center"/>
          </w:tcPr>
          <w:p>
            <w:pPr>
              <w:pStyle w:val="TableContents"/>
              <w:bidi w:val="0"/>
              <w:spacing w:before="0" w:after="283"/>
              <w:jc w:val="left"/>
            </w:pPr>
            <w:r>
              <w:t> </w:t>
            </w:r>
          </w:p>
        </w:tc>
        <w:tc>
          <w:tcPr>
            <w:tcW w:w="882"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December 31,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5" w:type="dxa"/>
            <w:gridSpan w:val="2"/>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8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Principal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5" w:type="dxa"/>
            <w:gridSpan w:val="2"/>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0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in/(out)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6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Discount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4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unrealized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7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 realized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12"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Interest</w:t>
            </w:r>
          </w:p>
        </w:tc>
        <w:tc>
          <w:tcPr>
            <w:tcW w:w="65" w:type="dxa"/>
            <w:tcBorders/>
            <w:shd w:fill="FFFFFF" w:val="clear"/>
            <w:vAlign w:val="center"/>
          </w:tcPr>
          <w:p>
            <w:pPr>
              <w:pStyle w:val="TableContents"/>
              <w:bidi w:val="0"/>
              <w:spacing w:before="0" w:after="283"/>
              <w:jc w:val="left"/>
            </w:pPr>
            <w:r>
              <w:t> </w:t>
            </w:r>
          </w:p>
        </w:tc>
      </w:tr>
      <w:tr>
        <w:tc>
          <w:tcPr>
            <w:tcW w:w="17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Company</w:t>
            </w:r>
          </w:p>
        </w:tc>
        <w:tc>
          <w:tcPr>
            <w:tcW w:w="60" w:type="dxa"/>
            <w:tcBorders/>
            <w:shd w:fill="FFFFFF" w:val="clear"/>
            <w:vAlign w:val="center"/>
          </w:tcPr>
          <w:p>
            <w:pPr>
              <w:pStyle w:val="TableContents"/>
              <w:bidi w:val="0"/>
              <w:spacing w:before="0" w:after="283"/>
              <w:ind w:left="0" w:right="0" w:hanging="0"/>
              <w:jc w:val="left"/>
            </w:pPr>
            <w:r>
              <w:t> </w:t>
            </w:r>
          </w:p>
        </w:tc>
        <w:tc>
          <w:tcPr>
            <w:tcW w:w="8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Purchases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payments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PIK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accretion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77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304" w:type="dxa"/>
            <w:gridSpan w:val="3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5" w:type="dxa"/>
            <w:tcBorders/>
            <w:shd w:fill="FFFFFF" w:val="clear"/>
            <w:vAlign w:val="center"/>
          </w:tcPr>
          <w:p>
            <w:pPr>
              <w:pStyle w:val="TableContents"/>
              <w:bidi w:val="0"/>
              <w:spacing w:before="0" w:after="283"/>
              <w:jc w:val="left"/>
            </w:pPr>
            <w:r>
              <w:t> </w:t>
            </w:r>
          </w:p>
        </w:tc>
      </w:tr>
      <w:tr>
        <w:tc>
          <w:tcPr>
            <w:tcW w:w="177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Aulea Medical, Inc.</w:t>
            </w:r>
          </w:p>
        </w:tc>
        <w:tc>
          <w:tcPr>
            <w:tcW w:w="60" w:type="dxa"/>
            <w:tcBorders/>
            <w:shd w:fill="CCEEFF" w:val="clear"/>
            <w:vAlign w:val="center"/>
          </w:tcPr>
          <w:p>
            <w:pPr>
              <w:pStyle w:val="TableContents"/>
              <w:bidi w:val="0"/>
              <w:spacing w:before="0" w:after="283"/>
              <w:ind w:left="0" w:right="0" w:hanging="0"/>
              <w:jc w:val="left"/>
            </w:pPr>
            <w: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6"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pPr>
            <w:r>
              <w:t>—</w:t>
            </w:r>
          </w:p>
        </w:tc>
        <w:tc>
          <w:tcPr>
            <w:tcW w:w="65" w:type="dxa"/>
            <w:tcBorders/>
            <w:shd w:fill="CCEEFF" w:val="clear"/>
            <w:vAlign w:val="center"/>
          </w:tcPr>
          <w:p>
            <w:pPr>
              <w:pStyle w:val="TableContents"/>
              <w:bidi w:val="0"/>
              <w:spacing w:before="0" w:after="283"/>
              <w:jc w:val="left"/>
            </w:pPr>
            <w:r>
              <w:t> </w:t>
            </w:r>
          </w:p>
        </w:tc>
      </w:tr>
      <w:tr>
        <w:tc>
          <w:tcPr>
            <w:tcW w:w="177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Evelo Biosciences, Inc.</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ind w:left="0" w:right="0" w:hanging="0"/>
              <w:jc w:val="left"/>
            </w:pPr>
            <w: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ind w:left="0" w:right="0" w:hanging="0"/>
              <w:jc w:val="left"/>
            </w:pPr>
            <w:r>
              <w:t> </w:t>
            </w:r>
          </w:p>
        </w:tc>
        <w:tc>
          <w:tcPr>
            <w:tcW w:w="51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ind w:left="0" w:right="0" w:hanging="0"/>
              <w:jc w:val="left"/>
            </w:pPr>
            <w:r>
              <w:t> </w:t>
            </w:r>
          </w:p>
        </w:tc>
        <w:tc>
          <w:tcPr>
            <w:tcW w:w="55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96"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2" w:type="dxa"/>
            <w:tcBorders/>
            <w:shd w:fill="FFFFFF" w:val="clear"/>
            <w:vAlign w:val="center"/>
          </w:tcPr>
          <w:p>
            <w:pPr>
              <w:pStyle w:val="TableContents"/>
              <w:bidi w:val="0"/>
              <w:spacing w:before="0" w:after="283"/>
              <w:ind w:left="0" w:right="0" w:hanging="0"/>
              <w:jc w:val="left"/>
            </w:pPr>
            <w:r>
              <w:t> </w:t>
            </w:r>
          </w:p>
        </w:tc>
        <w:tc>
          <w:tcPr>
            <w:tcW w:w="483"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629"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ind w:left="0" w:right="0" w:hanging="0"/>
              <w:jc w:val="left"/>
            </w:pPr>
            <w:r>
              <w:t> </w:t>
            </w:r>
          </w:p>
        </w:tc>
        <w:tc>
          <w:tcPr>
            <w:tcW w:w="65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5" w:type="dxa"/>
            <w:tcBorders/>
            <w:shd w:fill="FFFFFF" w:val="clear"/>
            <w:vAlign w:val="center"/>
          </w:tcPr>
          <w:p>
            <w:pPr>
              <w:pStyle w:val="TableContents"/>
              <w:bidi w:val="0"/>
              <w:spacing w:before="0" w:after="283"/>
              <w:jc w:val="left"/>
            </w:pPr>
            <w:r>
              <w:t> </w:t>
            </w:r>
          </w:p>
        </w:tc>
      </w:tr>
      <w:tr>
        <w:tc>
          <w:tcPr>
            <w:tcW w:w="177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Hound Labs II LLC</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11,369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jc w:val="left"/>
            </w:pPr>
            <w:r>
              <w:t> </w:t>
            </w:r>
          </w:p>
        </w:tc>
        <w:tc>
          <w:tcPr>
            <w:tcW w:w="51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55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9" w:type="dxa"/>
            <w:tcBorders/>
            <w:shd w:fill="CCEEFF" w:val="clear"/>
            <w:vAlign w:val="center"/>
          </w:tcPr>
          <w:p>
            <w:pPr>
              <w:pStyle w:val="TableContents"/>
              <w:bidi w:val="0"/>
              <w:spacing w:before="0" w:after="283"/>
              <w:jc w:val="left"/>
            </w:pPr>
            <w:r>
              <w:t> </w:t>
            </w:r>
          </w:p>
        </w:tc>
        <w:tc>
          <w:tcPr>
            <w:tcW w:w="496"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483"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653"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41"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w:t>
            </w:r>
          </w:p>
        </w:tc>
        <w:tc>
          <w:tcPr>
            <w:tcW w:w="65" w:type="dxa"/>
            <w:tcBorders/>
            <w:shd w:fill="CCEEFF" w:val="clear"/>
            <w:vAlign w:val="center"/>
          </w:tcPr>
          <w:p>
            <w:pPr>
              <w:pStyle w:val="TableContents"/>
              <w:bidi w:val="0"/>
              <w:spacing w:before="0" w:after="283"/>
              <w:jc w:val="left"/>
            </w:pPr>
            <w:r>
              <w:t> </w:t>
            </w:r>
          </w:p>
        </w:tc>
      </w:tr>
      <w:tr>
        <w:tc>
          <w:tcPr>
            <w:tcW w:w="177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Nexii, Inc.</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jc w:val="left"/>
            </w:pPr>
            <w:r>
              <w:t> </w:t>
            </w:r>
          </w:p>
        </w:tc>
        <w:tc>
          <w:tcPr>
            <w:tcW w:w="714"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jc w:val="left"/>
            </w:pPr>
            <w:r>
              <w:t> </w:t>
            </w:r>
          </w:p>
        </w:tc>
        <w:tc>
          <w:tcPr>
            <w:tcW w:w="5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56"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42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jc w:val="left"/>
            </w:pPr>
            <w:r>
              <w:t> </w:t>
            </w:r>
          </w:p>
        </w:tc>
        <w:tc>
          <w:tcPr>
            <w:tcW w:w="496"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2" w:type="dxa"/>
            <w:tcBorders/>
            <w:shd w:fill="FFFFFF" w:val="clear"/>
            <w:vAlign w:val="center"/>
          </w:tcPr>
          <w:p>
            <w:pPr>
              <w:pStyle w:val="TableContents"/>
              <w:bidi w:val="0"/>
              <w:spacing w:before="0" w:after="283"/>
              <w:jc w:val="left"/>
            </w:pPr>
            <w:r>
              <w:t> </w:t>
            </w:r>
          </w:p>
        </w:tc>
        <w:tc>
          <w:tcPr>
            <w:tcW w:w="483"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653"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pPr>
            <w:r>
              <w:t> </w:t>
            </w:r>
          </w:p>
        </w:tc>
        <w:tc>
          <w:tcPr>
            <w:tcW w:w="741"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w:t>
            </w:r>
          </w:p>
        </w:tc>
        <w:tc>
          <w:tcPr>
            <w:tcW w:w="65" w:type="dxa"/>
            <w:tcBorders/>
            <w:shd w:fill="FFFFFF" w:val="clear"/>
            <w:vAlign w:val="center"/>
          </w:tcPr>
          <w:p>
            <w:pPr>
              <w:pStyle w:val="TableContents"/>
              <w:bidi w:val="0"/>
              <w:spacing w:before="0" w:after="283"/>
              <w:jc w:val="left"/>
            </w:pPr>
            <w:r>
              <w:t> </w:t>
            </w:r>
          </w:p>
        </w:tc>
      </w:tr>
      <w:tr>
        <w:tc>
          <w:tcPr>
            <w:tcW w:w="177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NextCar Holding Company, Inc.</w:t>
            </w:r>
          </w:p>
        </w:tc>
        <w:tc>
          <w:tcPr>
            <w:tcW w:w="60" w:type="dxa"/>
            <w:tcBorders/>
            <w:shd w:fill="CCEEFF" w:val="clear"/>
            <w:vAlign w:val="center"/>
          </w:tcPr>
          <w:p>
            <w:pPr>
              <w:pStyle w:val="TableContents"/>
              <w:bidi w:val="0"/>
              <w:spacing w:before="0" w:after="283"/>
              <w:jc w:val="left"/>
            </w:pPr>
            <w:r>
              <w:t> </w:t>
            </w:r>
          </w:p>
        </w:tc>
        <w:tc>
          <w:tcPr>
            <w:tcW w:w="168"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jc w:val="left"/>
            </w:pPr>
            <w:r>
              <w:t> </w:t>
            </w:r>
          </w:p>
        </w:tc>
        <w:tc>
          <w:tcPr>
            <w:tcW w:w="51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55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425"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9" w:type="dxa"/>
            <w:tcBorders/>
            <w:shd w:fill="CCEEFF" w:val="clear"/>
            <w:vAlign w:val="center"/>
          </w:tcPr>
          <w:p>
            <w:pPr>
              <w:pStyle w:val="TableContents"/>
              <w:bidi w:val="0"/>
              <w:spacing w:before="0" w:after="283"/>
              <w:jc w:val="left"/>
            </w:pPr>
            <w:r>
              <w:t> </w:t>
            </w:r>
          </w:p>
        </w:tc>
        <w:tc>
          <w:tcPr>
            <w:tcW w:w="496"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483"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653"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4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134</w:t>
            </w:r>
          </w:p>
        </w:tc>
        <w:tc>
          <w:tcPr>
            <w:tcW w:w="65" w:type="dxa"/>
            <w:tcBorders/>
            <w:shd w:fill="CCEEFF" w:val="clear"/>
            <w:vAlign w:val="center"/>
          </w:tcPr>
          <w:p>
            <w:pPr>
              <w:pStyle w:val="TableContents"/>
              <w:bidi w:val="0"/>
              <w:spacing w:before="0" w:after="283"/>
              <w:jc w:val="left"/>
            </w:pPr>
            <w:r>
              <w:t> </w:t>
            </w:r>
          </w:p>
        </w:tc>
      </w:tr>
      <w:tr>
        <w:tc>
          <w:tcPr>
            <w:tcW w:w="177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Shengrow Inc.</w:t>
            </w:r>
          </w:p>
        </w:tc>
        <w:tc>
          <w:tcPr>
            <w:tcW w:w="60" w:type="dxa"/>
            <w:tcBorders/>
            <w:shd w:fill="FFFFFF" w:val="clear"/>
            <w:vAlign w:val="center"/>
          </w:tcPr>
          <w:p>
            <w:pPr>
              <w:pStyle w:val="TableContents"/>
              <w:bidi w:val="0"/>
              <w:spacing w:before="0" w:after="283"/>
              <w:jc w:val="left"/>
            </w:pPr>
            <w:r>
              <w:t> </w:t>
            </w:r>
          </w:p>
        </w:tc>
        <w:tc>
          <w:tcPr>
            <w:tcW w:w="168" w:type="dxa"/>
            <w:tcBorders/>
            <w:shd w:fill="FFFFFF" w:val="clear"/>
            <w:vAlign w:val="center"/>
          </w:tcPr>
          <w:p>
            <w:pPr>
              <w:pStyle w:val="TableContents"/>
              <w:bidi w:val="0"/>
              <w:spacing w:before="0" w:after="283"/>
              <w:jc w:val="left"/>
            </w:pPr>
            <w:r>
              <w:t> </w:t>
            </w:r>
          </w:p>
        </w:tc>
        <w:tc>
          <w:tcPr>
            <w:tcW w:w="7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49,210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jc w:val="left"/>
            </w:pPr>
            <w:r>
              <w:t> </w:t>
            </w:r>
          </w:p>
        </w:tc>
        <w:tc>
          <w:tcPr>
            <w:tcW w:w="51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5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jc w:val="left"/>
            </w:pPr>
            <w:r>
              <w:t> </w:t>
            </w:r>
          </w:p>
        </w:tc>
        <w:tc>
          <w:tcPr>
            <w:tcW w:w="496"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2" w:type="dxa"/>
            <w:tcBorders/>
            <w:shd w:fill="FFFFFF" w:val="clear"/>
            <w:vAlign w:val="center"/>
          </w:tcPr>
          <w:p>
            <w:pPr>
              <w:pStyle w:val="TableContents"/>
              <w:bidi w:val="0"/>
              <w:spacing w:before="0" w:after="283"/>
              <w:jc w:val="left"/>
            </w:pPr>
            <w:r>
              <w:t> </w:t>
            </w:r>
          </w:p>
        </w:tc>
        <w:tc>
          <w:tcPr>
            <w:tcW w:w="48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(23,732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65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(14,501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pPr>
            <w:r>
              <w:t> </w:t>
            </w:r>
          </w:p>
        </w:tc>
        <w:tc>
          <w:tcPr>
            <w:tcW w:w="74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9,797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1,293</w:t>
            </w:r>
          </w:p>
        </w:tc>
        <w:tc>
          <w:tcPr>
            <w:tcW w:w="65" w:type="dxa"/>
            <w:tcBorders/>
            <w:shd w:fill="FFFFFF" w:val="clear"/>
            <w:vAlign w:val="center"/>
          </w:tcPr>
          <w:p>
            <w:pPr>
              <w:pStyle w:val="TableContents"/>
              <w:bidi w:val="0"/>
              <w:spacing w:before="0" w:after="283"/>
              <w:jc w:val="left"/>
            </w:pPr>
            <w:r>
              <w:t> </w:t>
            </w:r>
          </w:p>
        </w:tc>
      </w:tr>
      <w:tr>
        <w:tc>
          <w:tcPr>
            <w:tcW w:w="177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non-controlled affiliates</w:t>
            </w:r>
          </w:p>
        </w:tc>
        <w:tc>
          <w:tcPr>
            <w:tcW w:w="60" w:type="dxa"/>
            <w:tcBorders/>
            <w:shd w:fill="CCEEFF" w:val="clear"/>
            <w:vAlign w:val="center"/>
          </w:tcPr>
          <w:p>
            <w:pPr>
              <w:pStyle w:val="TableContents"/>
              <w:bidi w:val="0"/>
              <w:spacing w:before="0" w:after="283"/>
              <w:ind w:left="0" w:right="0" w:hanging="0"/>
              <w:jc w:val="left"/>
            </w:pPr>
            <w:r>
              <w:t> </w:t>
            </w:r>
          </w:p>
        </w:tc>
        <w:tc>
          <w:tcPr>
            <w:tcW w:w="16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63,144</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(3,078</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1,281</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pPr>
            <w:r>
              <w:t>—</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(35,181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2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(14,501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12,092</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1,957</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 w:hAnsi="Times New Roman"/>
          <w:caps w:val="false"/>
          <w:smallCaps w:val="false"/>
          <w:sz w:val="20"/>
        </w:rPr>
        <w:t xml:space="preserve">Transactions related to investments in non-controlled affiliated companies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were as follows: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8"/>
        <w:gridCol w:w="60"/>
        <w:gridCol w:w="200"/>
        <w:gridCol w:w="728"/>
        <w:gridCol w:w="60"/>
        <w:gridCol w:w="60"/>
        <w:gridCol w:w="149"/>
        <w:gridCol w:w="576"/>
        <w:gridCol w:w="60"/>
        <w:gridCol w:w="60"/>
        <w:gridCol w:w="124"/>
        <w:gridCol w:w="556"/>
        <w:gridCol w:w="80"/>
        <w:gridCol w:w="60"/>
        <w:gridCol w:w="110"/>
        <w:gridCol w:w="290"/>
        <w:gridCol w:w="60"/>
        <w:gridCol w:w="60"/>
        <w:gridCol w:w="124"/>
        <w:gridCol w:w="589"/>
        <w:gridCol w:w="60"/>
        <w:gridCol w:w="60"/>
        <w:gridCol w:w="196"/>
        <w:gridCol w:w="469"/>
        <w:gridCol w:w="60"/>
        <w:gridCol w:w="60"/>
        <w:gridCol w:w="137"/>
        <w:gridCol w:w="613"/>
        <w:gridCol w:w="80"/>
        <w:gridCol w:w="60"/>
        <w:gridCol w:w="229"/>
        <w:gridCol w:w="545"/>
        <w:gridCol w:w="60"/>
        <w:gridCol w:w="60"/>
        <w:gridCol w:w="174"/>
        <w:gridCol w:w="784"/>
        <w:gridCol w:w="60"/>
        <w:gridCol w:w="60"/>
        <w:gridCol w:w="145"/>
        <w:gridCol w:w="385"/>
        <w:gridCol w:w="64"/>
      </w:tblGrid>
      <w:tr>
        <w:tc>
          <w:tcPr>
            <w:tcW w:w="183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0" w:type="dxa"/>
            <w:tcBorders/>
            <w:shd w:fill="FFFFFF" w:val="clear"/>
            <w:vAlign w:val="center"/>
          </w:tcPr>
          <w:p>
            <w:pPr>
              <w:pStyle w:val="TableContents"/>
              <w:bidi w:val="0"/>
              <w:spacing w:before="0" w:after="283"/>
              <w:jc w:val="left"/>
            </w:pPr>
            <w:r>
              <w:t> </w:t>
            </w:r>
          </w:p>
        </w:tc>
        <w:tc>
          <w:tcPr>
            <w:tcW w:w="728"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70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Nine months ended September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pPr>
            <w:r>
              <w:t> </w:t>
            </w:r>
          </w:p>
        </w:tc>
        <w:tc>
          <w:tcPr>
            <w:tcW w:w="54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784"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385" w:type="dxa"/>
            <w:tcBorders/>
            <w:shd w:fill="FFFFFF" w:val="clear"/>
            <w:vAlign w:val="center"/>
          </w:tcPr>
          <w:p>
            <w:pPr>
              <w:pStyle w:val="TableContents"/>
              <w:bidi w:val="0"/>
              <w:spacing w:before="0" w:after="283"/>
              <w:jc w:val="center"/>
            </w:pPr>
            <w:r>
              <w:rPr>
                <w:rStyle w:val="Emphasis"/>
              </w:rPr>
              <w:t> </w:t>
            </w:r>
          </w:p>
        </w:tc>
        <w:tc>
          <w:tcPr>
            <w:tcW w:w="64" w:type="dxa"/>
            <w:tcBorders/>
            <w:shd w:fill="FFFFFF" w:val="clear"/>
            <w:vAlign w:val="center"/>
          </w:tcPr>
          <w:p>
            <w:pPr>
              <w:pStyle w:val="TableContents"/>
              <w:bidi w:val="0"/>
              <w:spacing w:before="0" w:after="283"/>
              <w:jc w:val="left"/>
            </w:pPr>
            <w:r>
              <w:t> </w:t>
            </w:r>
          </w:p>
        </w:tc>
      </w:tr>
      <w:tr>
        <w:tc>
          <w:tcPr>
            <w:tcW w:w="183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0" w:type="dxa"/>
            <w:tcBorders/>
            <w:shd w:fill="FFFFFF" w:val="clear"/>
            <w:vAlign w:val="center"/>
          </w:tcPr>
          <w:p>
            <w:pPr>
              <w:pStyle w:val="TableContents"/>
              <w:bidi w:val="0"/>
              <w:spacing w:before="0" w:after="283"/>
              <w:jc w:val="left"/>
            </w:pPr>
            <w:r>
              <w:t> </w:t>
            </w:r>
          </w:p>
        </w:tc>
        <w:tc>
          <w:tcPr>
            <w:tcW w:w="72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5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8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jc w:val="left"/>
            </w:pPr>
            <w:r>
              <w:t> </w:t>
            </w:r>
          </w:p>
        </w:tc>
        <w:tc>
          <w:tcPr>
            <w:tcW w:w="46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613"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pPr>
            <w:r>
              <w:t> </w:t>
            </w:r>
          </w:p>
        </w:tc>
        <w:tc>
          <w:tcPr>
            <w:tcW w:w="5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78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385"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r>
      <w:tr>
        <w:tc>
          <w:tcPr>
            <w:tcW w:w="183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2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556"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3"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Transfers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jc w:val="left"/>
            </w:pPr>
            <w:r>
              <w:t> </w:t>
            </w:r>
          </w:p>
        </w:tc>
        <w:tc>
          <w:tcPr>
            <w:tcW w:w="469"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pPr>
            <w:r>
              <w:t> </w:t>
            </w:r>
          </w:p>
        </w:tc>
        <w:tc>
          <w:tcPr>
            <w:tcW w:w="54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385" w:type="dxa"/>
            <w:tcBorders/>
            <w:shd w:fill="FFFFFF" w:val="clear"/>
            <w:vAlign w:val="center"/>
          </w:tcPr>
          <w:p>
            <w:pPr>
              <w:pStyle w:val="TableContents"/>
              <w:bidi w:val="0"/>
              <w:spacing w:before="0" w:after="283"/>
              <w:jc w:val="center"/>
            </w:pPr>
            <w:r>
              <w:rPr>
                <w:rStyle w:val="Emphasis"/>
              </w:rPr>
              <w:t> </w:t>
            </w:r>
          </w:p>
        </w:tc>
        <w:tc>
          <w:tcPr>
            <w:tcW w:w="64" w:type="dxa"/>
            <w:tcBorders/>
            <w:shd w:fill="FFFFFF" w:val="clear"/>
            <w:vAlign w:val="center"/>
          </w:tcPr>
          <w:p>
            <w:pPr>
              <w:pStyle w:val="TableContents"/>
              <w:bidi w:val="0"/>
              <w:spacing w:before="0" w:after="283"/>
              <w:jc w:val="left"/>
            </w:pPr>
            <w:r>
              <w:t> </w:t>
            </w:r>
          </w:p>
        </w:tc>
      </w:tr>
      <w:tr>
        <w:tc>
          <w:tcPr>
            <w:tcW w:w="18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p>
        </w:tc>
        <w:tc>
          <w:tcPr>
            <w:tcW w:w="60" w:type="dxa"/>
            <w:tcBorders/>
            <w:shd w:fill="FFFFFF" w:val="clear"/>
            <w:vAlign w:val="center"/>
          </w:tcPr>
          <w:p>
            <w:pPr>
              <w:pStyle w:val="TableContents"/>
              <w:bidi w:val="0"/>
              <w:spacing w:before="0" w:after="283"/>
              <w:ind w:left="0" w:right="0" w:hanging="0"/>
              <w:jc w:val="left"/>
            </w:pPr>
            <w:r>
              <w:t> </w:t>
            </w:r>
          </w:p>
        </w:tc>
        <w:tc>
          <w:tcPr>
            <w:tcW w:w="92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December 31,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Principal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3"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in/(out)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Discount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unrealized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 realized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Interest</w:t>
            </w:r>
          </w:p>
        </w:tc>
        <w:tc>
          <w:tcPr>
            <w:tcW w:w="64" w:type="dxa"/>
            <w:tcBorders/>
            <w:shd w:fill="FFFFFF" w:val="clear"/>
            <w:vAlign w:val="center"/>
          </w:tcPr>
          <w:p>
            <w:pPr>
              <w:pStyle w:val="TableContents"/>
              <w:bidi w:val="0"/>
              <w:spacing w:before="0" w:after="283"/>
              <w:jc w:val="left"/>
            </w:pPr>
            <w:r>
              <w:t> </w:t>
            </w:r>
          </w:p>
        </w:tc>
      </w:tr>
      <w:tr>
        <w:tc>
          <w:tcPr>
            <w:tcW w:w="18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Company</w:t>
            </w:r>
          </w:p>
        </w:tc>
        <w:tc>
          <w:tcPr>
            <w:tcW w:w="60" w:type="dxa"/>
            <w:tcBorders/>
            <w:shd w:fill="FFFFFF" w:val="clear"/>
            <w:vAlign w:val="center"/>
          </w:tcPr>
          <w:p>
            <w:pPr>
              <w:pStyle w:val="TableContents"/>
              <w:bidi w:val="0"/>
              <w:spacing w:before="0" w:after="283"/>
              <w:ind w:left="0" w:right="0" w:hanging="0"/>
              <w:jc w:val="left"/>
            </w:pPr>
            <w:r>
              <w:t> </w:t>
            </w:r>
          </w:p>
        </w:tc>
        <w:tc>
          <w:tcPr>
            <w:tcW w:w="9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Purchases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payments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PIK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accretion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83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43" w:type="dxa"/>
            <w:gridSpan w:val="3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4" w:type="dxa"/>
            <w:tcBorders/>
            <w:shd w:fill="FFFFFF" w:val="clear"/>
            <w:vAlign w:val="center"/>
          </w:tcPr>
          <w:p>
            <w:pPr>
              <w:pStyle w:val="TableContents"/>
              <w:bidi w:val="0"/>
              <w:spacing w:before="0" w:after="283"/>
              <w:jc w:val="left"/>
            </w:pPr>
            <w:r>
              <w:t> </w:t>
            </w:r>
          </w:p>
        </w:tc>
      </w:tr>
      <w:tr>
        <w:tc>
          <w:tcPr>
            <w:tcW w:w="1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Aulea Medical, Inc.</w:t>
            </w:r>
          </w:p>
        </w:tc>
        <w:tc>
          <w:tcPr>
            <w:tcW w:w="60" w:type="dxa"/>
            <w:tcBorders/>
            <w:shd w:fill="CCEEFF" w:val="clear"/>
            <w:vAlign w:val="center"/>
          </w:tcPr>
          <w:p>
            <w:pPr>
              <w:pStyle w:val="TableContents"/>
              <w:bidi w:val="0"/>
              <w:spacing w:before="0" w:after="283"/>
              <w:ind w:left="0" w:right="0" w:hanging="0"/>
              <w:jc w:val="left"/>
            </w:pPr>
            <w: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9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385" w:type="dxa"/>
            <w:tcBorders/>
            <w:shd w:fill="CCEEFF" w:val="clear"/>
            <w:vAlign w:val="center"/>
          </w:tcPr>
          <w:p>
            <w:pPr>
              <w:pStyle w:val="TableContents"/>
              <w:bidi w:val="0"/>
              <w:spacing w:before="0" w:after="283"/>
              <w:ind w:left="0" w:right="0" w:hanging="0"/>
              <w:jc w:val="right"/>
            </w:pPr>
            <w:r>
              <w:t>—</w:t>
            </w:r>
          </w:p>
        </w:tc>
        <w:tc>
          <w:tcPr>
            <w:tcW w:w="64" w:type="dxa"/>
            <w:tcBorders/>
            <w:shd w:fill="CCEEFF" w:val="clear"/>
            <w:vAlign w:val="center"/>
          </w:tcPr>
          <w:p>
            <w:pPr>
              <w:pStyle w:val="TableContents"/>
              <w:bidi w:val="0"/>
              <w:spacing w:before="0" w:after="283"/>
              <w:jc w:val="left"/>
            </w:pPr>
            <w:r>
              <w:t> </w:t>
            </w:r>
          </w:p>
        </w:tc>
      </w:tr>
      <w:tr>
        <w:tc>
          <w:tcPr>
            <w:tcW w:w="1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Evelo Biosciences, Inc.</w:t>
            </w:r>
          </w:p>
        </w:tc>
        <w:tc>
          <w:tcPr>
            <w:tcW w:w="60" w:type="dxa"/>
            <w:tcBorders/>
            <w:shd w:fill="FFFFFF" w:val="clear"/>
            <w:vAlign w:val="center"/>
          </w:tcPr>
          <w:p>
            <w:pPr>
              <w:pStyle w:val="TableContents"/>
              <w:bidi w:val="0"/>
              <w:spacing w:before="0" w:after="283"/>
              <w:jc w:val="left"/>
            </w:pPr>
            <w:r>
              <w:t> </w:t>
            </w:r>
          </w:p>
        </w:tc>
        <w:tc>
          <w:tcPr>
            <w:tcW w:w="200" w:type="dxa"/>
            <w:tcBorders/>
            <w:shd w:fill="FFFFFF" w:val="clear"/>
            <w:vAlign w:val="center"/>
          </w:tcPr>
          <w:p>
            <w:pPr>
              <w:pStyle w:val="TableContents"/>
              <w:bidi w:val="0"/>
              <w:spacing w:before="0" w:after="283"/>
              <w:ind w:left="0" w:right="0" w:hanging="0"/>
              <w:jc w:val="left"/>
            </w:pPr>
            <w:r>
              <w:t> </w:t>
            </w:r>
          </w:p>
        </w:tc>
        <w:tc>
          <w:tcPr>
            <w:tcW w:w="7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8,307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ind w:left="0" w:right="0" w:hanging="0"/>
              <w:jc w:val="left"/>
            </w:pPr>
            <w: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ind w:left="0" w:right="0" w:hanging="0"/>
              <w:jc w:val="left"/>
            </w:pPr>
            <w:r>
              <w:t> </w:t>
            </w:r>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29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ind w:left="0" w:right="0" w:hanging="0"/>
              <w:jc w:val="left"/>
            </w:pPr>
            <w:r>
              <w:t> </w:t>
            </w:r>
          </w:p>
        </w:tc>
        <w:tc>
          <w:tcPr>
            <w:tcW w:w="58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ind w:left="0" w:right="0" w:hanging="0"/>
              <w:jc w:val="left"/>
            </w:pPr>
            <w:r>
              <w:t> </w:t>
            </w:r>
          </w:p>
        </w:tc>
        <w:tc>
          <w:tcPr>
            <w:tcW w:w="46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61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ind w:left="0" w:right="0" w:hanging="0"/>
              <w:jc w:val="left"/>
            </w:pPr>
            <w:r>
              <w:t> </w:t>
            </w:r>
          </w:p>
        </w:tc>
        <w:tc>
          <w:tcPr>
            <w:tcW w:w="54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ind w:left="0" w:right="0" w:hanging="0"/>
              <w:jc w:val="left"/>
            </w:pPr>
            <w:r>
              <w:t> </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385" w:type="dxa"/>
            <w:tcBorders/>
            <w:shd w:fill="FFFFFF" w:val="clear"/>
            <w:vAlign w:val="center"/>
          </w:tcPr>
          <w:p>
            <w:pPr>
              <w:pStyle w:val="TableContents"/>
              <w:bidi w:val="0"/>
              <w:spacing w:before="0" w:after="283"/>
              <w:ind w:left="0" w:right="0" w:hanging="0"/>
              <w:jc w:val="right"/>
            </w:pPr>
            <w:r>
              <w:t>—</w:t>
            </w:r>
          </w:p>
        </w:tc>
        <w:tc>
          <w:tcPr>
            <w:tcW w:w="64" w:type="dxa"/>
            <w:tcBorders/>
            <w:shd w:fill="FFFFFF" w:val="clear"/>
            <w:vAlign w:val="center"/>
          </w:tcPr>
          <w:p>
            <w:pPr>
              <w:pStyle w:val="TableContents"/>
              <w:bidi w:val="0"/>
              <w:spacing w:before="0" w:after="283"/>
              <w:jc w:val="left"/>
            </w:pPr>
            <w:r>
              <w:t> </w:t>
            </w:r>
          </w:p>
        </w:tc>
      </w:tr>
      <w:tr>
        <w:tc>
          <w:tcPr>
            <w:tcW w:w="1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Shengrow Inc.</w:t>
            </w:r>
          </w:p>
        </w:tc>
        <w:tc>
          <w:tcPr>
            <w:tcW w:w="60" w:type="dxa"/>
            <w:tcBorders/>
            <w:shd w:fill="CCEEFF" w:val="clear"/>
            <w:vAlign w:val="center"/>
          </w:tcPr>
          <w:p>
            <w:pPr>
              <w:pStyle w:val="TableContents"/>
              <w:bidi w:val="0"/>
              <w:spacing w:before="0" w:after="283"/>
              <w:jc w:val="left"/>
            </w:pPr>
            <w:r>
              <w:t> </w:t>
            </w:r>
          </w:p>
        </w:tc>
        <w:tc>
          <w:tcPr>
            <w:tcW w:w="200"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9" w:type="dxa"/>
            <w:tcBorders/>
            <w:shd w:fill="CCEEFF" w:val="clear"/>
            <w:vAlign w:val="center"/>
          </w:tcPr>
          <w:p>
            <w:pPr>
              <w:pStyle w:val="TableContents"/>
              <w:bidi w:val="0"/>
              <w:spacing w:before="0" w:after="283"/>
              <w:jc w:val="left"/>
            </w:pPr>
            <w:r>
              <w:t> </w:t>
            </w:r>
          </w:p>
        </w:tc>
        <w:tc>
          <w:tcPr>
            <w:tcW w:w="5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55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pPr>
            <w:r>
              <w:rPr>
                <w:rStyle w:val="Emphasis"/>
                <w:rFonts w:ascii="Times New Roman;Times;serif" w:hAnsi="Times New Roman;Times;serif"/>
                <w:sz w:val="16"/>
              </w:rPr>
              <w:t>367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32,941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pPr>
            <w:r>
              <w:t> </w:t>
            </w:r>
          </w:p>
        </w:tc>
        <w:tc>
          <w:tcPr>
            <w:tcW w:w="46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61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5,146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pPr>
            <w:r>
              <w:t> </w:t>
            </w:r>
          </w:p>
        </w:tc>
        <w:tc>
          <w:tcPr>
            <w:tcW w:w="545"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4" w:type="dxa"/>
            <w:tcBorders/>
            <w:shd w:fill="CCEEFF" w:val="clear"/>
            <w:vAlign w:val="center"/>
          </w:tcPr>
          <w:p>
            <w:pPr>
              <w:pStyle w:val="TableContents"/>
              <w:bidi w:val="0"/>
              <w:spacing w:before="0" w:after="283"/>
              <w:jc w:val="left"/>
            </w:pPr>
            <w:r>
              <w:t> </w:t>
            </w:r>
          </w:p>
        </w:tc>
        <w:tc>
          <w:tcPr>
            <w:tcW w:w="7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43,466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462</w:t>
            </w:r>
          </w:p>
        </w:tc>
        <w:tc>
          <w:tcPr>
            <w:tcW w:w="64" w:type="dxa"/>
            <w:tcBorders/>
            <w:shd w:fill="CCEEFF" w:val="clear"/>
            <w:vAlign w:val="center"/>
          </w:tcPr>
          <w:p>
            <w:pPr>
              <w:pStyle w:val="TableContents"/>
              <w:bidi w:val="0"/>
              <w:spacing w:before="0" w:after="283"/>
              <w:jc w:val="left"/>
            </w:pPr>
            <w:r>
              <w:t> </w:t>
            </w:r>
          </w:p>
        </w:tc>
      </w:tr>
      <w:tr>
        <w:tc>
          <w:tcPr>
            <w:tcW w:w="1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non-controlled affiliates</w:t>
            </w:r>
          </w:p>
        </w:tc>
        <w:tc>
          <w:tcPr>
            <w:tcW w:w="60" w:type="dxa"/>
            <w:tcBorders/>
            <w:shd w:fill="FFFFFF" w:val="clear"/>
            <w:vAlign w:val="center"/>
          </w:tcPr>
          <w:p>
            <w:pPr>
              <w:pStyle w:val="TableContents"/>
              <w:bidi w:val="0"/>
              <w:spacing w:before="0" w:after="283"/>
              <w:ind w:left="0" w:right="0" w:hanging="0"/>
              <w:jc w:val="left"/>
            </w:pPr>
            <w:r>
              <w:t> </w:t>
            </w:r>
          </w:p>
        </w:tc>
        <w:tc>
          <w:tcPr>
            <w:tcW w:w="20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8,307</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5,002</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(2,023</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32,941</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pPr>
            <w:r>
              <w:t>—</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44,816</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38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462</w:t>
            </w:r>
          </w:p>
        </w:tc>
        <w:tc>
          <w:tcPr>
            <w:tcW w:w="6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 controlled affiliated company is generally a portfolio company in which the Company owns more than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of such portfolio company’s voting securities or has the power to exercise control over management or policies of such portfolio company (including through a management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Times;serif" w:hAnsi="Times New Roman;Times;serif"/>
          <w:sz w:val="20"/>
        </w:rPr>
        <w:t xml:space="preserve">Transactions related to investments in controlled affiliated companies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2026</w:t>
      </w:r>
      <w:r>
        <w:rPr>
          <w:rFonts w:ascii="Times New Roman;Times;serif" w:hAnsi="Times New Roman;Times;serif"/>
          <w:sz w:val="20"/>
        </w:rPr>
        <w:t>.</w:t>
      </w:r>
    </w:p>
    <w:p>
      <w:pPr>
        <w:pStyle w:val="TextBody"/>
        <w:bidi w:val="0"/>
        <w:spacing w:before="0" w:after="0"/>
        <w:ind w:left="0" w:right="0" w:firstLine="360"/>
        <w:jc w:val="both"/>
      </w:pPr>
      <w:r>
        <w:t> </w:t>
      </w:r>
    </w:p>
    <w:tbl>
      <w:tblPr>
        <w:tblW w:w="10205" w:type="dxa"/>
        <w:jc w:val="left"/>
        <w:tblInd w:w="0" w:type="dxa"/>
        <w:tblLayout w:type="fixed"/>
        <w:tblCellMar>
          <w:top w:w="0" w:type="dxa"/>
          <w:left w:w="0" w:type="dxa"/>
          <w:bottom w:w="0" w:type="dxa"/>
          <w:right w:w="0" w:type="dxa"/>
        </w:tblCellMar>
      </w:tblPr>
      <w:tblGrid>
        <w:gridCol w:w="1950"/>
        <w:gridCol w:w="60"/>
        <w:gridCol w:w="188"/>
        <w:gridCol w:w="497"/>
        <w:gridCol w:w="60"/>
        <w:gridCol w:w="60"/>
        <w:gridCol w:w="149"/>
        <w:gridCol w:w="576"/>
        <w:gridCol w:w="60"/>
        <w:gridCol w:w="60"/>
        <w:gridCol w:w="269"/>
        <w:gridCol w:w="636"/>
        <w:gridCol w:w="64"/>
        <w:gridCol w:w="64"/>
        <w:gridCol w:w="211"/>
        <w:gridCol w:w="501"/>
        <w:gridCol w:w="64"/>
        <w:gridCol w:w="64"/>
        <w:gridCol w:w="169"/>
        <w:gridCol w:w="541"/>
        <w:gridCol w:w="86"/>
        <w:gridCol w:w="64"/>
        <w:gridCol w:w="183"/>
        <w:gridCol w:w="588"/>
        <w:gridCol w:w="86"/>
        <w:gridCol w:w="64"/>
        <w:gridCol w:w="212"/>
        <w:gridCol w:w="504"/>
        <w:gridCol w:w="60"/>
        <w:gridCol w:w="60"/>
        <w:gridCol w:w="200"/>
        <w:gridCol w:w="702"/>
        <w:gridCol w:w="60"/>
        <w:gridCol w:w="60"/>
        <w:gridCol w:w="126"/>
        <w:gridCol w:w="404"/>
        <w:gridCol w:w="80"/>
        <w:gridCol w:w="60"/>
        <w:gridCol w:w="60"/>
        <w:gridCol w:w="230"/>
        <w:gridCol w:w="73"/>
      </w:tblGrid>
      <w:tr>
        <w:tc>
          <w:tcPr>
            <w:tcW w:w="19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 </w:t>
            </w:r>
          </w:p>
        </w:tc>
        <w:tc>
          <w:tcPr>
            <w:tcW w:w="497"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437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September 30, 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0" w:type="dxa"/>
            <w:tcBorders/>
            <w:vAlign w:val="center"/>
          </w:tcPr>
          <w:p>
            <w:pPr>
              <w:pStyle w:val="TableContents"/>
              <w:bidi w:val="0"/>
              <w:spacing w:before="0" w:after="283"/>
              <w:jc w:val="left"/>
            </w:pPr>
            <w:r>
              <w:t> </w:t>
            </w:r>
          </w:p>
        </w:tc>
        <w:tc>
          <w:tcPr>
            <w:tcW w:w="702"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404"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center"/>
            </w:pPr>
            <w:r>
              <w:t> </w:t>
            </w:r>
          </w:p>
        </w:tc>
        <w:tc>
          <w:tcPr>
            <w:tcW w:w="73" w:type="dxa"/>
            <w:tcBorders/>
            <w:vAlign w:val="center"/>
          </w:tcPr>
          <w:p>
            <w:pPr>
              <w:pStyle w:val="TableContents"/>
              <w:bidi w:val="0"/>
              <w:spacing w:before="0" w:after="283"/>
              <w:jc w:val="left"/>
            </w:pPr>
            <w:r>
              <w:t> </w:t>
            </w:r>
          </w:p>
        </w:tc>
      </w:tr>
      <w:tr>
        <w:tc>
          <w:tcPr>
            <w:tcW w:w="19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 </w:t>
            </w:r>
          </w:p>
        </w:tc>
        <w:tc>
          <w:tcPr>
            <w:tcW w:w="497"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69"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501"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jc w:val="left"/>
            </w:pPr>
            <w:r>
              <w:t> </w:t>
            </w:r>
          </w:p>
        </w:tc>
        <w:tc>
          <w:tcPr>
            <w:tcW w:w="169" w:type="dxa"/>
            <w:tcBorders/>
            <w:vAlign w:val="center"/>
          </w:tcPr>
          <w:p>
            <w:pPr>
              <w:pStyle w:val="TableContents"/>
              <w:bidi w:val="0"/>
              <w:spacing w:before="0" w:after="283"/>
              <w:jc w:val="left"/>
            </w:pPr>
            <w:r>
              <w:t> </w:t>
            </w:r>
          </w:p>
        </w:tc>
        <w:tc>
          <w:tcPr>
            <w:tcW w:w="541" w:type="dxa"/>
            <w:tcBorders/>
            <w:vAlign w:val="center"/>
          </w:tcPr>
          <w:p>
            <w:pPr>
              <w:pStyle w:val="TableContents"/>
              <w:bidi w:val="0"/>
              <w:spacing w:before="0" w:after="283"/>
              <w:jc w:val="left"/>
            </w:pPr>
            <w:r>
              <w:t> </w:t>
            </w:r>
          </w:p>
        </w:tc>
        <w:tc>
          <w:tcPr>
            <w:tcW w:w="86"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588" w:type="dxa"/>
            <w:tcBorders/>
            <w:vAlign w:val="center"/>
          </w:tcPr>
          <w:p>
            <w:pPr>
              <w:pStyle w:val="TableContents"/>
              <w:bidi w:val="0"/>
              <w:spacing w:before="0" w:after="283"/>
              <w:jc w:val="left"/>
            </w:pPr>
            <w:r>
              <w:t> </w:t>
            </w:r>
          </w:p>
        </w:tc>
        <w:tc>
          <w:tcPr>
            <w:tcW w:w="86"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504"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0" w:type="dxa"/>
            <w:tcBorders/>
            <w:vAlign w:val="center"/>
          </w:tcPr>
          <w:p>
            <w:pPr>
              <w:pStyle w:val="TableContents"/>
              <w:bidi w:val="0"/>
              <w:spacing w:before="0" w:after="283"/>
              <w:jc w:val="left"/>
            </w:pPr>
            <w:r>
              <w:t> </w:t>
            </w:r>
          </w:p>
        </w:tc>
        <w:tc>
          <w:tcPr>
            <w:tcW w:w="70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404"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c>
          <w:tcPr>
            <w:tcW w:w="73" w:type="dxa"/>
            <w:tcBorders/>
            <w:vAlign w:val="center"/>
          </w:tcPr>
          <w:p>
            <w:pPr>
              <w:pStyle w:val="TableContents"/>
              <w:bidi w:val="0"/>
              <w:spacing w:before="0" w:after="283"/>
              <w:jc w:val="left"/>
            </w:pPr>
            <w:r>
              <w:t> </w:t>
            </w:r>
          </w:p>
        </w:tc>
      </w:tr>
      <w:tr>
        <w:tc>
          <w:tcPr>
            <w:tcW w:w="19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85"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69"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center"/>
            </w:pPr>
            <w:r>
              <w:rPr>
                <w:rStyle w:val="Emphasis"/>
              </w:rPr>
              <w:t> </w:t>
            </w:r>
          </w:p>
        </w:tc>
        <w:tc>
          <w:tcPr>
            <w:tcW w:w="64"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12"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Transfers</w:t>
            </w:r>
          </w:p>
        </w:tc>
        <w:tc>
          <w:tcPr>
            <w:tcW w:w="64"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jc w:val="left"/>
            </w:pPr>
            <w:r>
              <w:t> </w:t>
            </w:r>
          </w:p>
        </w:tc>
        <w:tc>
          <w:tcPr>
            <w:tcW w:w="169" w:type="dxa"/>
            <w:tcBorders/>
            <w:vAlign w:val="center"/>
          </w:tcPr>
          <w:p>
            <w:pPr>
              <w:pStyle w:val="TableContents"/>
              <w:bidi w:val="0"/>
              <w:spacing w:before="0" w:after="283"/>
              <w:jc w:val="left"/>
            </w:pPr>
            <w:r>
              <w:t> </w:t>
            </w:r>
          </w:p>
        </w:tc>
        <w:tc>
          <w:tcPr>
            <w:tcW w:w="541" w:type="dxa"/>
            <w:tcBorders/>
            <w:vAlign w:val="center"/>
          </w:tcPr>
          <w:p>
            <w:pPr>
              <w:pStyle w:val="TableContents"/>
              <w:bidi w:val="0"/>
              <w:spacing w:before="0" w:after="283"/>
              <w:jc w:val="center"/>
            </w:pPr>
            <w:r>
              <w:rPr>
                <w:rStyle w:val="Emphasis"/>
              </w:rPr>
              <w:t> </w:t>
            </w:r>
          </w:p>
        </w:tc>
        <w:tc>
          <w:tcPr>
            <w:tcW w:w="86"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71"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w:t>
            </w:r>
          </w:p>
        </w:tc>
        <w:tc>
          <w:tcPr>
            <w:tcW w:w="86"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504"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2"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404" w:type="dxa"/>
            <w:tcBorders/>
            <w:vAlign w:val="center"/>
          </w:tcPr>
          <w:p>
            <w:pPr>
              <w:pStyle w:val="TableContents"/>
              <w:bidi w:val="0"/>
              <w:spacing w:before="0" w:after="283"/>
              <w:jc w:val="center"/>
            </w:pPr>
            <w:r>
              <w:rPr>
                <w:rStyle w:val="Emphasis"/>
              </w:rP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center"/>
            </w:pPr>
            <w:r>
              <w:rPr>
                <w:rStyle w:val="Emphasis"/>
              </w:rPr>
              <w:t> </w:t>
            </w:r>
          </w:p>
        </w:tc>
        <w:tc>
          <w:tcPr>
            <w:tcW w:w="73" w:type="dxa"/>
            <w:tcBorders/>
            <w:vAlign w:val="center"/>
          </w:tcPr>
          <w:p>
            <w:pPr>
              <w:pStyle w:val="TableContents"/>
              <w:bidi w:val="0"/>
              <w:spacing w:before="0" w:after="283"/>
              <w:jc w:val="left"/>
            </w:pPr>
            <w:r>
              <w:t> </w:t>
            </w:r>
          </w:p>
        </w:tc>
      </w:tr>
      <w:tr>
        <w:tc>
          <w:tcPr>
            <w:tcW w:w="19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Portfolio </w:t>
            </w:r>
          </w:p>
        </w:tc>
        <w:tc>
          <w:tcPr>
            <w:tcW w:w="60" w:type="dxa"/>
            <w:tcBorders/>
            <w:vAlign w:val="center"/>
          </w:tcPr>
          <w:p>
            <w:pPr>
              <w:pStyle w:val="TableContents"/>
              <w:bidi w:val="0"/>
              <w:spacing w:before="0" w:after="283"/>
              <w:ind w:left="0" w:right="0" w:hanging="0"/>
              <w:jc w:val="left"/>
            </w:pPr>
            <w:r>
              <w:t> </w:t>
            </w:r>
          </w:p>
        </w:tc>
        <w:tc>
          <w:tcPr>
            <w:tcW w:w="685"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June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69"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center"/>
            </w:pPr>
            <w:r>
              <w:rPr>
                <w:rStyle w:val="Emphasis"/>
              </w:rPr>
              <w:t> </w:t>
            </w:r>
          </w:p>
        </w:tc>
        <w:tc>
          <w:tcPr>
            <w:tcW w:w="64"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12"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in/(out) at</w:t>
            </w:r>
          </w:p>
        </w:tc>
        <w:tc>
          <w:tcPr>
            <w:tcW w:w="64"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1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Dividends</w:t>
            </w:r>
          </w:p>
        </w:tc>
        <w:tc>
          <w:tcPr>
            <w:tcW w:w="86"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71"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unrealized</w:t>
            </w:r>
          </w:p>
        </w:tc>
        <w:tc>
          <w:tcPr>
            <w:tcW w:w="86" w:type="dxa"/>
            <w:tcBorders/>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16"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 realized</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2"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3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Interest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center"/>
            </w:pPr>
            <w:r>
              <w:rPr>
                <w:rStyle w:val="Emphasis"/>
              </w:rPr>
              <w:t> </w:t>
            </w:r>
          </w:p>
        </w:tc>
        <w:tc>
          <w:tcPr>
            <w:tcW w:w="73" w:type="dxa"/>
            <w:tcBorders/>
            <w:vAlign w:val="center"/>
          </w:tcPr>
          <w:p>
            <w:pPr>
              <w:pStyle w:val="TableContents"/>
              <w:bidi w:val="0"/>
              <w:spacing w:before="0" w:after="283"/>
              <w:jc w:val="left"/>
            </w:pPr>
            <w:r>
              <w:t> </w:t>
            </w:r>
          </w:p>
        </w:tc>
      </w:tr>
      <w:tr>
        <w:tc>
          <w:tcPr>
            <w:tcW w:w="19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Company</w:t>
            </w:r>
          </w:p>
        </w:tc>
        <w:tc>
          <w:tcPr>
            <w:tcW w:w="60" w:type="dxa"/>
            <w:tcBorders/>
            <w:vAlign w:val="center"/>
          </w:tcPr>
          <w:p>
            <w:pPr>
              <w:pStyle w:val="TableContents"/>
              <w:bidi w:val="0"/>
              <w:spacing w:before="0" w:after="283"/>
              <w:ind w:left="0" w:right="0" w:hanging="0"/>
              <w:jc w:val="left"/>
            </w:pPr>
            <w: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Purchases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Distributions</w:t>
            </w:r>
          </w:p>
        </w:tc>
        <w:tc>
          <w:tcPr>
            <w:tcW w:w="64" w:type="dxa"/>
            <w:tcBorders>
              <w:bottom w:val="single" w:sz="2" w:space="0" w:color="000000"/>
            </w:tcBorders>
            <w:tcMar>
              <w:bottom w:w="28" w:type="dxa"/>
            </w:tcMar>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12"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fair value </w:t>
            </w:r>
          </w:p>
        </w:tc>
        <w:tc>
          <w:tcPr>
            <w:tcW w:w="64" w:type="dxa"/>
            <w:tcBorders>
              <w:bottom w:val="single" w:sz="2" w:space="0" w:color="000000"/>
            </w:tcBorders>
            <w:tcMar>
              <w:bottom w:w="28" w:type="dxa"/>
            </w:tcMar>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declared </w:t>
            </w:r>
          </w:p>
        </w:tc>
        <w:tc>
          <w:tcPr>
            <w:tcW w:w="86" w:type="dxa"/>
            <w:tcBorders>
              <w:bottom w:val="single" w:sz="2" w:space="0" w:color="000000"/>
            </w:tcBorders>
            <w:tcMar>
              <w:bottom w:w="28" w:type="dxa"/>
            </w:tcMar>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71"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gain/(loss) </w:t>
            </w:r>
          </w:p>
        </w:tc>
        <w:tc>
          <w:tcPr>
            <w:tcW w:w="86" w:type="dxa"/>
            <w:tcBorders>
              <w:bottom w:val="single" w:sz="2" w:space="0" w:color="000000"/>
            </w:tcBorders>
            <w:tcMar>
              <w:bottom w:w="28" w:type="dxa"/>
            </w:tcMar>
            <w:vAlign w:val="center"/>
          </w:tcPr>
          <w:p>
            <w:pPr>
              <w:pStyle w:val="TableContents"/>
              <w:bidi w:val="0"/>
              <w:spacing w:before="0" w:after="283"/>
              <w:jc w:val="left"/>
            </w:pPr>
            <w:r>
              <w:t> </w:t>
            </w:r>
          </w:p>
        </w:tc>
        <w:tc>
          <w:tcPr>
            <w:tcW w:w="64" w:type="dxa"/>
            <w:tcBorders/>
            <w:vAlign w:val="center"/>
          </w:tcPr>
          <w:p>
            <w:pPr>
              <w:pStyle w:val="TableContents"/>
              <w:bidi w:val="0"/>
              <w:spacing w:before="0" w:after="283"/>
              <w:ind w:left="0" w:right="0" w:hanging="0"/>
              <w:jc w:val="left"/>
            </w:pPr>
            <w:r>
              <w:t> </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230" w:type="dxa"/>
            <w:tcBorders>
              <w:bottom w:val="single" w:sz="2" w:space="0" w:color="000000"/>
            </w:tcBorders>
            <w:tcMar>
              <w:bottom w:w="28" w:type="dxa"/>
            </w:tcMar>
            <w:vAlign w:val="center"/>
          </w:tcPr>
          <w:p>
            <w:pPr>
              <w:pStyle w:val="TableContents"/>
              <w:bidi w:val="0"/>
              <w:spacing w:before="0" w:after="283"/>
              <w:jc w:val="center"/>
            </w:pPr>
            <w:r>
              <w:rPr>
                <w:rStyle w:val="Emphasis"/>
              </w:rPr>
              <w:t> </w:t>
            </w:r>
          </w:p>
        </w:tc>
        <w:tc>
          <w:tcPr>
            <w:tcW w:w="73" w:type="dxa"/>
            <w:tcBorders>
              <w:bottom w:val="single" w:sz="2" w:space="0" w:color="000000"/>
            </w:tcBorders>
            <w:tcMar>
              <w:bottom w:w="28" w:type="dxa"/>
            </w:tcMar>
            <w:vAlign w:val="center"/>
          </w:tcPr>
          <w:p>
            <w:pPr>
              <w:pStyle w:val="TableContents"/>
              <w:bidi w:val="0"/>
              <w:spacing w:before="0" w:after="283"/>
              <w:jc w:val="left"/>
            </w:pPr>
            <w:r>
              <w:t> </w:t>
            </w:r>
          </w:p>
        </w:tc>
      </w:tr>
      <w:tr>
        <w:tc>
          <w:tcPr>
            <w:tcW w:w="19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692" w:type="dxa"/>
            <w:gridSpan w:val="3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center"/>
            </w:pPr>
            <w:r>
              <w:t> </w:t>
            </w:r>
          </w:p>
        </w:tc>
        <w:tc>
          <w:tcPr>
            <w:tcW w:w="73" w:type="dxa"/>
            <w:tcBorders/>
            <w:vAlign w:val="center"/>
          </w:tcPr>
          <w:p>
            <w:pPr>
              <w:pStyle w:val="TableContents"/>
              <w:bidi w:val="0"/>
              <w:spacing w:before="0" w:after="283"/>
              <w:jc w:val="left"/>
            </w:pPr>
            <w:r>
              <w:t> </w:t>
            </w:r>
          </w:p>
        </w:tc>
      </w:tr>
      <w:tr>
        <w:tc>
          <w:tcPr>
            <w:tcW w:w="195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RoHo Capital Opportunity Fund LLC(1)</w:t>
            </w:r>
          </w:p>
        </w:tc>
        <w:tc>
          <w:tcPr>
            <w:tcW w:w="60" w:type="dxa"/>
            <w:tcBorders/>
            <w:shd w:fill="CCEEFF" w:val="clear"/>
            <w:vAlign w:val="center"/>
          </w:tcPr>
          <w:p>
            <w:pPr>
              <w:pStyle w:val="TableContents"/>
              <w:bidi w:val="0"/>
              <w:spacing w:before="0" w:after="283"/>
              <w:ind w:left="0" w:right="0" w:hanging="0"/>
              <w:jc w:val="left"/>
            </w:pPr>
            <w: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9"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36" w:type="dxa"/>
            <w:tcBorders>
              <w:bottom w:val="single" w:sz="2" w:space="0" w:color="000000"/>
            </w:tcBorders>
            <w:shd w:fill="CCEEFF" w:val="clear"/>
            <w:tcMar>
              <w:bottom w:w="28" w:type="dxa"/>
            </w:tcMar>
            <w:vAlign w:val="center"/>
          </w:tcPr>
          <w:p>
            <w:pPr>
              <w:pStyle w:val="TableContents"/>
              <w:bidi w:val="0"/>
              <w:spacing w:before="0" w:after="283"/>
              <w:jc w:val="left"/>
            </w:pPr>
            <w:r>
              <w:rPr>
                <w:rStyle w:val="Emphasis"/>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ind w:left="0" w:right="0" w:hanging="0"/>
              <w:jc w:val="left"/>
            </w:pPr>
            <w: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ind w:left="0" w:right="0" w:hanging="0"/>
              <w:jc w:val="left"/>
            </w:pPr>
            <w: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4" w:type="dxa"/>
            <w:tcBorders/>
            <w:shd w:fill="CCEEFF" w:val="clear"/>
            <w:vAlign w:val="center"/>
          </w:tcPr>
          <w:p>
            <w:pPr>
              <w:pStyle w:val="TableContents"/>
              <w:bidi w:val="0"/>
              <w:spacing w:before="0" w:after="283"/>
              <w:ind w:left="0" w:right="0" w:hanging="0"/>
              <w:jc w:val="left"/>
            </w:pPr>
            <w: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4" w:type="dxa"/>
            <w:tcBorders/>
            <w:shd w:fill="CCEEFF" w:val="clear"/>
            <w:vAlign w:val="center"/>
          </w:tcPr>
          <w:p>
            <w:pPr>
              <w:pStyle w:val="TableContents"/>
              <w:bidi w:val="0"/>
              <w:spacing w:before="0" w:after="283"/>
              <w:jc w:val="left"/>
            </w:pPr>
            <w:r>
              <w:t> </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504" w:type="dxa"/>
            <w:tcBorders>
              <w:bottom w:val="single" w:sz="2" w:space="0" w:color="000000"/>
            </w:tcBorders>
            <w:shd w:fill="CCEEFF" w:val="clear"/>
            <w:tcMar>
              <w:bottom w:w="28" w:type="dxa"/>
            </w:tcMar>
            <w:vAlign w:val="center"/>
          </w:tcPr>
          <w:p>
            <w:pPr>
              <w:pStyle w:val="TableContents"/>
              <w:bidi w:val="0"/>
              <w:spacing w:before="0" w:after="283"/>
              <w:jc w:val="right"/>
            </w:pPr>
            <w:r>
              <w:rPr>
                <w:rStyle w:val="Emphasis"/>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rPr>
                <w:rStyle w:val="Emphasis"/>
              </w:rPr>
              <w:t>—</w:t>
            </w:r>
          </w:p>
        </w:tc>
        <w:tc>
          <w:tcPr>
            <w:tcW w:w="7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controlled affiliates</w:t>
            </w:r>
          </w:p>
        </w:tc>
        <w:tc>
          <w:tcPr>
            <w:tcW w:w="60" w:type="dxa"/>
            <w:tcBorders/>
            <w:shd w:fill="FFFFFF" w:val="clear"/>
            <w:vAlign w:val="center"/>
          </w:tcPr>
          <w:p>
            <w:pPr>
              <w:pStyle w:val="TableContents"/>
              <w:bidi w:val="0"/>
              <w:spacing w:before="0" w:after="283"/>
              <w:ind w:left="0" w:right="0" w:hanging="0"/>
              <w:jc w:val="left"/>
            </w:pPr>
            <w: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8,295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4" w:type="dxa"/>
            <w:tcBorders/>
            <w:shd w:fill="FFFFFF" w:val="clear"/>
            <w:vAlign w:val="center"/>
          </w:tcPr>
          <w:p>
            <w:pPr>
              <w:pStyle w:val="TableContents"/>
              <w:bidi w:val="0"/>
              <w:spacing w:before="0" w:after="283"/>
              <w:ind w:left="0" w:right="0" w:hanging="0"/>
              <w:jc w:val="left"/>
            </w:pPr>
            <w: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4" w:type="dxa"/>
            <w:tcBorders/>
            <w:shd w:fill="FFFFFF" w:val="clear"/>
            <w:vAlign w:val="center"/>
          </w:tcPr>
          <w:p>
            <w:pPr>
              <w:pStyle w:val="TableContents"/>
              <w:bidi w:val="0"/>
              <w:spacing w:before="0" w:after="283"/>
              <w:ind w:left="0" w:right="0" w:hanging="0"/>
              <w:jc w:val="left"/>
            </w:pPr>
            <w: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7,765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right"/>
            </w:pPr>
            <w:r>
              <w:rPr>
                <w:rStyle w:val="Emphasis"/>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both"/>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61"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20"/>
              </w:rPr>
              <w:t xml:space="preserve">The Company and CRFH are the members of the RoHo Joint Venture, a joint venture formed as a Delaware limited liability company that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consolidated by either member for financial reporting purposes. The members make investments in the RoHo Joint Venture in the form of capital contributions as the RoHo Joint Venture makes investments or incurs expenses, and all portfolio and other material decisions regarding the RoHo Joint Venture must be submitted to the RoHo Joint Venture’s board of directors, which has an equal number of directors appointed by each of the Company and CRFH. Accordingly,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sole control over the RoHo Joint Venture.</w:t>
            </w:r>
          </w:p>
        </w:tc>
      </w:tr>
    </w:tbl>
    <w:p>
      <w:pPr>
        <w:pStyle w:val="TextBody"/>
        <w:bidi w:val="0"/>
        <w:spacing w:before="0" w:after="0"/>
        <w:ind w:left="0" w:right="0" w:firstLine="360"/>
        <w:jc w:val="both"/>
      </w:pPr>
      <w:r>
        <w:t> </w:t>
      </w:r>
    </w:p>
    <w:p>
      <w:pPr>
        <w:pStyle w:val="TextBody"/>
        <w:bidi w:val="0"/>
        <w:spacing w:before="0" w:after="0"/>
        <w:ind w:left="0" w:right="0" w:firstLine="360"/>
        <w:jc w:val="both"/>
      </w:pPr>
      <w:r>
        <w:rPr>
          <w:rFonts w:ascii="Times New Roman" w:hAnsi="Times New Roman"/>
          <w:caps w:val="false"/>
          <w:smallCaps w:val="false"/>
          <w:sz w:val="20"/>
        </w:rPr>
        <w:t xml:space="preserve">Transactions related to investments in controlled affiliated companies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were as follows: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678"/>
        <w:gridCol w:w="60"/>
        <w:gridCol w:w="153"/>
        <w:gridCol w:w="723"/>
        <w:gridCol w:w="60"/>
        <w:gridCol w:w="60"/>
        <w:gridCol w:w="149"/>
        <w:gridCol w:w="576"/>
        <w:gridCol w:w="60"/>
        <w:gridCol w:w="60"/>
        <w:gridCol w:w="201"/>
        <w:gridCol w:w="479"/>
        <w:gridCol w:w="60"/>
        <w:gridCol w:w="60"/>
        <w:gridCol w:w="110"/>
        <w:gridCol w:w="260"/>
        <w:gridCol w:w="60"/>
        <w:gridCol w:w="60"/>
        <w:gridCol w:w="131"/>
        <w:gridCol w:w="585"/>
        <w:gridCol w:w="80"/>
        <w:gridCol w:w="60"/>
        <w:gridCol w:w="196"/>
        <w:gridCol w:w="469"/>
        <w:gridCol w:w="60"/>
        <w:gridCol w:w="60"/>
        <w:gridCol w:w="119"/>
        <w:gridCol w:w="632"/>
        <w:gridCol w:w="80"/>
        <w:gridCol w:w="60"/>
        <w:gridCol w:w="131"/>
        <w:gridCol w:w="690"/>
        <w:gridCol w:w="80"/>
        <w:gridCol w:w="60"/>
        <w:gridCol w:w="207"/>
        <w:gridCol w:w="779"/>
        <w:gridCol w:w="60"/>
        <w:gridCol w:w="60"/>
        <w:gridCol w:w="197"/>
        <w:gridCol w:w="473"/>
        <w:gridCol w:w="67"/>
      </w:tblGrid>
      <w:tr>
        <w:tc>
          <w:tcPr>
            <w:tcW w:w="167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jc w:val="left"/>
            </w:pPr>
            <w:r>
              <w:t> </w:t>
            </w:r>
          </w:p>
        </w:tc>
        <w:tc>
          <w:tcPr>
            <w:tcW w:w="723"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68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Three months ended September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690"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jc w:val="left"/>
            </w:pPr>
            <w:r>
              <w:t> </w:t>
            </w:r>
          </w:p>
        </w:tc>
        <w:tc>
          <w:tcPr>
            <w:tcW w:w="779"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7" w:type="dxa"/>
            <w:tcBorders/>
            <w:shd w:fill="FFFFFF" w:val="clear"/>
            <w:vAlign w:val="center"/>
          </w:tcPr>
          <w:p>
            <w:pPr>
              <w:pStyle w:val="TableContents"/>
              <w:bidi w:val="0"/>
              <w:spacing w:before="0" w:after="283"/>
              <w:jc w:val="left"/>
            </w:pPr>
            <w:r>
              <w:t> </w:t>
            </w:r>
          </w:p>
        </w:tc>
        <w:tc>
          <w:tcPr>
            <w:tcW w:w="473" w:type="dxa"/>
            <w:tcBorders/>
            <w:shd w:fill="FFFFFF" w:val="clear"/>
            <w:vAlign w:val="center"/>
          </w:tcPr>
          <w:p>
            <w:pPr>
              <w:pStyle w:val="TableContents"/>
              <w:bidi w:val="0"/>
              <w:spacing w:before="0" w:after="283"/>
              <w:jc w:val="center"/>
            </w:pPr>
            <w:r>
              <w:rPr>
                <w:rStyle w:val="Emphasis"/>
              </w:rPr>
              <w:t> </w:t>
            </w:r>
          </w:p>
        </w:tc>
        <w:tc>
          <w:tcPr>
            <w:tcW w:w="67" w:type="dxa"/>
            <w:tcBorders/>
            <w:shd w:fill="FFFFFF" w:val="clear"/>
            <w:vAlign w:val="center"/>
          </w:tcPr>
          <w:p>
            <w:pPr>
              <w:pStyle w:val="TableContents"/>
              <w:bidi w:val="0"/>
              <w:spacing w:before="0" w:after="283"/>
              <w:jc w:val="left"/>
            </w:pPr>
            <w:r>
              <w:t> </w:t>
            </w:r>
          </w:p>
        </w:tc>
      </w:tr>
      <w:tr>
        <w:tc>
          <w:tcPr>
            <w:tcW w:w="167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jc w:val="left"/>
            </w:pPr>
            <w:r>
              <w:t> </w:t>
            </w:r>
          </w:p>
        </w:tc>
        <w:tc>
          <w:tcPr>
            <w:tcW w:w="72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jc w:val="left"/>
            </w:pPr>
            <w:r>
              <w:t> </w:t>
            </w:r>
          </w:p>
        </w:tc>
        <w:tc>
          <w:tcPr>
            <w:tcW w:w="47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5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jc w:val="left"/>
            </w:pPr>
            <w:r>
              <w:t> </w:t>
            </w:r>
          </w:p>
        </w:tc>
        <w:tc>
          <w:tcPr>
            <w:tcW w:w="46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63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69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jc w:val="left"/>
            </w:pPr>
            <w:r>
              <w:t> </w:t>
            </w:r>
          </w:p>
        </w:tc>
        <w:tc>
          <w:tcPr>
            <w:tcW w:w="77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7" w:type="dxa"/>
            <w:tcBorders/>
            <w:shd w:fill="FFFFFF" w:val="clear"/>
            <w:vAlign w:val="center"/>
          </w:tcPr>
          <w:p>
            <w:pPr>
              <w:pStyle w:val="TableContents"/>
              <w:bidi w:val="0"/>
              <w:spacing w:before="0" w:after="283"/>
              <w:jc w:val="left"/>
            </w:pPr>
            <w:r>
              <w:t> </w:t>
            </w:r>
          </w:p>
        </w:tc>
        <w:tc>
          <w:tcPr>
            <w:tcW w:w="473"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r>
      <w:tr>
        <w:tc>
          <w:tcPr>
            <w:tcW w:w="167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jc w:val="left"/>
            </w:pPr>
            <w:r>
              <w:t> </w:t>
            </w:r>
          </w:p>
        </w:tc>
        <w:tc>
          <w:tcPr>
            <w:tcW w:w="479"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6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Transfers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jc w:val="left"/>
            </w:pPr>
            <w:r>
              <w:t> </w:t>
            </w:r>
          </w:p>
        </w:tc>
        <w:tc>
          <w:tcPr>
            <w:tcW w:w="469"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690"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8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Interest</w:t>
            </w:r>
          </w:p>
        </w:tc>
        <w:tc>
          <w:tcPr>
            <w:tcW w:w="67" w:type="dxa"/>
            <w:tcBorders/>
            <w:shd w:fill="FFFFFF" w:val="clear"/>
            <w:vAlign w:val="center"/>
          </w:tcPr>
          <w:p>
            <w:pPr>
              <w:pStyle w:val="TableContents"/>
              <w:bidi w:val="0"/>
              <w:spacing w:before="0" w:after="283"/>
              <w:jc w:val="left"/>
            </w:pPr>
            <w:r>
              <w:t> </w:t>
            </w:r>
          </w:p>
        </w:tc>
      </w:tr>
      <w:tr>
        <w:tc>
          <w:tcPr>
            <w:tcW w:w="167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p>
        </w:tc>
        <w:tc>
          <w:tcPr>
            <w:tcW w:w="60" w:type="dxa"/>
            <w:tcBorders/>
            <w:shd w:fill="FFFFFF" w:val="clear"/>
            <w:vAlign w:val="center"/>
          </w:tcPr>
          <w:p>
            <w:pPr>
              <w:pStyle w:val="TableContents"/>
              <w:bidi w:val="0"/>
              <w:spacing w:before="0" w:after="283"/>
              <w:ind w:left="0" w:right="0" w:hanging="0"/>
              <w:jc w:val="left"/>
            </w:pPr>
            <w:r>
              <w:t> </w:t>
            </w:r>
          </w:p>
        </w:tc>
        <w:tc>
          <w:tcPr>
            <w:tcW w:w="87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June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576"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Principal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6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in/(out) at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Discount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unrealized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 realized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8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w:t>
            </w:r>
          </w:p>
        </w:tc>
        <w:tc>
          <w:tcPr>
            <w:tcW w:w="67" w:type="dxa"/>
            <w:tcBorders/>
            <w:shd w:fill="FFFFFF" w:val="clear"/>
            <w:vAlign w:val="center"/>
          </w:tcPr>
          <w:p>
            <w:pPr>
              <w:pStyle w:val="TableContents"/>
              <w:bidi w:val="0"/>
              <w:spacing w:before="0" w:after="283"/>
              <w:jc w:val="left"/>
            </w:pPr>
            <w:r>
              <w:t> </w:t>
            </w:r>
          </w:p>
        </w:tc>
      </w:tr>
      <w:tr>
        <w:tc>
          <w:tcPr>
            <w:tcW w:w="16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Company</w:t>
            </w:r>
          </w:p>
        </w:tc>
        <w:tc>
          <w:tcPr>
            <w:tcW w:w="60" w:type="dxa"/>
            <w:tcBorders/>
            <w:shd w:fill="FFFFFF" w:val="clear"/>
            <w:vAlign w:val="center"/>
          </w:tcPr>
          <w:p>
            <w:pPr>
              <w:pStyle w:val="TableContents"/>
              <w:bidi w:val="0"/>
              <w:spacing w:before="0" w:after="283"/>
              <w:ind w:left="0" w:right="0" w:hanging="0"/>
              <w:jc w:val="left"/>
            </w:pPr>
            <w:r>
              <w:t> </w:t>
            </w:r>
          </w:p>
        </w:tc>
        <w:tc>
          <w:tcPr>
            <w:tcW w:w="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Purchases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payments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PIK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accretion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(reversal)</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7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400" w:type="dxa"/>
            <w:gridSpan w:val="3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67" w:type="dxa"/>
            <w:tcBorders/>
            <w:shd w:fill="FFFFFF" w:val="clear"/>
            <w:vAlign w:val="center"/>
          </w:tcPr>
          <w:p>
            <w:pPr>
              <w:pStyle w:val="TableContents"/>
              <w:bidi w:val="0"/>
              <w:spacing w:before="0" w:after="283"/>
              <w:jc w:val="left"/>
            </w:pPr>
            <w:r>
              <w:t> </w:t>
            </w:r>
          </w:p>
        </w:tc>
      </w:tr>
      <w:tr>
        <w:tc>
          <w:tcPr>
            <w:tcW w:w="16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Better Place Forests Co.</w:t>
            </w:r>
          </w:p>
        </w:tc>
        <w:tc>
          <w:tcPr>
            <w:tcW w:w="60" w:type="dxa"/>
            <w:tcBorders/>
            <w:shd w:fill="CCEEFF" w:val="clear"/>
            <w:vAlign w:val="center"/>
          </w:tcPr>
          <w:p>
            <w:pPr>
              <w:pStyle w:val="TableContents"/>
              <w:bidi w:val="0"/>
              <w:spacing w:before="0" w:after="283"/>
              <w:ind w:left="0" w:right="0" w:hanging="0"/>
              <w:jc w:val="left"/>
            </w:pPr>
            <w: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7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3,376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(4,561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73" w:type="dxa"/>
            <w:tcBorders/>
            <w:shd w:fill="CCEEFF" w:val="clear"/>
            <w:vAlign w:val="center"/>
          </w:tcPr>
          <w:p>
            <w:pPr>
              <w:pStyle w:val="TableContents"/>
              <w:bidi w:val="0"/>
              <w:spacing w:before="0" w:after="283"/>
              <w:ind w:left="0" w:right="0" w:hanging="0"/>
              <w:jc w:val="right"/>
            </w:pPr>
            <w:r>
              <w:t>—</w:t>
            </w:r>
          </w:p>
        </w:tc>
        <w:tc>
          <w:tcPr>
            <w:tcW w:w="67" w:type="dxa"/>
            <w:tcBorders/>
            <w:shd w:fill="CCEEFF" w:val="clear"/>
            <w:vAlign w:val="center"/>
          </w:tcPr>
          <w:p>
            <w:pPr>
              <w:pStyle w:val="TableContents"/>
              <w:bidi w:val="0"/>
              <w:spacing w:before="0" w:after="283"/>
              <w:jc w:val="left"/>
            </w:pPr>
            <w:r>
              <w:t> </w:t>
            </w:r>
          </w:p>
        </w:tc>
      </w:tr>
      <w:tr>
        <w:tc>
          <w:tcPr>
            <w:tcW w:w="16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HIMV LLC</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ind w:left="0" w:right="0" w:hanging="0"/>
              <w:jc w:val="left"/>
            </w:pPr>
            <w: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ind w:left="0" w:right="0" w:hanging="0"/>
              <w:jc w:val="left"/>
            </w:pPr>
            <w: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47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2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5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96" w:type="dxa"/>
            <w:tcBorders/>
            <w:shd w:fill="FFFFFF" w:val="clear"/>
            <w:vAlign w:val="center"/>
          </w:tcPr>
          <w:p>
            <w:pPr>
              <w:pStyle w:val="TableContents"/>
              <w:bidi w:val="0"/>
              <w:spacing w:before="0" w:after="283"/>
              <w:ind w:left="0" w:right="0" w:hanging="0"/>
              <w:jc w:val="left"/>
            </w:pPr>
            <w:r>
              <w:t> </w:t>
            </w:r>
          </w:p>
        </w:tc>
        <w:tc>
          <w:tcPr>
            <w:tcW w:w="46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69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77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7" w:type="dxa"/>
            <w:tcBorders/>
            <w:shd w:fill="FFFFFF" w:val="clear"/>
            <w:vAlign w:val="center"/>
          </w:tcPr>
          <w:p>
            <w:pPr>
              <w:pStyle w:val="TableContents"/>
              <w:bidi w:val="0"/>
              <w:spacing w:before="0" w:after="283"/>
              <w:ind w:left="0" w:right="0" w:hanging="0"/>
              <w:jc w:val="left"/>
            </w:pPr>
            <w:r>
              <w:t> </w:t>
            </w:r>
          </w:p>
        </w:tc>
        <w:tc>
          <w:tcPr>
            <w:tcW w:w="473" w:type="dxa"/>
            <w:tcBorders/>
            <w:shd w:fill="FFFFFF" w:val="clear"/>
            <w:vAlign w:val="center"/>
          </w:tcPr>
          <w:p>
            <w:pPr>
              <w:pStyle w:val="TableContents"/>
              <w:bidi w:val="0"/>
              <w:spacing w:before="0" w:after="283"/>
              <w:ind w:left="0" w:right="0" w:hanging="0"/>
              <w:jc w:val="right"/>
            </w:pPr>
            <w:r>
              <w:t>—</w:t>
            </w:r>
          </w:p>
        </w:tc>
        <w:tc>
          <w:tcPr>
            <w:tcW w:w="67" w:type="dxa"/>
            <w:tcBorders/>
            <w:shd w:fill="FFFFFF" w:val="clear"/>
            <w:vAlign w:val="center"/>
          </w:tcPr>
          <w:p>
            <w:pPr>
              <w:pStyle w:val="TableContents"/>
              <w:bidi w:val="0"/>
              <w:spacing w:before="0" w:after="283"/>
              <w:jc w:val="left"/>
            </w:pPr>
            <w:r>
              <w:t> </w:t>
            </w:r>
          </w:p>
        </w:tc>
      </w:tr>
      <w:tr>
        <w:tc>
          <w:tcPr>
            <w:tcW w:w="16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Nexii, Inc.</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9" w:type="dxa"/>
            <w:tcBorders/>
            <w:shd w:fill="CCEEFF" w:val="clear"/>
            <w:vAlign w:val="center"/>
          </w:tcPr>
          <w:p>
            <w:pPr>
              <w:pStyle w:val="TableContents"/>
              <w:bidi w:val="0"/>
              <w:spacing w:before="0" w:after="283"/>
              <w:ind w:left="0" w:right="0" w:hanging="0"/>
              <w:jc w:val="left"/>
            </w:pPr>
            <w: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47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2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ind w:left="0" w:right="0" w:hanging="0"/>
              <w:jc w:val="left"/>
            </w:pPr>
            <w:r>
              <w:t> </w:t>
            </w:r>
          </w:p>
        </w:tc>
        <w:tc>
          <w:tcPr>
            <w:tcW w:w="58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ind w:left="0" w:right="0" w:hanging="0"/>
              <w:jc w:val="left"/>
            </w:pPr>
            <w:r>
              <w:t> </w:t>
            </w:r>
          </w:p>
        </w:tc>
        <w:tc>
          <w:tcPr>
            <w:tcW w:w="46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ind w:left="0" w:right="0" w:hanging="0"/>
              <w:jc w:val="left"/>
            </w:pPr>
            <w:r>
              <w:t> </w:t>
            </w:r>
          </w:p>
        </w:tc>
        <w:tc>
          <w:tcPr>
            <w:tcW w:w="69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ind w:left="0" w:right="0" w:hanging="0"/>
              <w:jc w:val="left"/>
            </w:pPr>
            <w:r>
              <w:t> </w:t>
            </w:r>
          </w:p>
        </w:tc>
        <w:tc>
          <w:tcPr>
            <w:tcW w:w="47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7" w:type="dxa"/>
            <w:tcBorders/>
            <w:shd w:fill="CCEEFF" w:val="clear"/>
            <w:vAlign w:val="center"/>
          </w:tcPr>
          <w:p>
            <w:pPr>
              <w:pStyle w:val="TableContents"/>
              <w:bidi w:val="0"/>
              <w:spacing w:before="0" w:after="283"/>
              <w:jc w:val="left"/>
            </w:pPr>
            <w:r>
              <w:t> </w:t>
            </w:r>
          </w:p>
        </w:tc>
      </w:tr>
      <w:tr>
        <w:tc>
          <w:tcPr>
            <w:tcW w:w="16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Swift Health Systems, Inc.</w:t>
            </w:r>
          </w:p>
        </w:tc>
        <w:tc>
          <w:tcPr>
            <w:tcW w:w="60" w:type="dxa"/>
            <w:tcBorders/>
            <w:shd w:fill="FFFFFF" w:val="clear"/>
            <w:vAlign w:val="center"/>
          </w:tcPr>
          <w:p>
            <w:pPr>
              <w:pStyle w:val="TableContents"/>
              <w:bidi w:val="0"/>
              <w:spacing w:before="0" w:after="283"/>
              <w:jc w:val="left"/>
            </w:pPr>
            <w: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controlled affiliates</w:t>
            </w:r>
          </w:p>
        </w:tc>
        <w:tc>
          <w:tcPr>
            <w:tcW w:w="60" w:type="dxa"/>
            <w:tcBorders/>
            <w:shd w:fill="CCEEFF" w:val="clear"/>
            <w:vAlign w:val="center"/>
          </w:tcPr>
          <w:p>
            <w:pPr>
              <w:pStyle w:val="TableContents"/>
              <w:bidi w:val="0"/>
              <w:spacing w:before="0" w:after="283"/>
              <w:ind w:left="0" w:right="0" w:hanging="0"/>
              <w:jc w:val="left"/>
            </w:pPr>
            <w: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3,910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13,046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Times;serif" w:hAnsi="Times New Roman;Times;serif"/>
          <w:sz w:val="20"/>
        </w:rPr>
        <w:t>Transactions related to investments in controlled affiliated companies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w:t>
      </w:r>
    </w:p>
    <w:p>
      <w:pPr>
        <w:pStyle w:val="TextBody"/>
        <w:bidi w:val="0"/>
        <w:spacing w:before="0" w:after="0"/>
        <w:ind w:left="0" w:right="0" w:firstLine="360"/>
        <w:jc w:val="both"/>
      </w:pPr>
      <w:r>
        <w:t> </w:t>
      </w:r>
    </w:p>
    <w:tbl>
      <w:tblPr>
        <w:tblW w:w="10205" w:type="dxa"/>
        <w:jc w:val="left"/>
        <w:tblInd w:w="0" w:type="dxa"/>
        <w:tblLayout w:type="fixed"/>
        <w:tblCellMar>
          <w:top w:w="0" w:type="dxa"/>
          <w:left w:w="0" w:type="dxa"/>
          <w:bottom w:w="0" w:type="dxa"/>
          <w:right w:w="0" w:type="dxa"/>
        </w:tblCellMar>
      </w:tblPr>
      <w:tblGrid>
        <w:gridCol w:w="1618"/>
        <w:gridCol w:w="60"/>
        <w:gridCol w:w="280"/>
        <w:gridCol w:w="547"/>
        <w:gridCol w:w="60"/>
        <w:gridCol w:w="60"/>
        <w:gridCol w:w="149"/>
        <w:gridCol w:w="576"/>
        <w:gridCol w:w="60"/>
        <w:gridCol w:w="60"/>
        <w:gridCol w:w="269"/>
        <w:gridCol w:w="636"/>
        <w:gridCol w:w="62"/>
        <w:gridCol w:w="62"/>
        <w:gridCol w:w="208"/>
        <w:gridCol w:w="494"/>
        <w:gridCol w:w="62"/>
        <w:gridCol w:w="62"/>
        <w:gridCol w:w="169"/>
        <w:gridCol w:w="541"/>
        <w:gridCol w:w="83"/>
        <w:gridCol w:w="62"/>
        <w:gridCol w:w="181"/>
        <w:gridCol w:w="581"/>
        <w:gridCol w:w="83"/>
        <w:gridCol w:w="62"/>
        <w:gridCol w:w="198"/>
        <w:gridCol w:w="470"/>
        <w:gridCol w:w="60"/>
        <w:gridCol w:w="60"/>
        <w:gridCol w:w="197"/>
        <w:gridCol w:w="660"/>
        <w:gridCol w:w="60"/>
        <w:gridCol w:w="60"/>
        <w:gridCol w:w="202"/>
        <w:gridCol w:w="651"/>
        <w:gridCol w:w="80"/>
        <w:gridCol w:w="60"/>
        <w:gridCol w:w="60"/>
        <w:gridCol w:w="230"/>
        <w:gridCol w:w="70"/>
      </w:tblGrid>
      <w:tr>
        <w:tc>
          <w:tcPr>
            <w:tcW w:w="161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80" w:type="dxa"/>
            <w:tcBorders/>
            <w:vAlign w:val="center"/>
          </w:tcPr>
          <w:p>
            <w:pPr>
              <w:pStyle w:val="TableContents"/>
              <w:bidi w:val="0"/>
              <w:spacing w:before="0" w:after="283"/>
              <w:jc w:val="left"/>
            </w:pPr>
            <w:r>
              <w:t> </w:t>
            </w:r>
          </w:p>
        </w:tc>
        <w:tc>
          <w:tcPr>
            <w:tcW w:w="547"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4285"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Nine months ended September 30, 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660"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651"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center"/>
            </w:pPr>
            <w:r>
              <w:t> </w:t>
            </w:r>
          </w:p>
        </w:tc>
        <w:tc>
          <w:tcPr>
            <w:tcW w:w="70" w:type="dxa"/>
            <w:tcBorders/>
            <w:vAlign w:val="center"/>
          </w:tcPr>
          <w:p>
            <w:pPr>
              <w:pStyle w:val="TableContents"/>
              <w:bidi w:val="0"/>
              <w:spacing w:before="0" w:after="283"/>
              <w:jc w:val="left"/>
            </w:pPr>
            <w:r>
              <w:t> </w:t>
            </w:r>
          </w:p>
        </w:tc>
      </w:tr>
      <w:tr>
        <w:tc>
          <w:tcPr>
            <w:tcW w:w="161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80" w:type="dxa"/>
            <w:tcBorders/>
            <w:vAlign w:val="center"/>
          </w:tcPr>
          <w:p>
            <w:pPr>
              <w:pStyle w:val="TableContents"/>
              <w:bidi w:val="0"/>
              <w:spacing w:before="0" w:after="283"/>
              <w:jc w:val="left"/>
            </w:pPr>
            <w:r>
              <w:t> </w:t>
            </w:r>
          </w:p>
        </w:tc>
        <w:tc>
          <w:tcPr>
            <w:tcW w:w="547"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69"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208" w:type="dxa"/>
            <w:tcBorders/>
            <w:vAlign w:val="center"/>
          </w:tcPr>
          <w:p>
            <w:pPr>
              <w:pStyle w:val="TableContents"/>
              <w:bidi w:val="0"/>
              <w:spacing w:before="0" w:after="283"/>
              <w:jc w:val="left"/>
            </w:pPr>
            <w:r>
              <w:t> </w:t>
            </w:r>
          </w:p>
        </w:tc>
        <w:tc>
          <w:tcPr>
            <w:tcW w:w="494"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169" w:type="dxa"/>
            <w:tcBorders/>
            <w:vAlign w:val="center"/>
          </w:tcPr>
          <w:p>
            <w:pPr>
              <w:pStyle w:val="TableContents"/>
              <w:bidi w:val="0"/>
              <w:spacing w:before="0" w:after="283"/>
              <w:jc w:val="left"/>
            </w:pPr>
            <w:r>
              <w:t> </w:t>
            </w:r>
          </w:p>
        </w:tc>
        <w:tc>
          <w:tcPr>
            <w:tcW w:w="541" w:type="dxa"/>
            <w:tcBorders/>
            <w:vAlign w:val="center"/>
          </w:tcPr>
          <w:p>
            <w:pPr>
              <w:pStyle w:val="TableContents"/>
              <w:bidi w:val="0"/>
              <w:spacing w:before="0" w:after="283"/>
              <w:jc w:val="left"/>
            </w:pPr>
            <w:r>
              <w:t> </w:t>
            </w:r>
          </w:p>
        </w:tc>
        <w:tc>
          <w:tcPr>
            <w:tcW w:w="83"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181" w:type="dxa"/>
            <w:tcBorders/>
            <w:vAlign w:val="center"/>
          </w:tcPr>
          <w:p>
            <w:pPr>
              <w:pStyle w:val="TableContents"/>
              <w:bidi w:val="0"/>
              <w:spacing w:before="0" w:after="283"/>
              <w:jc w:val="left"/>
            </w:pPr>
            <w:r>
              <w:t> </w:t>
            </w:r>
          </w:p>
        </w:tc>
        <w:tc>
          <w:tcPr>
            <w:tcW w:w="581" w:type="dxa"/>
            <w:tcBorders/>
            <w:vAlign w:val="center"/>
          </w:tcPr>
          <w:p>
            <w:pPr>
              <w:pStyle w:val="TableContents"/>
              <w:bidi w:val="0"/>
              <w:spacing w:before="0" w:after="283"/>
              <w:jc w:val="left"/>
            </w:pPr>
            <w:r>
              <w:t> </w:t>
            </w:r>
          </w:p>
        </w:tc>
        <w:tc>
          <w:tcPr>
            <w:tcW w:w="83"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198" w:type="dxa"/>
            <w:tcBorders/>
            <w:vAlign w:val="center"/>
          </w:tcPr>
          <w:p>
            <w:pPr>
              <w:pStyle w:val="TableContents"/>
              <w:bidi w:val="0"/>
              <w:spacing w:before="0" w:after="283"/>
              <w:jc w:val="left"/>
            </w:pPr>
            <w:r>
              <w:t> </w:t>
            </w:r>
          </w:p>
        </w:tc>
        <w:tc>
          <w:tcPr>
            <w:tcW w:w="4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6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651"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c>
          <w:tcPr>
            <w:tcW w:w="70" w:type="dxa"/>
            <w:tcBorders/>
            <w:vAlign w:val="center"/>
          </w:tcPr>
          <w:p>
            <w:pPr>
              <w:pStyle w:val="TableContents"/>
              <w:bidi w:val="0"/>
              <w:spacing w:before="0" w:after="283"/>
              <w:jc w:val="left"/>
            </w:pPr>
            <w:r>
              <w:t> </w:t>
            </w:r>
          </w:p>
        </w:tc>
      </w:tr>
      <w:tr>
        <w:tc>
          <w:tcPr>
            <w:tcW w:w="161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7"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69"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center"/>
            </w:pPr>
            <w:r>
              <w:rPr>
                <w:rStyle w:val="Emphasis"/>
              </w:rPr>
              <w:t> </w:t>
            </w:r>
          </w:p>
        </w:tc>
        <w:tc>
          <w:tcPr>
            <w:tcW w:w="6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702"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Transfers</w:t>
            </w:r>
          </w:p>
        </w:tc>
        <w:tc>
          <w:tcPr>
            <w:tcW w:w="6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169" w:type="dxa"/>
            <w:tcBorders/>
            <w:vAlign w:val="center"/>
          </w:tcPr>
          <w:p>
            <w:pPr>
              <w:pStyle w:val="TableContents"/>
              <w:bidi w:val="0"/>
              <w:spacing w:before="0" w:after="283"/>
              <w:jc w:val="left"/>
            </w:pPr>
            <w:r>
              <w:t> </w:t>
            </w:r>
          </w:p>
        </w:tc>
        <w:tc>
          <w:tcPr>
            <w:tcW w:w="541" w:type="dxa"/>
            <w:tcBorders/>
            <w:vAlign w:val="center"/>
          </w:tcPr>
          <w:p>
            <w:pPr>
              <w:pStyle w:val="TableContents"/>
              <w:bidi w:val="0"/>
              <w:spacing w:before="0" w:after="283"/>
              <w:jc w:val="center"/>
            </w:pPr>
            <w:r>
              <w:rPr>
                <w:rStyle w:val="Emphasis"/>
              </w:rPr>
              <w:t> </w:t>
            </w:r>
          </w:p>
        </w:tc>
        <w:tc>
          <w:tcPr>
            <w:tcW w:w="83"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762"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w:t>
            </w:r>
          </w:p>
        </w:tc>
        <w:tc>
          <w:tcPr>
            <w:tcW w:w="83"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jc w:val="left"/>
            </w:pPr>
            <w:r>
              <w:t> </w:t>
            </w:r>
          </w:p>
        </w:tc>
        <w:tc>
          <w:tcPr>
            <w:tcW w:w="198" w:type="dxa"/>
            <w:tcBorders/>
            <w:vAlign w:val="center"/>
          </w:tcPr>
          <w:p>
            <w:pPr>
              <w:pStyle w:val="TableContents"/>
              <w:bidi w:val="0"/>
              <w:spacing w:before="0" w:after="283"/>
              <w:jc w:val="left"/>
            </w:pPr>
            <w:r>
              <w:t> </w:t>
            </w:r>
          </w:p>
        </w:tc>
        <w:tc>
          <w:tcPr>
            <w:tcW w:w="470"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57"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651" w:type="dxa"/>
            <w:tcBorders/>
            <w:vAlign w:val="center"/>
          </w:tcPr>
          <w:p>
            <w:pPr>
              <w:pStyle w:val="TableContents"/>
              <w:bidi w:val="0"/>
              <w:spacing w:before="0" w:after="283"/>
              <w:jc w:val="center"/>
            </w:pPr>
            <w:r>
              <w:rPr>
                <w:rStyle w:val="Emphasis"/>
              </w:rP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center"/>
            </w:pPr>
            <w:r>
              <w:rPr>
                <w:rStyle w:val="Emphasis"/>
              </w:rPr>
              <w:t> </w:t>
            </w:r>
          </w:p>
        </w:tc>
        <w:tc>
          <w:tcPr>
            <w:tcW w:w="70" w:type="dxa"/>
            <w:tcBorders/>
            <w:vAlign w:val="center"/>
          </w:tcPr>
          <w:p>
            <w:pPr>
              <w:pStyle w:val="TableContents"/>
              <w:bidi w:val="0"/>
              <w:spacing w:before="0" w:after="283"/>
              <w:jc w:val="left"/>
            </w:pPr>
            <w:r>
              <w:t> </w:t>
            </w:r>
          </w:p>
        </w:tc>
      </w:tr>
      <w:tr>
        <w:tc>
          <w:tcPr>
            <w:tcW w:w="1618"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Portfolio </w:t>
            </w:r>
          </w:p>
        </w:tc>
        <w:tc>
          <w:tcPr>
            <w:tcW w:w="60" w:type="dxa"/>
            <w:tcBorders/>
            <w:vAlign w:val="center"/>
          </w:tcPr>
          <w:p>
            <w:pPr>
              <w:pStyle w:val="TableContents"/>
              <w:bidi w:val="0"/>
              <w:spacing w:before="0" w:after="283"/>
              <w:ind w:left="0" w:right="0" w:hanging="0"/>
              <w:jc w:val="left"/>
            </w:pPr>
            <w:r>
              <w:t> </w:t>
            </w:r>
          </w:p>
        </w:tc>
        <w:tc>
          <w:tcPr>
            <w:tcW w:w="827"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December 31,</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69"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center"/>
            </w:pPr>
            <w:r>
              <w:rPr>
                <w:rStyle w:val="Emphasis"/>
              </w:rPr>
              <w:t> </w:t>
            </w:r>
          </w:p>
        </w:tc>
        <w:tc>
          <w:tcPr>
            <w:tcW w:w="6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702"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in/(out) at</w:t>
            </w:r>
          </w:p>
        </w:tc>
        <w:tc>
          <w:tcPr>
            <w:tcW w:w="6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71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Dividends</w:t>
            </w:r>
          </w:p>
        </w:tc>
        <w:tc>
          <w:tcPr>
            <w:tcW w:w="83"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762"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unrealized</w:t>
            </w:r>
          </w:p>
        </w:tc>
        <w:tc>
          <w:tcPr>
            <w:tcW w:w="83"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668"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 realized</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57"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53"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Interest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center"/>
            </w:pPr>
            <w:r>
              <w:rPr>
                <w:rStyle w:val="Emphasis"/>
              </w:rPr>
              <w:t> </w:t>
            </w:r>
          </w:p>
        </w:tc>
        <w:tc>
          <w:tcPr>
            <w:tcW w:w="70" w:type="dxa"/>
            <w:tcBorders/>
            <w:vAlign w:val="center"/>
          </w:tcPr>
          <w:p>
            <w:pPr>
              <w:pStyle w:val="TableContents"/>
              <w:bidi w:val="0"/>
              <w:spacing w:before="0" w:after="283"/>
              <w:jc w:val="left"/>
            </w:pPr>
            <w:r>
              <w:t> </w:t>
            </w:r>
          </w:p>
        </w:tc>
      </w:tr>
      <w:tr>
        <w:tc>
          <w:tcPr>
            <w:tcW w:w="16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Company</w:t>
            </w:r>
          </w:p>
        </w:tc>
        <w:tc>
          <w:tcPr>
            <w:tcW w:w="60" w:type="dxa"/>
            <w:tcBorders/>
            <w:vAlign w:val="center"/>
          </w:tcPr>
          <w:p>
            <w:pPr>
              <w:pStyle w:val="TableContents"/>
              <w:bidi w:val="0"/>
              <w:spacing w:before="0" w:after="283"/>
              <w:ind w:left="0" w:right="0" w:hanging="0"/>
              <w:jc w:val="left"/>
            </w:pPr>
            <w: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2025</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Purchases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Distributions</w:t>
            </w:r>
          </w:p>
        </w:tc>
        <w:tc>
          <w:tcPr>
            <w:tcW w:w="62" w:type="dxa"/>
            <w:tcBorders>
              <w:bottom w:val="single" w:sz="2" w:space="0" w:color="000000"/>
            </w:tcBorders>
            <w:tcMar>
              <w:bottom w:w="28" w:type="dxa"/>
            </w:tcMar>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702"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fair value </w:t>
            </w:r>
          </w:p>
        </w:tc>
        <w:tc>
          <w:tcPr>
            <w:tcW w:w="62" w:type="dxa"/>
            <w:tcBorders>
              <w:bottom w:val="single" w:sz="2" w:space="0" w:color="000000"/>
            </w:tcBorders>
            <w:tcMar>
              <w:bottom w:w="28" w:type="dxa"/>
            </w:tcMar>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declared </w:t>
            </w:r>
          </w:p>
        </w:tc>
        <w:tc>
          <w:tcPr>
            <w:tcW w:w="83" w:type="dxa"/>
            <w:tcBorders>
              <w:bottom w:val="single" w:sz="2" w:space="0" w:color="000000"/>
            </w:tcBorders>
            <w:tcMar>
              <w:bottom w:w="28" w:type="dxa"/>
            </w:tcMar>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762"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gain/(loss) </w:t>
            </w:r>
          </w:p>
        </w:tc>
        <w:tc>
          <w:tcPr>
            <w:tcW w:w="83" w:type="dxa"/>
            <w:tcBorders>
              <w:bottom w:val="single" w:sz="2" w:space="0" w:color="000000"/>
            </w:tcBorders>
            <w:tcMar>
              <w:bottom w:w="28" w:type="dxa"/>
            </w:tcMar>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668"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 (reversal)</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230" w:type="dxa"/>
            <w:tcBorders>
              <w:bottom w:val="single" w:sz="2" w:space="0" w:color="000000"/>
            </w:tcBorders>
            <w:tcMar>
              <w:bottom w:w="28" w:type="dxa"/>
            </w:tcMar>
            <w:vAlign w:val="center"/>
          </w:tcPr>
          <w:p>
            <w:pPr>
              <w:pStyle w:val="TableContents"/>
              <w:bidi w:val="0"/>
              <w:spacing w:before="0" w:after="283"/>
              <w:jc w:val="center"/>
            </w:pPr>
            <w:r>
              <w:rPr>
                <w:rStyle w:val="Emphasis"/>
              </w:rPr>
              <w:t> </w:t>
            </w:r>
          </w:p>
        </w:tc>
        <w:tc>
          <w:tcPr>
            <w:tcW w:w="70" w:type="dxa"/>
            <w:tcBorders>
              <w:bottom w:val="single" w:sz="2" w:space="0" w:color="000000"/>
            </w:tcBorders>
            <w:tcMar>
              <w:bottom w:w="28" w:type="dxa"/>
            </w:tcMar>
            <w:vAlign w:val="center"/>
          </w:tcPr>
          <w:p>
            <w:pPr>
              <w:pStyle w:val="TableContents"/>
              <w:bidi w:val="0"/>
              <w:spacing w:before="0" w:after="283"/>
              <w:jc w:val="left"/>
            </w:pPr>
            <w:r>
              <w:t> </w:t>
            </w:r>
          </w:p>
        </w:tc>
      </w:tr>
      <w:tr>
        <w:tc>
          <w:tcPr>
            <w:tcW w:w="161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027" w:type="dxa"/>
            <w:gridSpan w:val="3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center"/>
            </w:pPr>
            <w:r>
              <w:t> </w:t>
            </w:r>
          </w:p>
        </w:tc>
        <w:tc>
          <w:tcPr>
            <w:tcW w:w="70" w:type="dxa"/>
            <w:tcBorders/>
            <w:vAlign w:val="center"/>
          </w:tcPr>
          <w:p>
            <w:pPr>
              <w:pStyle w:val="TableContents"/>
              <w:bidi w:val="0"/>
              <w:spacing w:before="0" w:after="283"/>
              <w:jc w:val="left"/>
            </w:pPr>
            <w:r>
              <w:t> </w:t>
            </w:r>
          </w:p>
        </w:tc>
      </w:tr>
      <w:tr>
        <w:tc>
          <w:tcPr>
            <w:tcW w:w="1618"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RoHo Capital Opportunity Fund LLC(1)</w:t>
            </w:r>
          </w:p>
        </w:tc>
        <w:tc>
          <w:tcPr>
            <w:tcW w:w="60" w:type="dxa"/>
            <w:tcBorders/>
            <w:shd w:fill="CCEEFF" w:val="clear"/>
            <w:vAlign w:val="center"/>
          </w:tcPr>
          <w:p>
            <w:pPr>
              <w:pStyle w:val="TableContents"/>
              <w:bidi w:val="0"/>
              <w:spacing w:before="0" w:after="283"/>
              <w:ind w:left="0" w:right="0" w:hanging="0"/>
              <w:jc w:val="left"/>
            </w:pPr>
            <w: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9"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36" w:type="dxa"/>
            <w:tcBorders>
              <w:bottom w:val="single" w:sz="2" w:space="0" w:color="000000"/>
            </w:tcBorders>
            <w:shd w:fill="CCEEFF" w:val="clear"/>
            <w:tcMar>
              <w:bottom w:w="28" w:type="dxa"/>
            </w:tcMar>
            <w:vAlign w:val="center"/>
          </w:tcPr>
          <w:p>
            <w:pPr>
              <w:pStyle w:val="TableContents"/>
              <w:bidi w:val="0"/>
              <w:spacing w:before="0" w:after="283"/>
              <w:jc w:val="left"/>
            </w:pPr>
            <w:r>
              <w:rPr>
                <w:rStyle w:val="Emphasis"/>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ind w:left="0" w:right="0" w:hanging="0"/>
              <w:jc w:val="left"/>
            </w:pPr>
            <w: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470" w:type="dxa"/>
            <w:tcBorders>
              <w:bottom w:val="single" w:sz="2" w:space="0" w:color="000000"/>
            </w:tcBorders>
            <w:shd w:fill="CCEEFF" w:val="clear"/>
            <w:tcMar>
              <w:bottom w:w="28" w:type="dxa"/>
            </w:tcMar>
            <w:vAlign w:val="center"/>
          </w:tcPr>
          <w:p>
            <w:pPr>
              <w:pStyle w:val="TableContents"/>
              <w:bidi w:val="0"/>
              <w:spacing w:before="0" w:after="283"/>
              <w:jc w:val="right"/>
            </w:pPr>
            <w:r>
              <w:rPr>
                <w:rStyle w:val="Emphasis"/>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rPr>
                <w:rStyle w:val="Emphasis"/>
              </w:rPr>
              <w:t>—</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6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controlled affiliates</w:t>
            </w:r>
          </w:p>
        </w:tc>
        <w:tc>
          <w:tcPr>
            <w:tcW w:w="60" w:type="dxa"/>
            <w:tcBorders/>
            <w:shd w:fill="FFFFFF" w:val="clear"/>
            <w:vAlign w:val="center"/>
          </w:tcPr>
          <w:p>
            <w:pPr>
              <w:pStyle w:val="TableContents"/>
              <w:bidi w:val="0"/>
              <w:spacing w:before="0" w:after="283"/>
              <w:ind w:left="0" w:right="0" w:hanging="0"/>
              <w:jc w:val="left"/>
            </w:pPr>
            <w: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8,510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ind w:left="0" w:right="0" w:hanging="0"/>
              <w:jc w:val="left"/>
            </w:pPr>
            <w: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7,765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right"/>
            </w:pPr>
            <w:r>
              <w:rPr>
                <w:rStyle w:val="Emphasis"/>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both"/>
      </w:pPr>
      <w:r>
        <w:t> </w:t>
      </w:r>
    </w:p>
    <w:tbl>
      <w:tblPr>
        <w:tblW w:w="10205" w:type="dxa"/>
        <w:jc w:val="left"/>
        <w:tblInd w:w="0" w:type="dxa"/>
        <w:tblLayout w:type="fixed"/>
        <w:tblCellMar>
          <w:top w:w="0" w:type="dxa"/>
          <w:left w:w="0" w:type="dxa"/>
          <w:bottom w:w="0" w:type="dxa"/>
          <w:right w:w="0" w:type="dxa"/>
        </w:tblCellMar>
      </w:tblPr>
      <w:tblGrid>
        <w:gridCol w:w="134"/>
        <w:gridCol w:w="10071"/>
      </w:tblGrid>
      <w:tr>
        <w:tc>
          <w:tcPr>
            <w:tcW w:w="134" w:type="dxa"/>
            <w:tcBorders/>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71"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20"/>
              </w:rPr>
              <w:t xml:space="preserve">The Company and CRFH are the members of the RoHo Joint Venture, a joint venture formed as a Delaware limited liability company that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consolidated by either member for financial reporting purposes. The members make investments in the RoHo Joint Venture in the form of capital contributions as the RoHo Joint Venture makes investments or incurs expenses, and all portfolio and other material decisions regarding the RoHo Joint Venture must be submitted to the RoHo Joint Venture’s board of directors, which has an equal number of directors appointed by each of the Company and CRFH. Accordingly,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sole control over the RoHo Joint Venture. </w:t>
            </w:r>
          </w:p>
        </w:tc>
      </w:tr>
    </w:tbl>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Times;serif" w:hAnsi="Times New Roman;Times;serif"/>
          <w:sz w:val="20"/>
        </w:rPr>
        <w:t xml:space="preserve">Transactions related to investments in controlled affiliated companies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were as follows: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635"/>
        <w:gridCol w:w="60"/>
        <w:gridCol w:w="171"/>
        <w:gridCol w:w="773"/>
        <w:gridCol w:w="60"/>
        <w:gridCol w:w="60"/>
        <w:gridCol w:w="149"/>
        <w:gridCol w:w="576"/>
        <w:gridCol w:w="60"/>
        <w:gridCol w:w="60"/>
        <w:gridCol w:w="201"/>
        <w:gridCol w:w="479"/>
        <w:gridCol w:w="60"/>
        <w:gridCol w:w="60"/>
        <w:gridCol w:w="110"/>
        <w:gridCol w:w="290"/>
        <w:gridCol w:w="60"/>
        <w:gridCol w:w="60"/>
        <w:gridCol w:w="133"/>
        <w:gridCol w:w="595"/>
        <w:gridCol w:w="80"/>
        <w:gridCol w:w="60"/>
        <w:gridCol w:w="206"/>
        <w:gridCol w:w="494"/>
        <w:gridCol w:w="60"/>
        <w:gridCol w:w="60"/>
        <w:gridCol w:w="125"/>
        <w:gridCol w:w="663"/>
        <w:gridCol w:w="80"/>
        <w:gridCol w:w="60"/>
        <w:gridCol w:w="130"/>
        <w:gridCol w:w="684"/>
        <w:gridCol w:w="80"/>
        <w:gridCol w:w="60"/>
        <w:gridCol w:w="206"/>
        <w:gridCol w:w="769"/>
        <w:gridCol w:w="60"/>
        <w:gridCol w:w="60"/>
        <w:gridCol w:w="157"/>
        <w:gridCol w:w="373"/>
        <w:gridCol w:w="86"/>
      </w:tblGrid>
      <w:tr>
        <w:tc>
          <w:tcPr>
            <w:tcW w:w="163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79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Nine months ended September 30, 2025</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0" w:type="dxa"/>
            <w:tcBorders/>
            <w:vAlign w:val="center"/>
          </w:tcPr>
          <w:p>
            <w:pPr>
              <w:pStyle w:val="TableContents"/>
              <w:bidi w:val="0"/>
              <w:spacing w:before="0" w:after="283"/>
              <w:jc w:val="left"/>
            </w:pPr>
            <w:r>
              <w:t> </w:t>
            </w:r>
          </w:p>
        </w:tc>
        <w:tc>
          <w:tcPr>
            <w:tcW w:w="684"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6" w:type="dxa"/>
            <w:tcBorders/>
            <w:vAlign w:val="center"/>
          </w:tcPr>
          <w:p>
            <w:pPr>
              <w:pStyle w:val="TableContents"/>
              <w:bidi w:val="0"/>
              <w:spacing w:before="0" w:after="283"/>
              <w:jc w:val="left"/>
            </w:pPr>
            <w:r>
              <w:t> </w:t>
            </w:r>
          </w:p>
        </w:tc>
        <w:tc>
          <w:tcPr>
            <w:tcW w:w="769"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7" w:type="dxa"/>
            <w:tcBorders/>
            <w:vAlign w:val="center"/>
          </w:tcPr>
          <w:p>
            <w:pPr>
              <w:pStyle w:val="TableContents"/>
              <w:bidi w:val="0"/>
              <w:spacing w:before="0" w:after="283"/>
              <w:jc w:val="left"/>
            </w:pPr>
            <w:r>
              <w:t> </w:t>
            </w:r>
          </w:p>
        </w:tc>
        <w:tc>
          <w:tcPr>
            <w:tcW w:w="373" w:type="dxa"/>
            <w:tcBorders/>
            <w:vAlign w:val="center"/>
          </w:tcPr>
          <w:p>
            <w:pPr>
              <w:pStyle w:val="TableContents"/>
              <w:bidi w:val="0"/>
              <w:spacing w:before="0" w:after="283"/>
              <w:jc w:val="center"/>
            </w:pPr>
            <w:r>
              <w:t> </w:t>
            </w:r>
          </w:p>
        </w:tc>
        <w:tc>
          <w:tcPr>
            <w:tcW w:w="86" w:type="dxa"/>
            <w:tcBorders/>
            <w:vAlign w:val="center"/>
          </w:tcPr>
          <w:p>
            <w:pPr>
              <w:pStyle w:val="TableContents"/>
              <w:bidi w:val="0"/>
              <w:spacing w:before="0" w:after="283"/>
              <w:jc w:val="left"/>
            </w:pPr>
            <w:r>
              <w:t> </w:t>
            </w:r>
          </w:p>
        </w:tc>
      </w:tr>
      <w:tr>
        <w:tc>
          <w:tcPr>
            <w:tcW w:w="163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1" w:type="dxa"/>
            <w:tcBorders/>
            <w:vAlign w:val="center"/>
          </w:tcPr>
          <w:p>
            <w:pPr>
              <w:pStyle w:val="TableContents"/>
              <w:bidi w:val="0"/>
              <w:spacing w:before="0" w:after="283"/>
              <w:jc w:val="left"/>
            </w:pPr>
            <w:r>
              <w:t> </w:t>
            </w:r>
          </w:p>
        </w:tc>
        <w:tc>
          <w:tcPr>
            <w:tcW w:w="479"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3" w:type="dxa"/>
            <w:tcBorders/>
            <w:vAlign w:val="center"/>
          </w:tcPr>
          <w:p>
            <w:pPr>
              <w:pStyle w:val="TableContents"/>
              <w:bidi w:val="0"/>
              <w:spacing w:before="0" w:after="283"/>
              <w:jc w:val="left"/>
            </w:pPr>
            <w:r>
              <w:t> </w:t>
            </w:r>
          </w:p>
        </w:tc>
        <w:tc>
          <w:tcPr>
            <w:tcW w:w="595"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6" w:type="dxa"/>
            <w:tcBorders/>
            <w:vAlign w:val="center"/>
          </w:tcPr>
          <w:p>
            <w:pPr>
              <w:pStyle w:val="TableContents"/>
              <w:bidi w:val="0"/>
              <w:spacing w:before="0" w:after="283"/>
              <w:jc w:val="left"/>
            </w:pPr>
            <w:r>
              <w:t> </w:t>
            </w:r>
          </w:p>
        </w:tc>
        <w:tc>
          <w:tcPr>
            <w:tcW w:w="494"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663"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0" w:type="dxa"/>
            <w:tcBorders/>
            <w:vAlign w:val="center"/>
          </w:tcPr>
          <w:p>
            <w:pPr>
              <w:pStyle w:val="TableContents"/>
              <w:bidi w:val="0"/>
              <w:spacing w:before="0" w:after="283"/>
              <w:jc w:val="left"/>
            </w:pPr>
            <w:r>
              <w:t> </w:t>
            </w:r>
          </w:p>
        </w:tc>
        <w:tc>
          <w:tcPr>
            <w:tcW w:w="684"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6" w:type="dxa"/>
            <w:tcBorders/>
            <w:vAlign w:val="center"/>
          </w:tcPr>
          <w:p>
            <w:pPr>
              <w:pStyle w:val="TableContents"/>
              <w:bidi w:val="0"/>
              <w:spacing w:before="0" w:after="283"/>
              <w:jc w:val="left"/>
            </w:pPr>
            <w:r>
              <w:t> </w:t>
            </w:r>
          </w:p>
        </w:tc>
        <w:tc>
          <w:tcPr>
            <w:tcW w:w="769"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7" w:type="dxa"/>
            <w:tcBorders/>
            <w:vAlign w:val="center"/>
          </w:tcPr>
          <w:p>
            <w:pPr>
              <w:pStyle w:val="TableContents"/>
              <w:bidi w:val="0"/>
              <w:spacing w:before="0" w:after="283"/>
              <w:jc w:val="left"/>
            </w:pPr>
            <w:r>
              <w:t> </w:t>
            </w:r>
          </w:p>
        </w:tc>
        <w:tc>
          <w:tcPr>
            <w:tcW w:w="373" w:type="dxa"/>
            <w:tcBorders/>
            <w:vAlign w:val="center"/>
          </w:tcPr>
          <w:p>
            <w:pPr>
              <w:pStyle w:val="TableContents"/>
              <w:bidi w:val="0"/>
              <w:spacing w:before="0" w:after="283"/>
              <w:jc w:val="left"/>
            </w:pPr>
            <w:r>
              <w:t> </w:t>
            </w:r>
          </w:p>
        </w:tc>
        <w:tc>
          <w:tcPr>
            <w:tcW w:w="86" w:type="dxa"/>
            <w:tcBorders/>
            <w:vAlign w:val="center"/>
          </w:tcPr>
          <w:p>
            <w:pPr>
              <w:pStyle w:val="TableContents"/>
              <w:bidi w:val="0"/>
              <w:spacing w:before="0" w:after="283"/>
              <w:jc w:val="left"/>
            </w:pPr>
            <w:r>
              <w:t> </w:t>
            </w:r>
          </w:p>
        </w:tc>
      </w:tr>
      <w:tr>
        <w:tc>
          <w:tcPr>
            <w:tcW w:w="163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4"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1" w:type="dxa"/>
            <w:tcBorders/>
            <w:vAlign w:val="center"/>
          </w:tcPr>
          <w:p>
            <w:pPr>
              <w:pStyle w:val="TableContents"/>
              <w:bidi w:val="0"/>
              <w:spacing w:before="0" w:after="283"/>
              <w:jc w:val="left"/>
            </w:pPr>
            <w:r>
              <w:t> </w:t>
            </w:r>
          </w:p>
        </w:tc>
        <w:tc>
          <w:tcPr>
            <w:tcW w:w="479"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8"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Transfers</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06" w:type="dxa"/>
            <w:tcBorders/>
            <w:vAlign w:val="center"/>
          </w:tcPr>
          <w:p>
            <w:pPr>
              <w:pStyle w:val="TableContents"/>
              <w:bidi w:val="0"/>
              <w:spacing w:before="0" w:after="283"/>
              <w:jc w:val="left"/>
            </w:pPr>
            <w:r>
              <w:t> </w:t>
            </w:r>
          </w:p>
        </w:tc>
        <w:tc>
          <w:tcPr>
            <w:tcW w:w="494"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88"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0" w:type="dxa"/>
            <w:tcBorders/>
            <w:vAlign w:val="center"/>
          </w:tcPr>
          <w:p>
            <w:pPr>
              <w:pStyle w:val="TableContents"/>
              <w:bidi w:val="0"/>
              <w:spacing w:before="0" w:after="283"/>
              <w:jc w:val="left"/>
            </w:pPr>
            <w:r>
              <w:t> </w:t>
            </w:r>
          </w:p>
        </w:tc>
        <w:tc>
          <w:tcPr>
            <w:tcW w:w="684" w:type="dxa"/>
            <w:tcBorders/>
            <w:vAlign w:val="center"/>
          </w:tcPr>
          <w:p>
            <w:pPr>
              <w:pStyle w:val="TableContents"/>
              <w:bidi w:val="0"/>
              <w:spacing w:before="0" w:after="283"/>
              <w:jc w:val="center"/>
            </w:pPr>
            <w:r>
              <w:rPr>
                <w:rStyle w:val="Emphasis"/>
              </w:rP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5"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Fair value at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7" w:type="dxa"/>
            <w:tcBorders/>
            <w:vAlign w:val="center"/>
          </w:tcPr>
          <w:p>
            <w:pPr>
              <w:pStyle w:val="TableContents"/>
              <w:bidi w:val="0"/>
              <w:spacing w:before="0" w:after="283"/>
              <w:jc w:val="left"/>
            </w:pPr>
            <w:r>
              <w:t> </w:t>
            </w:r>
          </w:p>
        </w:tc>
        <w:tc>
          <w:tcPr>
            <w:tcW w:w="373" w:type="dxa"/>
            <w:tcBorders/>
            <w:vAlign w:val="center"/>
          </w:tcPr>
          <w:p>
            <w:pPr>
              <w:pStyle w:val="TableContents"/>
              <w:bidi w:val="0"/>
              <w:spacing w:before="0" w:after="283"/>
              <w:jc w:val="center"/>
            </w:pPr>
            <w:r>
              <w:rPr>
                <w:rStyle w:val="Emphasis"/>
              </w:rPr>
              <w:t> </w:t>
            </w:r>
          </w:p>
        </w:tc>
        <w:tc>
          <w:tcPr>
            <w:tcW w:w="86" w:type="dxa"/>
            <w:tcBorders/>
            <w:vAlign w:val="center"/>
          </w:tcPr>
          <w:p>
            <w:pPr>
              <w:pStyle w:val="TableContents"/>
              <w:bidi w:val="0"/>
              <w:spacing w:before="0" w:after="283"/>
              <w:jc w:val="left"/>
            </w:pPr>
            <w:r>
              <w:t> </w:t>
            </w:r>
          </w:p>
        </w:tc>
      </w:tr>
      <w:tr>
        <w:tc>
          <w:tcPr>
            <w:tcW w:w="16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Portfolio </w:t>
            </w:r>
          </w:p>
        </w:tc>
        <w:tc>
          <w:tcPr>
            <w:tcW w:w="60" w:type="dxa"/>
            <w:tcBorders/>
            <w:vAlign w:val="center"/>
          </w:tcPr>
          <w:p>
            <w:pPr>
              <w:pStyle w:val="TableContents"/>
              <w:bidi w:val="0"/>
              <w:spacing w:before="0" w:after="283"/>
              <w:ind w:left="0" w:right="0" w:hanging="0"/>
              <w:jc w:val="left"/>
            </w:pPr>
            <w:r>
              <w:t> </w:t>
            </w:r>
          </w:p>
        </w:tc>
        <w:tc>
          <w:tcPr>
            <w:tcW w:w="944"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December 31,</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9" w:type="dxa"/>
            <w:tcBorders/>
            <w:vAlign w:val="center"/>
          </w:tcPr>
          <w:p>
            <w:pPr>
              <w:pStyle w:val="TableContents"/>
              <w:bidi w:val="0"/>
              <w:spacing w:before="0" w:after="283"/>
              <w:jc w:val="left"/>
            </w:pPr>
            <w:r>
              <w:t> </w:t>
            </w:r>
          </w:p>
        </w:tc>
        <w:tc>
          <w:tcPr>
            <w:tcW w:w="576"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8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Principal</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center"/>
            </w:pPr>
            <w:r>
              <w:rPr>
                <w:rStyle w:val="Emphasis"/>
              </w:rP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8"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in/(out) at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0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Discount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88"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unrealized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14"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Net realized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5"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30" w:type="dxa"/>
            <w:gridSpan w:val="2"/>
            <w:tcBorders/>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Interest</w:t>
            </w:r>
          </w:p>
        </w:tc>
        <w:tc>
          <w:tcPr>
            <w:tcW w:w="86" w:type="dxa"/>
            <w:tcBorders/>
            <w:vAlign w:val="center"/>
          </w:tcPr>
          <w:p>
            <w:pPr>
              <w:pStyle w:val="TableContents"/>
              <w:bidi w:val="0"/>
              <w:spacing w:before="0" w:after="283"/>
              <w:jc w:val="left"/>
            </w:pPr>
            <w:r>
              <w:t> </w:t>
            </w:r>
          </w:p>
        </w:tc>
      </w:tr>
      <w:tr>
        <w:tc>
          <w:tcPr>
            <w:tcW w:w="1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Company</w:t>
            </w:r>
          </w:p>
        </w:tc>
        <w:tc>
          <w:tcPr>
            <w:tcW w:w="60" w:type="dxa"/>
            <w:tcBorders/>
            <w:vAlign w:val="center"/>
          </w:tcPr>
          <w:p>
            <w:pPr>
              <w:pStyle w:val="TableContents"/>
              <w:bidi w:val="0"/>
              <w:spacing w:before="0" w:after="283"/>
              <w:ind w:left="0" w:right="0" w:hanging="0"/>
              <w:jc w:val="left"/>
            </w:pPr>
            <w: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2024</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Purchases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payments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40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PIK</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8"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fair value </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accretion </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 xml:space="preserve">gain/(loss) </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gain/(loss)</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2025</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w:t>
            </w:r>
          </w:p>
        </w:tc>
        <w:tc>
          <w:tcPr>
            <w:tcW w:w="86" w:type="dxa"/>
            <w:tcBorders>
              <w:bottom w:val="single" w:sz="2" w:space="0" w:color="000000"/>
            </w:tcBorders>
            <w:tcMar>
              <w:bottom w:w="28" w:type="dxa"/>
            </w:tcMar>
            <w:vAlign w:val="center"/>
          </w:tcPr>
          <w:p>
            <w:pPr>
              <w:pStyle w:val="TableContents"/>
              <w:bidi w:val="0"/>
              <w:spacing w:before="0" w:after="283"/>
              <w:jc w:val="left"/>
            </w:pPr>
            <w:r>
              <w:t> </w:t>
            </w:r>
          </w:p>
        </w:tc>
      </w:tr>
      <w:tr>
        <w:tc>
          <w:tcPr>
            <w:tcW w:w="163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424" w:type="dxa"/>
            <w:gridSpan w:val="38"/>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thousands)</w:t>
            </w:r>
          </w:p>
        </w:tc>
        <w:tc>
          <w:tcPr>
            <w:tcW w:w="86" w:type="dxa"/>
            <w:tcBorders/>
            <w:vAlign w:val="center"/>
          </w:tcPr>
          <w:p>
            <w:pPr>
              <w:pStyle w:val="TableContents"/>
              <w:bidi w:val="0"/>
              <w:spacing w:before="0" w:after="283"/>
              <w:jc w:val="left"/>
            </w:pPr>
            <w:r>
              <w:t> </w:t>
            </w:r>
          </w:p>
        </w:tc>
      </w:tr>
      <w:tr>
        <w:tc>
          <w:tcPr>
            <w:tcW w:w="1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Better Place Forests Co.</w:t>
            </w:r>
          </w:p>
        </w:tc>
        <w:tc>
          <w:tcPr>
            <w:tcW w:w="60" w:type="dxa"/>
            <w:tcBorders/>
            <w:shd w:fill="CCEEFF" w:val="clear"/>
            <w:vAlign w:val="center"/>
          </w:tcPr>
          <w:p>
            <w:pPr>
              <w:pStyle w:val="TableContents"/>
              <w:bidi w:val="0"/>
              <w:spacing w:before="0" w:after="283"/>
              <w:ind w:left="0" w:right="0" w:hanging="0"/>
              <w:jc w:val="left"/>
            </w:pPr>
            <w: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7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9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9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jc w:val="left"/>
            </w:pPr>
            <w:r>
              <w:t> </w:t>
            </w:r>
          </w:p>
        </w:tc>
        <w:tc>
          <w:tcPr>
            <w:tcW w:w="4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2,207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(4,561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373" w:type="dxa"/>
            <w:tcBorders/>
            <w:shd w:fill="CCEEFF" w:val="clear"/>
            <w:vAlign w:val="center"/>
          </w:tcPr>
          <w:p>
            <w:pPr>
              <w:pStyle w:val="TableContents"/>
              <w:bidi w:val="0"/>
              <w:spacing w:before="0" w:after="283"/>
              <w:ind w:left="0" w:right="0" w:hanging="0"/>
              <w:jc w:val="right"/>
            </w:pPr>
            <w:r>
              <w:t>—</w:t>
            </w:r>
          </w:p>
        </w:tc>
        <w:tc>
          <w:tcPr>
            <w:tcW w:w="86" w:type="dxa"/>
            <w:tcBorders/>
            <w:shd w:fill="CCEEFF" w:val="clear"/>
            <w:vAlign w:val="center"/>
          </w:tcPr>
          <w:p>
            <w:pPr>
              <w:pStyle w:val="TableContents"/>
              <w:bidi w:val="0"/>
              <w:spacing w:before="0" w:after="283"/>
              <w:jc w:val="left"/>
            </w:pPr>
            <w:r>
              <w:t> </w:t>
            </w:r>
          </w:p>
        </w:tc>
      </w:tr>
      <w:tr>
        <w:tc>
          <w:tcPr>
            <w:tcW w:w="1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HIMV LLC</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ind w:left="0" w:right="0" w:hanging="0"/>
              <w:jc w:val="left"/>
            </w:pPr>
            <w: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47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29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ind w:left="0" w:right="0" w:hanging="0"/>
              <w:jc w:val="left"/>
            </w:pPr>
            <w:r>
              <w:t> </w:t>
            </w:r>
          </w:p>
        </w:tc>
        <w:tc>
          <w:tcPr>
            <w:tcW w:w="49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ind w:left="0" w:right="0" w:hanging="0"/>
              <w:jc w:val="left"/>
            </w:pPr>
            <w:r>
              <w:t> </w:t>
            </w:r>
          </w:p>
        </w:tc>
        <w:tc>
          <w:tcPr>
            <w:tcW w:w="68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ind w:left="0" w:right="0" w:hanging="0"/>
              <w:jc w:val="left"/>
            </w:pPr>
            <w:r>
              <w:t> </w:t>
            </w:r>
          </w:p>
        </w:tc>
        <w:tc>
          <w:tcPr>
            <w:tcW w:w="76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373" w:type="dxa"/>
            <w:tcBorders/>
            <w:shd w:fill="FFFFFF" w:val="clear"/>
            <w:vAlign w:val="center"/>
          </w:tcPr>
          <w:p>
            <w:pPr>
              <w:pStyle w:val="TableContents"/>
              <w:bidi w:val="0"/>
              <w:spacing w:before="0" w:after="283"/>
              <w:ind w:left="0" w:right="0" w:hanging="0"/>
              <w:jc w:val="right"/>
            </w:pPr>
            <w:r>
              <w:t>—</w:t>
            </w:r>
          </w:p>
        </w:tc>
        <w:tc>
          <w:tcPr>
            <w:tcW w:w="86" w:type="dxa"/>
            <w:tcBorders/>
            <w:shd w:fill="FFFFFF" w:val="clear"/>
            <w:vAlign w:val="center"/>
          </w:tcPr>
          <w:p>
            <w:pPr>
              <w:pStyle w:val="TableContents"/>
              <w:bidi w:val="0"/>
              <w:spacing w:before="0" w:after="283"/>
              <w:jc w:val="left"/>
            </w:pPr>
            <w:r>
              <w:t> </w:t>
            </w:r>
          </w:p>
        </w:tc>
      </w:tr>
      <w:tr>
        <w:tc>
          <w:tcPr>
            <w:tcW w:w="1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Nexii, Inc.</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ind w:left="0" w:right="0" w:hanging="0"/>
              <w:jc w:val="left"/>
            </w:pPr>
            <w: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8,547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9" w:type="dxa"/>
            <w:tcBorders/>
            <w:shd w:fill="CCEEFF" w:val="clear"/>
            <w:vAlign w:val="center"/>
          </w:tcPr>
          <w:p>
            <w:pPr>
              <w:pStyle w:val="TableContents"/>
              <w:bidi w:val="0"/>
              <w:spacing w:before="0" w:after="283"/>
              <w:ind w:left="0" w:right="0" w:hanging="0"/>
              <w:jc w:val="left"/>
            </w:pPr>
            <w: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3,229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47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29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59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ind w:left="0" w:right="0" w:hanging="0"/>
              <w:jc w:val="left"/>
            </w:pPr>
            <w:r>
              <w:t> </w:t>
            </w:r>
          </w:p>
        </w:tc>
        <w:tc>
          <w:tcPr>
            <w:tcW w:w="49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(10,660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68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ind w:left="0" w:right="0" w:hanging="0"/>
              <w:jc w:val="left"/>
            </w:pPr>
            <w: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37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86" w:type="dxa"/>
            <w:tcBorders/>
            <w:shd w:fill="CCEEFF" w:val="clear"/>
            <w:vAlign w:val="center"/>
          </w:tcPr>
          <w:p>
            <w:pPr>
              <w:pStyle w:val="TableContents"/>
              <w:bidi w:val="0"/>
              <w:spacing w:before="0" w:after="283"/>
              <w:jc w:val="left"/>
            </w:pPr>
            <w:r>
              <w:t> </w:t>
            </w:r>
          </w:p>
        </w:tc>
      </w:tr>
      <w:tr>
        <w:tc>
          <w:tcPr>
            <w:tcW w:w="1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Swift Health Systems, Inc.</w:t>
            </w:r>
          </w:p>
        </w:tc>
        <w:tc>
          <w:tcPr>
            <w:tcW w:w="60" w:type="dxa"/>
            <w:tcBorders/>
            <w:shd w:fill="FFFFFF" w:val="clear"/>
            <w:vAlign w:val="center"/>
          </w:tcPr>
          <w:p>
            <w:pPr>
              <w:pStyle w:val="TableContents"/>
              <w:bidi w:val="0"/>
              <w:spacing w:before="0" w:after="283"/>
              <w:jc w:val="left"/>
            </w:pPr>
            <w: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controlled affiliates</w:t>
            </w:r>
          </w:p>
        </w:tc>
        <w:tc>
          <w:tcPr>
            <w:tcW w:w="60" w:type="dxa"/>
            <w:tcBorders/>
            <w:shd w:fill="CCEEFF" w:val="clear"/>
            <w:vAlign w:val="center"/>
          </w:tcPr>
          <w:p>
            <w:pPr>
              <w:pStyle w:val="TableContents"/>
              <w:bidi w:val="0"/>
              <w:spacing w:before="0" w:after="283"/>
              <w:ind w:left="0" w:right="0" w:hanging="0"/>
              <w:jc w:val="left"/>
            </w:pPr>
            <w: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caps w:val="false"/>
          <w:smallCaps w:val="false"/>
          <w:sz w:val="20"/>
        </w:rPr>
        <w:t>Note</w:t>
      </w:r>
      <w:r>
        <w:rPr>
          <w:rFonts w:ascii="Times New Roman;Times;serif" w:hAnsi="Times New Roman;Times;serif"/>
          <w:caps w:val="false"/>
          <w:smallCaps w:val="false"/>
          <w:sz w:val="20"/>
        </w:rPr>
        <w:t> </w:t>
      </w:r>
      <w:r>
        <w:rPr>
          <w:rStyle w:val="Emphasis"/>
          <w:rFonts w:ascii="Times New Roman;Times;serif" w:hAnsi="Times New Roman;Times;serif"/>
          <w:b/>
          <w:caps w:val="false"/>
          <w:smallCaps w:val="false"/>
          <w:sz w:val="20"/>
        </w:rPr>
        <w:t>6.</w:t>
      </w:r>
      <w:r>
        <w:rPr>
          <w:rFonts w:ascii="Times New Roman;Times;serif" w:hAnsi="Times New Roman;Times;serif"/>
          <w:b/>
          <w:caps w:val="false"/>
          <w:smallCaps w:val="false"/>
          <w:sz w:val="20"/>
        </w:rPr>
        <w:t xml:space="preserv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Times;serif" w:hAnsi="Times New Roman;Times;serif"/>
          <w:caps w:val="false"/>
          <w:smallCaps w:val="false"/>
          <w:sz w:val="20"/>
        </w:rPr>
        <w:t xml:space="preserve">Prior to </w:t>
      </w:r>
      <w:r>
        <w:rPr>
          <w:rStyle w:val="Emphasis"/>
          <w:rFonts w:ascii="Times New Roman;Times;serif" w:hAnsi="Times New Roman;Times;serif"/>
          <w:caps w:val="false"/>
          <w:smallCaps w:val="false"/>
          <w:sz w:val="20"/>
        </w:rPr>
        <w:t xml:space="preserve">July 30, 2022, </w:t>
      </w:r>
      <w:r>
        <w:rPr>
          <w:rFonts w:ascii="Times New Roman;Times;serif" w:hAnsi="Times New Roman;Times;serif"/>
          <w:caps w:val="false"/>
          <w:smallCaps w:val="false"/>
          <w:sz w:val="20"/>
        </w:rPr>
        <w:t xml:space="preserve">the Board determined the fair value of the Company’s investments. Pursuant to the amended SEC Rule </w:t>
      </w:r>
      <w:r>
        <w:rPr>
          <w:rStyle w:val="Emphasis"/>
          <w:rFonts w:ascii="Times New Roman;Times;serif" w:hAnsi="Times New Roman;Times;serif"/>
          <w:caps w:val="false"/>
          <w:smallCaps w:val="false"/>
          <w:sz w:val="20"/>
        </w:rPr>
        <w:t>2a</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 xml:space="preserve"> of the </w:t>
      </w:r>
      <w:r>
        <w:rPr>
          <w:rStyle w:val="Emphasis"/>
          <w:rFonts w:ascii="Times New Roman;Times;serif" w:hAnsi="Times New Roman;Times;serif"/>
          <w:caps w:val="false"/>
          <w:smallCaps w:val="false"/>
          <w:sz w:val="20"/>
        </w:rPr>
        <w:t>1940</w:t>
      </w:r>
      <w:r>
        <w:rPr>
          <w:rFonts w:ascii="Times New Roman;Times;serif" w:hAnsi="Times New Roman;Times;serif"/>
          <w:caps w:val="false"/>
          <w:smallCaps w:val="false"/>
          <w:sz w:val="20"/>
        </w:rPr>
        <w:t xml:space="preserve"> Act, on </w:t>
      </w:r>
      <w:r>
        <w:rPr>
          <w:rStyle w:val="Emphasis"/>
          <w:rFonts w:ascii="Times New Roman;Times;serif" w:hAnsi="Times New Roman;Times;serif"/>
          <w:caps w:val="false"/>
          <w:smallCaps w:val="false"/>
          <w:sz w:val="20"/>
        </w:rPr>
        <w:t xml:space="preserve">July 29, 2022, </w:t>
      </w:r>
      <w:r>
        <w:rPr>
          <w:rFonts w:ascii="Times New Roman;Times;serif" w:hAnsi="Times New Roman;Times;serif"/>
          <w:caps w:val="false"/>
          <w:smallCaps w:val="false"/>
          <w:sz w:val="20"/>
        </w:rPr>
        <w:t xml:space="preserve">the Board designated the Advisor as the Company’s “valuation designee.” The Board is responsible for oversight of the valuation designee. The valuation designee has established a Valuation Committee to determine in good faith the fair value of the Company’s investments, based on input from the Advisor’s management and personnel and independent valuation firms which are engaged at the direction of the Valuation Committee to assist in the valuation of certain portfolio investments lacking a readily available market quotation at least once during a trailing </w:t>
      </w:r>
      <w:r>
        <w:rPr>
          <w:rStyle w:val="Emphasis"/>
          <w:rFonts w:ascii="Times New Roman;Times;serif" w:hAnsi="Times New Roman;Times;serif"/>
          <w:caps w:val="false"/>
          <w:smallCaps w:val="false"/>
          <w:sz w:val="20"/>
        </w:rPr>
        <w:t>twelve</w:t>
      </w:r>
      <w:r>
        <w:rPr>
          <w:rFonts w:ascii="Times New Roman;Times;serif" w:hAnsi="Times New Roman;Times;serif"/>
          <w:caps w:val="false"/>
          <w:smallCaps w:val="false"/>
          <w:sz w:val="20"/>
        </w:rPr>
        <w:t>-month period. The Valuation Committee determines fair values pursuant to a valuation policy approved by the Board and pursuant to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Times;serif" w:hAnsi="Times New Roman;Times;serif"/>
          <w:caps w:val="false"/>
          <w:smallCaps w:val="false"/>
          <w:sz w:val="20"/>
        </w:rPr>
        <w:t xml:space="preserve">The Company uses fair value measurements made by the valuation designee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quoted market prices for certain assets or liabilities. In cases where quoted market prices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available, fair values are based on estimates using present value or other valuation techniques. Those techniques are significantly affected by the assumptions used, including the discount rate and estimates of future cash flows. Accordingly, the fair value estimates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be realized in an immediate settlement of the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Times;serif" w:hAnsi="Times New Roman;Times;serif"/>
          <w:caps w:val="false"/>
          <w:smallCaps w:val="false"/>
          <w:sz w:val="20"/>
        </w:rPr>
        <w:t xml:space="preserve">Fair value measurements focus on exit prices in an orderly transaction (that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be appropriate. In such instances, determining the price at which willing market participants would transact at the measurement date under current market conditions depends on the facts and circumstances and requires the use of significant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Times;serif" w:hAnsi="Times New Roman;Times;serif"/>
          <w:caps w:val="false"/>
          <w:smallCaps w:val="false"/>
          <w:sz w:val="20"/>
        </w:rPr>
        <w:t xml:space="preserve">The Company’s fair value measurements are classified into a fair value hierarchy in accordance with ASC Topic </w:t>
      </w:r>
      <w:r>
        <w:rPr>
          <w:rStyle w:val="Emphasis"/>
          <w:rFonts w:ascii="Times New Roman;Times;serif" w:hAnsi="Times New Roman;Times;serif"/>
          <w:caps w:val="false"/>
          <w:smallCaps w:val="false"/>
          <w:sz w:val="20"/>
        </w:rPr>
        <w:t>820,</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Fair Value Measurement</w:t>
      </w:r>
      <w:r>
        <w:rPr>
          <w:rFonts w:ascii="Times New Roman;Times;serif" w:hAnsi="Times New Roman;Times;serif"/>
          <w:caps w:val="false"/>
          <w:smallCaps w:val="false"/>
          <w:sz w:val="20"/>
        </w:rPr>
        <w:t xml:space="preserve">, based on the markets in which the assets and liabilities are traded and the reliability of the assumptions used to determine fair value.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categories within the hierarchy are as follows:</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650"/>
        <w:gridCol w:w="5330"/>
      </w:tblGrid>
      <w:tr>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0"/>
              <w:ind w:left="0" w:right="0" w:hanging="0"/>
              <w:jc w:val="both"/>
            </w:pPr>
            <w:r>
              <w:rPr>
                <w:rFonts w:ascii="Times New Roman;Times;serif" w:hAnsi="Times New Roman;Times;serif"/>
                <w:b/>
                <w:sz w:val="20"/>
              </w:rPr>
              <w:t xml:space="preserve">Level </w:t>
            </w:r>
            <w:r>
              <w:rPr>
                <w:rStyle w:val="Emphasis"/>
                <w:rFonts w:ascii="Times New Roman;Times;serif" w:hAnsi="Times New Roman;Times;serif"/>
                <w:b/>
                <w:sz w:val="20"/>
              </w:rPr>
              <w:t>1</w:t>
            </w:r>
          </w:p>
        </w:tc>
        <w:tc>
          <w:tcPr>
            <w:tcW w:w="53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Quoted prices in active markets for identical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47"/>
        <w:gridCol w:w="9598"/>
      </w:tblGrid>
      <w:tr>
        <w:tc>
          <w:tcPr>
            <w:tcW w:w="60" w:type="dxa"/>
            <w:tcBorders/>
            <w:vAlign w:val="center"/>
          </w:tcPr>
          <w:p>
            <w:pPr>
              <w:pStyle w:val="TableContents"/>
              <w:bidi w:val="0"/>
              <w:spacing w:before="0" w:after="283"/>
              <w:jc w:val="left"/>
            </w:pPr>
            <w:r>
              <w:t> </w:t>
            </w:r>
          </w:p>
        </w:tc>
        <w:tc>
          <w:tcPr>
            <w:tcW w:w="547" w:type="dxa"/>
            <w:tcBorders/>
            <w:vAlign w:val="center"/>
          </w:tcPr>
          <w:p>
            <w:pPr>
              <w:pStyle w:val="TableContents"/>
              <w:bidi w:val="0"/>
              <w:spacing w:before="0" w:after="0"/>
              <w:ind w:left="0" w:right="0" w:hanging="0"/>
              <w:jc w:val="both"/>
            </w:pPr>
            <w:r>
              <w:rPr>
                <w:rFonts w:ascii="Times New Roman;Times;serif" w:hAnsi="Times New Roman;Times;serif"/>
                <w:b/>
                <w:sz w:val="20"/>
              </w:rPr>
              <w:t xml:space="preserve">Level </w:t>
            </w:r>
            <w:r>
              <w:rPr>
                <w:rStyle w:val="Emphasis"/>
                <w:rFonts w:ascii="Times New Roman;Times;serif" w:hAnsi="Times New Roman;Times;serif"/>
                <w:b/>
                <w:sz w:val="20"/>
              </w:rPr>
              <w:t>2</w:t>
            </w:r>
          </w:p>
        </w:tc>
        <w:tc>
          <w:tcPr>
            <w:tcW w:w="9598" w:type="dxa"/>
            <w:tcBorders/>
            <w:vAlign w:val="center"/>
          </w:tcPr>
          <w:p>
            <w:pPr>
              <w:pStyle w:val="TableContents"/>
              <w:bidi w:val="0"/>
              <w:spacing w:before="0" w:after="0"/>
              <w:ind w:left="0" w:right="0" w:hanging="0"/>
              <w:jc w:val="both"/>
            </w:pPr>
            <w:r>
              <w:rPr>
                <w:rFonts w:ascii="Times New Roman;Times;serif" w:hAnsi="Times New Roman;Times;serif"/>
                <w:sz w:val="20"/>
              </w:rPr>
              <w:t xml:space="preserve">Observable inputs other than Level </w:t>
            </w:r>
            <w:r>
              <w:rPr>
                <w:rStyle w:val="Emphasis"/>
                <w:rFonts w:ascii="Times New Roman;Times;serif" w:hAnsi="Times New Roman;Times;serif"/>
                <w:sz w:val="20"/>
              </w:rPr>
              <w:t>1</w:t>
            </w:r>
            <w:r>
              <w:rPr>
                <w:rFonts w:ascii="Times New Roman;Times;serif" w:hAnsi="Times New Roman;Times;serif"/>
                <w:sz w:val="20"/>
              </w:rPr>
              <w:t xml:space="preserve"> prices such as quoted prices for similar assets or liabilities in active markets, quoted prices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and model-based valuation techniques for which all significant inputs are observable or can be corroborated by observable market data for substantially the full term of the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8"/>
        <w:gridCol w:w="9607"/>
      </w:tblGrid>
      <w:tr>
        <w:tc>
          <w:tcPr>
            <w:tcW w:w="60" w:type="dxa"/>
            <w:tcBorders/>
            <w:vAlign w:val="center"/>
          </w:tcPr>
          <w:p>
            <w:pPr>
              <w:pStyle w:val="TableContents"/>
              <w:bidi w:val="0"/>
              <w:spacing w:before="0" w:after="283"/>
              <w:jc w:val="left"/>
            </w:pPr>
            <w:r>
              <w:t> </w:t>
            </w:r>
          </w:p>
        </w:tc>
        <w:tc>
          <w:tcPr>
            <w:tcW w:w="538" w:type="dxa"/>
            <w:tcBorders/>
            <w:vAlign w:val="center"/>
          </w:tcPr>
          <w:p>
            <w:pPr>
              <w:pStyle w:val="TableContents"/>
              <w:bidi w:val="0"/>
              <w:spacing w:before="0" w:after="0"/>
              <w:ind w:left="0" w:right="0" w:hanging="0"/>
              <w:jc w:val="both"/>
            </w:pPr>
            <w:r>
              <w:rPr>
                <w:rFonts w:ascii="Times New Roman;Times;serif" w:hAnsi="Times New Roman;Times;serif"/>
                <w:b/>
                <w:sz w:val="20"/>
              </w:rPr>
              <w:t xml:space="preserve">Level </w:t>
            </w:r>
            <w:r>
              <w:rPr>
                <w:rStyle w:val="Emphasis"/>
                <w:rFonts w:ascii="Times New Roman;Times;serif" w:hAnsi="Times New Roman;Times;serif"/>
                <w:b/>
                <w:sz w:val="20"/>
              </w:rPr>
              <w:t>3</w:t>
            </w:r>
          </w:p>
        </w:tc>
        <w:tc>
          <w:tcPr>
            <w:tcW w:w="9607" w:type="dxa"/>
            <w:tcBorders/>
            <w:vAlign w:val="center"/>
          </w:tcPr>
          <w:p>
            <w:pPr>
              <w:pStyle w:val="TableContents"/>
              <w:bidi w:val="0"/>
              <w:spacing w:before="0" w:after="0"/>
              <w:ind w:left="0" w:right="0" w:hanging="0"/>
              <w:jc w:val="both"/>
            </w:pPr>
            <w:r>
              <w:rPr>
                <w:rFonts w:ascii="Times New Roman;Times;serif" w:hAnsi="Times New Roman;Times;serif"/>
                <w:sz w:val="20"/>
              </w:rPr>
              <w:t xml:space="preserve">Unobservable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activity and that are significant to the fair value of the assets or liabilities. Level </w:t>
            </w:r>
            <w:r>
              <w:rPr>
                <w:rStyle w:val="Emphasis"/>
                <w:rFonts w:ascii="Times New Roman;Times;serif" w:hAnsi="Times New Roman;Times;serif"/>
                <w:sz w:val="20"/>
              </w:rPr>
              <w:t>3</w:t>
            </w:r>
            <w:r>
              <w:rPr>
                <w:rFonts w:ascii="Times New Roman;Times;serif" w:hAnsi="Times New Roman;Times;serif"/>
                <w:sz w:val="20"/>
              </w:rPr>
              <w:t xml:space="preserve">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Due to the inherent uncertainty of determining the fair value of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readily available market value, the fair value of the Company’s investments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fluctuate from period to period. Additionally, the fair value of the Company’s investments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significantly from the values that would have been used had a ready market existed for such investments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materially from the values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i/>
          <w:caps w:val="false"/>
          <w:smallCaps w:val="false"/>
          <w:sz w:val="20"/>
        </w:rPr>
        <w:t>Cash:</w:t>
      </w:r>
      <w:r>
        <w:rPr>
          <w:rFonts w:ascii="Times New Roman" w:hAnsi="Times New Roman"/>
          <w:caps w:val="false"/>
          <w:smallCaps w:val="false"/>
          <w:sz w:val="20"/>
        </w:rPr>
        <w:t xml:space="preserve"> The carrying amount is a reasonable estimate of fair value. These financial instruments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at fair value on a recurring basis and are categorized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within the fair value hierarchy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i/>
          <w:caps w:val="false"/>
          <w:smallCaps w:val="false"/>
          <w:sz w:val="20"/>
        </w:rPr>
        <w:t>Money market funds:</w:t>
      </w:r>
      <w:r>
        <w:rPr>
          <w:rFonts w:ascii="Times New Roman" w:hAnsi="Times New Roman"/>
          <w:caps w:val="false"/>
          <w:smallCaps w:val="false"/>
          <w:sz w:val="20"/>
        </w:rPr>
        <w:t xml:space="preserve"> The carrying amounts are valued at their net asset value as of the close of business on the day of valuation. These financial instruments are recorded at fair value on a recurring basis and are categorized as Level </w:t>
      </w:r>
      <w:r>
        <w:rPr>
          <w:rStyle w:val="Emphasis"/>
          <w:rFonts w:ascii="Times New Roman" w:hAnsi="Times New Roman"/>
          <w:caps w:val="false"/>
          <w:smallCaps w:val="false"/>
          <w:sz w:val="20"/>
        </w:rPr>
        <w:t>1</w:t>
      </w:r>
      <w:r>
        <w:rPr>
          <w:rFonts w:ascii="Times New Roman" w:hAnsi="Times New Roman"/>
          <w:caps w:val="false"/>
          <w:smallCaps w:val="false"/>
          <w:sz w:val="20"/>
        </w:rPr>
        <w:t> within the fair value hierarchy described above as these funds can be redeemed daily.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i/>
          <w:caps w:val="false"/>
          <w:smallCaps w:val="false"/>
          <w:sz w:val="20"/>
        </w:rPr>
        <w:t>Debt investments:</w:t>
      </w:r>
      <w:r>
        <w:rPr>
          <w:rFonts w:ascii="Times New Roman" w:hAnsi="Times New Roman"/>
          <w:caps w:val="false"/>
          <w:smallCaps w:val="false"/>
          <w:sz w:val="20"/>
        </w:rPr>
        <w:t xml:space="preserve"> The fair value of debt investments is estimated by discounting the expected future cash flows using the period end rates at which similar debt investments would be made to borrowers with similar credit ratings and for the same remaining maturities. Significant increases (decreases) in this unobservable input would result in a significantly lower (higher) fair value measurement. These assets are recorded at fair value on a recurring basis and are categorized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Under certain circumstances,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use an alternative technique to value debt investments that better reflects its fair value such as the use of multiple probability weighted cash flow models when the expected future cash flows contain elements of variability.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Warrant investments:</w:t>
      </w:r>
      <w:r>
        <w:rPr>
          <w:rFonts w:ascii="Times New Roman" w:hAnsi="Times New Roman"/>
          <w:caps w:val="false"/>
          <w:smallCaps w:val="false"/>
          <w:sz w:val="20"/>
        </w:rPr>
        <w:t xml:space="preserve"> The Company values its warrants using the Black-Scholes valuation model incorporating the following material assumptions: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pPr>
            <w:r>
              <w:rPr>
                <w:rFonts w:ascii="Times New Roman" w:hAnsi="Times New Roman"/>
                <w:caps w:val="false"/>
                <w:smallCaps w:val="false"/>
                <w:sz w:val="20"/>
              </w:rPr>
              <w:t xml:space="preserve">Volatility, or the amount of uncertainty or risk about the size of the changes in the warrant price, is based on indices of publicly traded companies similar in nature to the underlying company issuing the warrant. A total of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such indices are used. Significant increases (decreases) in this unobservable input would result in a significantly higher (lower) fair value measurement.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risk-free interest rates are derived from the U.S. Treasury yield curve. The risk-free interest rates are calculated based on a weighted average of the risk-free interest rates that correspond closest to the expected remaining life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adjustments, including a marketability discount on private company warrants, are estimated based on management’s judgment about the general industry environment.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pPr>
            <w:r>
              <w:rPr>
                <w:rFonts w:ascii="Times New Roman" w:hAnsi="Times New Roman"/>
                <w:caps w:val="false"/>
                <w:smallCaps w:val="false"/>
                <w:sz w:val="20"/>
              </w:rPr>
              <w:t xml:space="preserve">Historical portfolio experience on cancellations and exercises of the Company’s warrants are utilized as the basis for determining the estimated time to exit of the warrants in each financial reporting period. Warrants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 w:hAnsi="Times New Roman"/>
          <w:caps w:val="false"/>
          <w:smallCaps w:val="false"/>
          <w:sz w:val="20"/>
        </w:rPr>
        <w:t xml:space="preserve">Under certain circumstances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use an alternative technique to value warrants that better reflects the warrants’ fair value, such as an expected settlement of a warrant in the near term or a model that incorporates a put feature associated with the warrant. The fair value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determined based on the expected proceeds to be received from such settlement or based on the net present value of the expected proceeds from the put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44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 fair value of the Company’s warrants held in publicly traded companies is determined based on inputs that are readily available in public markets or can be derived from information available in public markets. Therefore, the Company has categorized these warrants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described above. These assets are recorded at 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i/>
          <w:caps w:val="false"/>
          <w:smallCaps w:val="false"/>
          <w:sz w:val="20"/>
        </w:rPr>
        <w:t>Equity investments:</w:t>
      </w:r>
      <w:r>
        <w:rPr>
          <w:rFonts w:ascii="Times New Roman" w:hAnsi="Times New Roman"/>
          <w:caps w:val="false"/>
          <w:smallCaps w:val="false"/>
          <w:sz w:val="20"/>
        </w:rPr>
        <w:t xml:space="preserve"> The fair value of an equity investment in a privately held company is initially the face value of the amount invested. The Company adjusts the fair value of equity investments in private companies upon the completion of a new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round of equity financing.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described above. The fair value of an equity investment in a publicly traded company is based upon the closing public share price on the date of measurement. Therefore, the Company has categorized these equity investments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within the fair value hierarchy described above. These assets are recorded at 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i/>
          <w:caps w:val="false"/>
          <w:smallCaps w:val="false"/>
          <w:sz w:val="20"/>
        </w:rPr>
        <w:t xml:space="preserve">Other investments: </w:t>
      </w:r>
      <w:r>
        <w:rPr>
          <w:rFonts w:ascii="Times New Roman" w:hAnsi="Times New Roman"/>
          <w:caps w:val="false"/>
          <w:smallCaps w:val="false"/>
          <w:sz w:val="20"/>
        </w:rPr>
        <w:t xml:space="preserve">Other investments are valued based on the facts and circumstances of the underlying contractual agreement. The Company currently 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described above. These other investments are recorded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Transfers between levels are recognized as of the date of the event or change in circumstances that caused the transfer, based on changes in the observability or significance of valuation inputs.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tables detail the assets that are carried at fair value and measured at fair value on a recurring basis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and indicate the fair value hierarchy of the valuation techniques utilized by the Company to determine the fair value:</w:t>
      </w:r>
    </w:p>
    <w:p>
      <w:pPr>
        <w:pStyle w:val="TextBody"/>
        <w:bidi w:val="0"/>
        <w:spacing w:before="0" w:after="0"/>
        <w:ind w:left="0" w:right="0" w:hanging="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365"/>
        <w:gridCol w:w="60"/>
        <w:gridCol w:w="127"/>
        <w:gridCol w:w="492"/>
        <w:gridCol w:w="60"/>
        <w:gridCol w:w="60"/>
        <w:gridCol w:w="127"/>
        <w:gridCol w:w="492"/>
        <w:gridCol w:w="60"/>
        <w:gridCol w:w="60"/>
        <w:gridCol w:w="125"/>
        <w:gridCol w:w="695"/>
        <w:gridCol w:w="60"/>
        <w:gridCol w:w="60"/>
        <w:gridCol w:w="125"/>
        <w:gridCol w:w="695"/>
        <w:gridCol w:w="60"/>
      </w:tblGrid>
      <w:tr>
        <w:tc>
          <w:tcPr>
            <w:tcW w:w="33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2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3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3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238"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investments</w:t>
            </w:r>
          </w:p>
        </w:tc>
        <w:tc>
          <w:tcPr>
            <w:tcW w:w="60" w:type="dxa"/>
            <w:tcBorders/>
            <w:shd w:fill="CCEEFF" w:val="clear"/>
            <w:vAlign w:val="center"/>
          </w:tcPr>
          <w:p>
            <w:pPr>
              <w:pStyle w:val="TableContents"/>
              <w:bidi w:val="0"/>
              <w:spacing w:before="0" w:after="283"/>
              <w:ind w:left="0" w:right="0" w:hanging="0"/>
              <w:jc w:val="left"/>
            </w:pPr>
            <w: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621,222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621,222</w:t>
            </w:r>
          </w:p>
        </w:tc>
        <w:tc>
          <w:tcPr>
            <w:tcW w:w="60" w:type="dxa"/>
            <w:tcBorders/>
            <w:shd w:fill="CCEEFF" w:val="clear"/>
            <w:vAlign w:val="center"/>
          </w:tcPr>
          <w:p>
            <w:pPr>
              <w:pStyle w:val="TableContents"/>
              <w:bidi w:val="0"/>
              <w:spacing w:before="0" w:after="283"/>
              <w:jc w:val="left"/>
            </w:pPr>
            <w:r>
              <w:t> </w:t>
            </w:r>
          </w:p>
        </w:tc>
      </w:tr>
      <w:t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investments</w:t>
            </w:r>
          </w:p>
        </w:tc>
        <w:tc>
          <w:tcPr>
            <w:tcW w:w="6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492"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4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14,090</w:t>
            </w:r>
          </w:p>
        </w:tc>
        <w:tc>
          <w:tcPr>
            <w:tcW w:w="60" w:type="dxa"/>
            <w:tcBorders/>
            <w:shd w:fill="FFFFFF" w:val="clear"/>
            <w:vAlign w:val="center"/>
          </w:tcPr>
          <w:p>
            <w:pPr>
              <w:pStyle w:val="TableContents"/>
              <w:bidi w:val="0"/>
              <w:spacing w:before="0" w:after="283"/>
              <w:jc w:val="left"/>
            </w:pPr>
            <w:r>
              <w:t> </w:t>
            </w:r>
          </w:p>
        </w:tc>
      </w:tr>
      <w:t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investments</w:t>
            </w:r>
          </w:p>
        </w:tc>
        <w:tc>
          <w:tcPr>
            <w:tcW w:w="6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ind w:left="0" w:right="0" w:hanging="0"/>
              <w:jc w:val="left"/>
            </w:pPr>
            <w:r>
              <w:t> </w:t>
            </w:r>
          </w:p>
        </w:tc>
        <w:tc>
          <w:tcPr>
            <w:tcW w:w="4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ind w:left="0" w:right="0" w:hanging="0"/>
              <w:jc w:val="left"/>
            </w:pPr>
            <w:r>
              <w:t> </w:t>
            </w:r>
          </w:p>
        </w:tc>
        <w:tc>
          <w:tcPr>
            <w:tcW w:w="4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w:t>
            </w:r>
          </w:p>
        </w:tc>
        <w:tc>
          <w:tcPr>
            <w:tcW w:w="60" w:type="dxa"/>
            <w:tcBorders/>
            <w:shd w:fill="CCEEFF" w:val="clear"/>
            <w:vAlign w:val="center"/>
          </w:tcPr>
          <w:p>
            <w:pPr>
              <w:pStyle w:val="TableContents"/>
              <w:bidi w:val="0"/>
              <w:spacing w:before="0" w:after="283"/>
              <w:jc w:val="left"/>
            </w:pPr>
            <w:r>
              <w:t> </w:t>
            </w:r>
          </w:p>
        </w:tc>
      </w:tr>
      <w:t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investments</w:t>
            </w:r>
          </w:p>
        </w:tc>
        <w:tc>
          <w:tcPr>
            <w:tcW w:w="6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4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492"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3,891</w:t>
            </w:r>
          </w:p>
        </w:tc>
        <w:tc>
          <w:tcPr>
            <w:tcW w:w="60" w:type="dxa"/>
            <w:tcBorders/>
            <w:shd w:fill="FFFFFF" w:val="clear"/>
            <w:vAlign w:val="center"/>
          </w:tcPr>
          <w:p>
            <w:pPr>
              <w:pStyle w:val="TableContents"/>
              <w:bidi w:val="0"/>
              <w:spacing w:before="0" w:after="283"/>
              <w:ind w:left="0" w:right="0" w:hanging="0"/>
              <w:jc w:val="left"/>
            </w:pPr>
            <w:r>
              <w:t> </w:t>
            </w:r>
          </w:p>
        </w:tc>
      </w:tr>
      <w:tr>
        <w:tc>
          <w:tcPr>
            <w:tcW w:w="336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interest in RoHo Joint Venture (1)</w:t>
            </w:r>
          </w:p>
        </w:tc>
        <w:tc>
          <w:tcPr>
            <w:tcW w:w="60" w:type="dxa"/>
            <w:tcBorders/>
            <w:shd w:fill="CCEEFF" w:val="clear"/>
            <w:vAlign w:val="center"/>
          </w:tcPr>
          <w:p>
            <w:pPr>
              <w:pStyle w:val="TableContents"/>
              <w:bidi w:val="0"/>
              <w:spacing w:before="0" w:after="0"/>
              <w:ind w:left="0" w:right="0" w:hanging="0"/>
              <w:jc w:val="left"/>
            </w:pPr>
            <w: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7,765</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FFFFFF" w:val="clear"/>
            <w:vAlign w:val="center"/>
          </w:tcPr>
          <w:p>
            <w:pPr>
              <w:pStyle w:val="TableContents"/>
              <w:bidi w:val="0"/>
              <w:spacing w:before="0" w:after="283"/>
              <w:ind w:left="0" w:right="0" w:hanging="0"/>
              <w:jc w:val="left"/>
            </w:pPr>
            <w: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637,445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650,323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211"/>
        <w:gridCol w:w="9994"/>
      </w:tblGrid>
      <w:tr>
        <w:tc>
          <w:tcPr>
            <w:tcW w:w="211"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fair value of the Company's investment in the RoHo Joint Venture is determined using the net asset value of the Company's ownership interest in member's capital.</w:t>
            </w:r>
          </w:p>
        </w:tc>
      </w:tr>
    </w:tbl>
    <w:p>
      <w:pPr>
        <w:pStyle w:val="TextBody"/>
        <w:bidi w:val="0"/>
        <w:spacing w:before="0" w:after="0"/>
        <w:ind w:left="0" w:right="0" w:hanging="0"/>
        <w:jc w:val="left"/>
      </w:pPr>
      <w:r>
        <w:t> </w:t>
      </w:r>
    </w:p>
    <w:tbl>
      <w:tblPr>
        <w:tblW w:w="5043" w:type="dxa"/>
        <w:jc w:val="left"/>
        <w:tblInd w:w="0" w:type="dxa"/>
        <w:tblLayout w:type="fixed"/>
        <w:tblCellMar>
          <w:top w:w="0" w:type="dxa"/>
          <w:left w:w="0" w:type="dxa"/>
          <w:bottom w:w="0" w:type="dxa"/>
          <w:right w:w="0" w:type="dxa"/>
        </w:tblCellMar>
      </w:tblPr>
      <w:tblGrid>
        <w:gridCol w:w="1685"/>
        <w:gridCol w:w="60"/>
        <w:gridCol w:w="127"/>
        <w:gridCol w:w="492"/>
        <w:gridCol w:w="60"/>
        <w:gridCol w:w="60"/>
        <w:gridCol w:w="127"/>
        <w:gridCol w:w="492"/>
        <w:gridCol w:w="60"/>
        <w:gridCol w:w="60"/>
        <w:gridCol w:w="125"/>
        <w:gridCol w:w="695"/>
        <w:gridCol w:w="60"/>
        <w:gridCol w:w="60"/>
        <w:gridCol w:w="125"/>
        <w:gridCol w:w="695"/>
        <w:gridCol w:w="60"/>
      </w:tblGrid>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2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238"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investments</w:t>
            </w:r>
          </w:p>
        </w:tc>
        <w:tc>
          <w:tcPr>
            <w:tcW w:w="60" w:type="dxa"/>
            <w:tcBorders/>
            <w:shd w:fill="CCEEFF" w:val="clear"/>
            <w:vAlign w:val="center"/>
          </w:tcPr>
          <w:p>
            <w:pPr>
              <w:pStyle w:val="TableContents"/>
              <w:bidi w:val="0"/>
              <w:spacing w:before="0" w:after="283"/>
              <w:ind w:left="0" w:right="0" w:hanging="0"/>
              <w:jc w:val="left"/>
            </w:pPr>
            <w: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596,025</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investments</w:t>
            </w:r>
          </w:p>
        </w:tc>
        <w:tc>
          <w:tcPr>
            <w:tcW w:w="6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492"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4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14,732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16,648</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investments</w:t>
            </w:r>
          </w:p>
        </w:tc>
        <w:tc>
          <w:tcPr>
            <w:tcW w:w="6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ind w:left="0" w:right="0" w:hanging="0"/>
              <w:jc w:val="left"/>
            </w:pPr>
            <w:r>
              <w:t> </w:t>
            </w:r>
          </w:p>
        </w:tc>
        <w:tc>
          <w:tcPr>
            <w:tcW w:w="4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ind w:left="0" w:right="0" w:hanging="0"/>
              <w:jc w:val="left"/>
            </w:pPr>
            <w:r>
              <w:t> </w:t>
            </w:r>
          </w:p>
        </w:tc>
        <w:tc>
          <w:tcPr>
            <w:tcW w:w="492"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3,444</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investments</w:t>
            </w:r>
          </w:p>
        </w:tc>
        <w:tc>
          <w:tcPr>
            <w:tcW w:w="60" w:type="dxa"/>
            <w:tcBorders/>
            <w:shd w:fill="FFFFFF" w:val="clear"/>
            <w:vAlign w:val="center"/>
          </w:tcPr>
          <w:p>
            <w:pPr>
              <w:pStyle w:val="TableContents"/>
              <w:bidi w:val="0"/>
              <w:spacing w:before="0" w:after="283"/>
              <w:jc w:val="left"/>
            </w:pPr>
            <w: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CCEEFF" w:val="clear"/>
            <w:vAlign w:val="center"/>
          </w:tcPr>
          <w:p>
            <w:pPr>
              <w:pStyle w:val="TableContents"/>
              <w:bidi w:val="0"/>
              <w:spacing w:before="0" w:after="283"/>
              <w:ind w:left="0" w:right="0" w:hanging="0"/>
              <w:jc w:val="left"/>
            </w:pPr>
            <w: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641,340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647,244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tables provide a summary of quantitative information about the Company’s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of the Company’s investments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addition to the techniques and inputs noted in the table below, according to the Company’s valuation policy,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use other valuation techniques and methodologies when determining its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intended to be all-inclusive, but rather provides information on the significant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as they relate to the Company’s fair value measurements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9"/>
        <w:gridCol w:w="60"/>
        <w:gridCol w:w="110"/>
        <w:gridCol w:w="605"/>
        <w:gridCol w:w="60"/>
        <w:gridCol w:w="3142"/>
        <w:gridCol w:w="60"/>
        <w:gridCol w:w="2177"/>
        <w:gridCol w:w="60"/>
        <w:gridCol w:w="1127"/>
        <w:gridCol w:w="60"/>
        <w:gridCol w:w="146"/>
        <w:gridCol w:w="691"/>
        <w:gridCol w:w="188"/>
      </w:tblGrid>
      <w:tr>
        <w:tc>
          <w:tcPr>
            <w:tcW w:w="10017" w:type="dxa"/>
            <w:gridSpan w:val="13"/>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September 30, 2026</w:t>
            </w:r>
          </w:p>
        </w:tc>
        <w:tc>
          <w:tcPr>
            <w:tcW w:w="188" w:type="dxa"/>
            <w:tcBorders>
              <w:bottom w:val="single" w:sz="2" w:space="0" w:color="000000"/>
            </w:tcBorders>
            <w:shd w:fill="FFFFFF" w:val="cle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Fair</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142"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Valuation Techniques/</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2177"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Unobservable</w:t>
            </w:r>
          </w:p>
        </w:tc>
        <w:tc>
          <w:tcPr>
            <w:tcW w:w="60" w:type="dxa"/>
            <w:tcBorders/>
            <w:shd w:fill="FFFFFF" w:val="clear"/>
            <w:tcMar>
              <w:bottom w:w="0" w:type="dxa"/>
            </w:tcMar>
            <w:vAlign w:val="center"/>
          </w:tcPr>
          <w:p>
            <w:pPr>
              <w:pStyle w:val="TableContents"/>
              <w:bidi w:val="0"/>
              <w:spacing w:before="0" w:after="283"/>
              <w:jc w:val="left"/>
            </w:pPr>
            <w:r>
              <w:t> </w:t>
            </w:r>
          </w:p>
        </w:tc>
        <w:tc>
          <w:tcPr>
            <w:tcW w:w="1127" w:type="dxa"/>
            <w:tcBorders/>
            <w:shd w:fill="FFFFFF" w:val="clear"/>
            <w:tcMar>
              <w:bottom w:w="0" w:type="dxa"/>
            </w:tcMar>
            <w:vAlign w:val="center"/>
          </w:tcPr>
          <w:p>
            <w:pPr>
              <w:pStyle w:val="TableContents"/>
              <w:bidi w:val="0"/>
              <w:spacing w:before="0" w:after="283"/>
              <w:jc w:val="cente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7"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Weighted</w:t>
            </w:r>
          </w:p>
        </w:tc>
        <w:tc>
          <w:tcPr>
            <w:tcW w:w="188" w:type="dxa"/>
            <w:tcBorders/>
            <w:shd w:fill="FFFFFF" w:val="clear"/>
            <w:tcMar>
              <w:bottom w:w="0" w:type="dxa"/>
            </w:tcMar>
            <w:vAlign w:val="center"/>
          </w:tcPr>
          <w:p>
            <w:pPr>
              <w:pStyle w:val="TableContents"/>
              <w:bidi w:val="0"/>
              <w:spacing w:before="0" w:after="283"/>
              <w:jc w:val="left"/>
            </w:pPr>
            <w:r>
              <w:t> </w:t>
            </w:r>
          </w:p>
        </w:tc>
      </w:tr>
      <w:tr>
        <w:tc>
          <w:tcPr>
            <w:tcW w:w="1719"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 Type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Value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3142"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Methodologies</w:t>
            </w:r>
          </w:p>
        </w:tc>
        <w:tc>
          <w:tcPr>
            <w:tcW w:w="60" w:type="dxa"/>
            <w:tcBorders/>
            <w:shd w:fill="FFFFFF" w:val="clear"/>
            <w:tcMar>
              <w:bottom w:w="0" w:type="dxa"/>
            </w:tcMar>
            <w:vAlign w:val="center"/>
          </w:tcPr>
          <w:p>
            <w:pPr>
              <w:pStyle w:val="TableContents"/>
              <w:bidi w:val="0"/>
              <w:spacing w:before="0" w:after="283"/>
              <w:ind w:left="0" w:right="0" w:hanging="0"/>
              <w:jc w:val="center"/>
            </w:pPr>
            <w:r>
              <w:t> </w:t>
            </w:r>
          </w:p>
        </w:tc>
        <w:tc>
          <w:tcPr>
            <w:tcW w:w="2177"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Input</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127"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Range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7"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Average(1)</w:t>
            </w:r>
          </w:p>
        </w:tc>
        <w:tc>
          <w:tcPr>
            <w:tcW w:w="188" w:type="dxa"/>
            <w:tcBorders>
              <w:bottom w:val="single" w:sz="2" w:space="0" w:color="000000"/>
            </w:tcBorders>
            <w:shd w:fill="FFFFFF" w:val="cle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379" w:type="dxa"/>
            <w:gridSpan w:val="3"/>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(Dollars in thousands, except per share data)</w:t>
            </w:r>
          </w:p>
        </w:tc>
        <w:tc>
          <w:tcPr>
            <w:tcW w:w="60" w:type="dxa"/>
            <w:tcBorders/>
            <w:shd w:fill="FFFFFF" w:val="clear"/>
            <w:tcMar>
              <w:bottom w:w="0" w:type="dxa"/>
            </w:tcMar>
            <w:vAlign w:val="center"/>
          </w:tcPr>
          <w:p>
            <w:pPr>
              <w:pStyle w:val="TableContents"/>
              <w:bidi w:val="0"/>
              <w:spacing w:before="0" w:after="283"/>
              <w:jc w:val="left"/>
            </w:pPr>
            <w:r>
              <w:t> </w:t>
            </w:r>
          </w:p>
        </w:tc>
        <w:tc>
          <w:tcPr>
            <w:tcW w:w="1127"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jc w:val="left"/>
            </w:pPr>
            <w:r>
              <w:t> </w:t>
            </w:r>
          </w:p>
        </w:tc>
        <w:tc>
          <w:tcPr>
            <w:tcW w:w="691" w:type="dxa"/>
            <w:tcBorders/>
            <w:shd w:fill="FFFFFF" w:val="clear"/>
            <w:tcMar>
              <w:bottom w:w="0" w:type="dxa"/>
            </w:tcMar>
            <w:vAlign w:val="center"/>
          </w:tcPr>
          <w:p>
            <w:pPr>
              <w:pStyle w:val="TableContents"/>
              <w:bidi w:val="0"/>
              <w:spacing w:before="0" w:after="283"/>
              <w:jc w:val="center"/>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Debt investments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559,462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142"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Discounted Expected Future Cash Flows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Hypothetical Market Yield</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2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 – 25%</w:t>
            </w:r>
          </w:p>
        </w:tc>
        <w:tc>
          <w:tcPr>
            <w:tcW w:w="60" w:type="dxa"/>
            <w:tcBorders/>
            <w:shd w:fill="CCEEFF" w:val="clear"/>
            <w:tcMar>
              <w:bottom w:w="0" w:type="dxa"/>
            </w:tcMar>
            <w:vAlign w:val="center"/>
          </w:tcPr>
          <w:p>
            <w:pPr>
              <w:pStyle w:val="TableContents"/>
              <w:bidi w:val="0"/>
              <w:spacing w:before="0" w:after="283"/>
              <w:jc w:val="left"/>
            </w:pPr>
            <w:r>
              <w:t> </w:t>
            </w:r>
          </w:p>
        </w:tc>
        <w:tc>
          <w:tcPr>
            <w:tcW w:w="146" w:type="dxa"/>
            <w:tcBorders/>
            <w:shd w:fill="CCEEFF" w:val="clear"/>
            <w:tcMar>
              <w:bottom w:w="0" w:type="dxa"/>
            </w:tcMar>
            <w:vAlign w:val="center"/>
          </w:tcPr>
          <w:p>
            <w:pPr>
              <w:pStyle w:val="TableContents"/>
              <w:bidi w:val="0"/>
              <w:spacing w:before="0" w:after="283"/>
              <w:ind w:left="0" w:right="0" w:hanging="0"/>
              <w:jc w:val="left"/>
            </w:pPr>
            <w:r>
              <w:t> </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4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7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27"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jc w:val="left"/>
            </w:pPr>
            <w:r>
              <w:t> </w:t>
            </w:r>
          </w:p>
        </w:tc>
        <w:tc>
          <w:tcPr>
            <w:tcW w:w="691"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jc w:val="left"/>
            </w:pPr>
            <w: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61,760</w:t>
            </w:r>
          </w:p>
        </w:tc>
        <w:tc>
          <w:tcPr>
            <w:tcW w:w="60" w:type="dxa"/>
            <w:tcBorders/>
            <w:shd w:fill="CCEEFF" w:val="clear"/>
            <w:tcMar>
              <w:bottom w:w="0" w:type="dxa"/>
            </w:tcMar>
            <w:vAlign w:val="center"/>
          </w:tcPr>
          <w:p>
            <w:pPr>
              <w:pStyle w:val="TableContents"/>
              <w:bidi w:val="0"/>
              <w:spacing w:before="0" w:after="283"/>
              <w:jc w:val="left"/>
            </w:pPr>
            <w:r>
              <w:t> </w:t>
            </w:r>
          </w:p>
        </w:tc>
        <w:tc>
          <w:tcPr>
            <w:tcW w:w="3142"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sz w:val="18"/>
              </w:rPr>
              <w:t>Multiple Probability Weighted Cash Flow Model</w:t>
            </w:r>
          </w:p>
        </w:tc>
        <w:tc>
          <w:tcPr>
            <w:tcW w:w="60" w:type="dxa"/>
            <w:tcBorders/>
            <w:shd w:fill="CCEEFF" w:val="clear"/>
            <w:tcMar>
              <w:bottom w:w="0" w:type="dxa"/>
            </w:tcMar>
            <w:vAlign w:val="center"/>
          </w:tcPr>
          <w:p>
            <w:pPr>
              <w:pStyle w:val="TableContents"/>
              <w:bidi w:val="0"/>
              <w:spacing w:before="0" w:after="283"/>
              <w:jc w:val="left"/>
            </w:pPr>
            <w:r>
              <w:t> </w:t>
            </w:r>
          </w:p>
        </w:tc>
        <w:tc>
          <w:tcPr>
            <w:tcW w:w="21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sz w:val="18"/>
              </w:rPr>
              <w:t>Probability Weighting</w:t>
            </w:r>
          </w:p>
        </w:tc>
        <w:tc>
          <w:tcPr>
            <w:tcW w:w="60" w:type="dxa"/>
            <w:tcBorders/>
            <w:shd w:fill="CCEEFF" w:val="clear"/>
            <w:tcMar>
              <w:bottom w:w="0" w:type="dxa"/>
            </w:tcMar>
            <w:vAlign w:val="center"/>
          </w:tcPr>
          <w:p>
            <w:pPr>
              <w:pStyle w:val="TableContents"/>
              <w:bidi w:val="0"/>
              <w:spacing w:before="0" w:after="283"/>
              <w:jc w:val="left"/>
            </w:pPr>
            <w:r>
              <w:t> </w:t>
            </w:r>
          </w:p>
        </w:tc>
        <w:tc>
          <w:tcPr>
            <w:tcW w:w="112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 – 100%</w:t>
            </w:r>
          </w:p>
        </w:tc>
        <w:tc>
          <w:tcPr>
            <w:tcW w:w="60" w:type="dxa"/>
            <w:tcBorders/>
            <w:shd w:fill="CCEEFF" w:val="clear"/>
            <w:tcMar>
              <w:bottom w:w="0" w:type="dxa"/>
            </w:tcMar>
            <w:vAlign w:val="center"/>
          </w:tcPr>
          <w:p>
            <w:pPr>
              <w:pStyle w:val="TableContents"/>
              <w:bidi w:val="0"/>
              <w:spacing w:before="0" w:after="283"/>
              <w:jc w:val="left"/>
            </w:pPr>
            <w:r>
              <w:t> </w:t>
            </w:r>
          </w:p>
        </w:tc>
        <w:tc>
          <w:tcPr>
            <w:tcW w:w="146" w:type="dxa"/>
            <w:tcBorders/>
            <w:shd w:fill="CCEEFF" w:val="clear"/>
            <w:tcMar>
              <w:bottom w:w="0" w:type="dxa"/>
            </w:tcMar>
            <w:vAlign w:val="center"/>
          </w:tcPr>
          <w:p>
            <w:pPr>
              <w:pStyle w:val="TableContents"/>
              <w:bidi w:val="0"/>
              <w:spacing w:before="0" w:after="283"/>
              <w:jc w:val="left"/>
            </w:pPr>
            <w:r>
              <w:t> </w:t>
            </w:r>
          </w:p>
        </w:tc>
        <w:tc>
          <w:tcPr>
            <w:tcW w:w="69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4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7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27"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jc w:val="left"/>
            </w:pPr>
            <w:r>
              <w:t> </w:t>
            </w:r>
          </w:p>
        </w:tc>
        <w:tc>
          <w:tcPr>
            <w:tcW w:w="691"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Warrant investments</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ind w:left="0" w:right="0" w:hanging="0"/>
              <w:jc w:val="left"/>
            </w:pPr>
            <w: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11,240</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142"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Black-Scholes Valuation Model</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Asset Value Per Share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2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$0.00 – $807.91</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4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12.61</w:t>
            </w:r>
          </w:p>
        </w:tc>
        <w:tc>
          <w:tcPr>
            <w:tcW w:w="188"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3142"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77"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Average Industry Volatility</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127"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24%</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ind w:left="0" w:right="0" w:hanging="0"/>
              <w:jc w:val="left"/>
            </w:pPr>
            <w: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p>
        </w:tc>
        <w:tc>
          <w:tcPr>
            <w:tcW w:w="1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7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jc w:val="left"/>
            </w:pPr>
            <w:r>
              <w:t> </w:t>
            </w:r>
          </w:p>
        </w:tc>
        <w:tc>
          <w:tcPr>
            <w:tcW w:w="60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3142"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Marketability Discount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2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 – 20%</w:t>
            </w:r>
          </w:p>
        </w:tc>
        <w:tc>
          <w:tcPr>
            <w:tcW w:w="60" w:type="dxa"/>
            <w:tcBorders/>
            <w:shd w:fill="CCEEFF" w:val="clear"/>
            <w:tcMar>
              <w:bottom w:w="0" w:type="dxa"/>
            </w:tcMar>
            <w:vAlign w:val="center"/>
          </w:tcPr>
          <w:p>
            <w:pPr>
              <w:pStyle w:val="TableContents"/>
              <w:bidi w:val="0"/>
              <w:spacing w:before="0" w:after="283"/>
              <w:jc w:val="left"/>
            </w:pPr>
            <w:r>
              <w:t> </w:t>
            </w:r>
          </w:p>
        </w:tc>
        <w:tc>
          <w:tcPr>
            <w:tcW w:w="146" w:type="dxa"/>
            <w:tcBorders/>
            <w:shd w:fill="CCEEFF" w:val="clear"/>
            <w:tcMar>
              <w:bottom w:w="0" w:type="dxa"/>
            </w:tcMar>
            <w:vAlign w:val="center"/>
          </w:tcPr>
          <w:p>
            <w:pPr>
              <w:pStyle w:val="TableContents"/>
              <w:bidi w:val="0"/>
              <w:spacing w:before="0" w:after="283"/>
              <w:ind w:left="0" w:right="0" w:hanging="0"/>
              <w:jc w:val="left"/>
            </w:pPr>
            <w:r>
              <w:t> </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3142" w:type="dxa"/>
            <w:tcBorders/>
            <w:shd w:fill="FFFF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77"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Estimated Time to Exit (in years)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12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 to 5</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ind w:left="0" w:right="0" w:hanging="0"/>
              <w:jc w:val="left"/>
            </w:pPr>
            <w: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188"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jc w:val="left"/>
            </w:pPr>
            <w:r>
              <w:t> </w:t>
            </w:r>
          </w:p>
        </w:tc>
        <w:tc>
          <w:tcPr>
            <w:tcW w:w="60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42"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77"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27"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6" w:type="dxa"/>
            <w:tcBorders/>
            <w:shd w:fill="CCEEFF" w:val="clear"/>
            <w:tcMar>
              <w:bottom w:w="0" w:type="dxa"/>
            </w:tcMar>
            <w:vAlign w:val="center"/>
          </w:tcPr>
          <w:p>
            <w:pPr>
              <w:pStyle w:val="TableContents"/>
              <w:bidi w:val="0"/>
              <w:spacing w:before="0" w:after="283"/>
              <w:jc w:val="left"/>
            </w:pPr>
            <w:r>
              <w:t> </w:t>
            </w:r>
          </w:p>
        </w:tc>
        <w:tc>
          <w:tcPr>
            <w:tcW w:w="691" w:type="dxa"/>
            <w:tcBorders/>
            <w:shd w:fill="CCEEFF" w:val="clear"/>
            <w:tcMar>
              <w:bottom w:w="0" w:type="dxa"/>
            </w:tcMar>
            <w:vAlign w:val="center"/>
          </w:tcPr>
          <w:p>
            <w:pPr>
              <w:pStyle w:val="TableContents"/>
              <w:bidi w:val="0"/>
              <w:spacing w:before="0" w:after="283"/>
              <w:jc w:val="left"/>
            </w:pPr>
            <w:r>
              <w:t> </w:t>
            </w:r>
          </w:p>
        </w:tc>
        <w:tc>
          <w:tcPr>
            <w:tcW w:w="188"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investments</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ind w:left="0" w:right="0" w:hanging="0"/>
              <w:jc w:val="left"/>
            </w:pPr>
            <w: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3,355</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142"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Multiple Probability Weighted Cash Flow Model</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77"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Discount Rate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127"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 – 100%</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ind w:left="0" w:right="0" w:hanging="0"/>
              <w:jc w:val="left"/>
            </w:pPr>
            <w: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w:t>
            </w:r>
          </w:p>
        </w:tc>
        <w:tc>
          <w:tcPr>
            <w:tcW w:w="1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7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jc w:val="left"/>
            </w:pPr>
            <w:r>
              <w:t> </w:t>
            </w:r>
          </w:p>
        </w:tc>
        <w:tc>
          <w:tcPr>
            <w:tcW w:w="60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3142" w:type="dxa"/>
            <w:tcBorders/>
            <w:shd w:fill="CCEEFF" w:val="clear"/>
            <w:tcMar>
              <w:bottom w:w="0" w:type="dxa"/>
            </w:tcMar>
            <w:vAlign w:val="center"/>
          </w:tcPr>
          <w:p>
            <w:pPr>
              <w:pStyle w:val="TableContents"/>
              <w:bidi w:val="0"/>
              <w:spacing w:before="0" w:after="283"/>
              <w:ind w:left="0" w:right="0" w:hanging="0"/>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Probability Weighting</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2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100%</w:t>
            </w:r>
          </w:p>
        </w:tc>
        <w:tc>
          <w:tcPr>
            <w:tcW w:w="60" w:type="dxa"/>
            <w:tcBorders/>
            <w:shd w:fill="CCEEFF" w:val="clear"/>
            <w:tcMar>
              <w:bottom w:w="0" w:type="dxa"/>
            </w:tcMar>
            <w:vAlign w:val="center"/>
          </w:tcPr>
          <w:p>
            <w:pPr>
              <w:pStyle w:val="TableContents"/>
              <w:bidi w:val="0"/>
              <w:spacing w:before="0" w:after="283"/>
              <w:jc w:val="left"/>
            </w:pPr>
            <w:r>
              <w:t> </w:t>
            </w:r>
          </w:p>
        </w:tc>
        <w:tc>
          <w:tcPr>
            <w:tcW w:w="146" w:type="dxa"/>
            <w:tcBorders/>
            <w:shd w:fill="CCEEFF" w:val="clear"/>
            <w:tcMar>
              <w:bottom w:w="0" w:type="dxa"/>
            </w:tcMar>
            <w:vAlign w:val="center"/>
          </w:tcPr>
          <w:p>
            <w:pPr>
              <w:pStyle w:val="TableContents"/>
              <w:bidi w:val="0"/>
              <w:spacing w:before="0" w:after="283"/>
              <w:ind w:left="0" w:right="0" w:hanging="0"/>
              <w:jc w:val="left"/>
            </w:pPr>
            <w:r>
              <w:t> </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4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7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27"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jc w:val="left"/>
            </w:pPr>
            <w:r>
              <w:t> </w:t>
            </w:r>
          </w:p>
        </w:tc>
        <w:tc>
          <w:tcPr>
            <w:tcW w:w="691"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Equity investments</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ind w:left="0" w:right="0" w:hanging="0"/>
              <w:jc w:val="left"/>
            </w:pPr>
            <w: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1,628</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142"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Last Equity Financing</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Asset Value Per Share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2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$0.24 – $215.03</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4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117.72</w:t>
            </w:r>
          </w:p>
        </w:tc>
        <w:tc>
          <w:tcPr>
            <w:tcW w:w="188" w:type="dxa"/>
            <w:tcBorders/>
            <w:shd w:fill="CCEEFF" w:val="clear"/>
            <w:tcMar>
              <w:bottom w:w="0" w:type="dxa"/>
            </w:tcMar>
            <w:vAlign w:val="center"/>
          </w:tcPr>
          <w:p>
            <w:pPr>
              <w:pStyle w:val="TableContents"/>
              <w:bidi w:val="0"/>
              <w:spacing w:before="0" w:after="283"/>
              <w:jc w:val="left"/>
            </w:pPr>
            <w:r>
              <w:t> </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4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7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27"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jc w:val="left"/>
            </w:pPr>
            <w:r>
              <w:t> </w:t>
            </w:r>
          </w:p>
        </w:tc>
        <w:tc>
          <w:tcPr>
            <w:tcW w:w="691"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3142"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Scenario Model</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77"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Probability Weighting</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27" w:type="dxa"/>
            <w:tcBorders/>
            <w:shd w:fill="CCEE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18"/>
              </w:rPr>
              <w:t>100%</w:t>
            </w:r>
          </w:p>
        </w:tc>
        <w:tc>
          <w:tcPr>
            <w:tcW w:w="60" w:type="dxa"/>
            <w:tcBorders/>
            <w:shd w:fill="CCEEFF" w:val="clear"/>
            <w:tcMar>
              <w:bottom w:w="0" w:type="dxa"/>
            </w:tcMar>
            <w:vAlign w:val="center"/>
          </w:tcPr>
          <w:p>
            <w:pPr>
              <w:pStyle w:val="TableContents"/>
              <w:bidi w:val="0"/>
              <w:spacing w:before="0" w:after="283"/>
              <w:jc w:val="left"/>
            </w:pPr>
            <w:r>
              <w:t> </w:t>
            </w:r>
          </w:p>
        </w:tc>
        <w:tc>
          <w:tcPr>
            <w:tcW w:w="146" w:type="dxa"/>
            <w:tcBorders/>
            <w:shd w:fill="CCEEFF" w:val="clear"/>
            <w:tcMar>
              <w:bottom w:w="0" w:type="dxa"/>
            </w:tcMar>
            <w:vAlign w:val="center"/>
          </w:tcPr>
          <w:p>
            <w:pPr>
              <w:pStyle w:val="TableContents"/>
              <w:bidi w:val="0"/>
              <w:spacing w:before="0" w:after="283"/>
              <w:ind w:left="0" w:right="0" w:hanging="0"/>
              <w:jc w:val="left"/>
            </w:pPr>
            <w:r>
              <w:t> </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719"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42"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77"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27"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6" w:type="dxa"/>
            <w:tcBorders/>
            <w:shd w:fill="FFFFFF" w:val="clear"/>
            <w:tcMar>
              <w:bottom w:w="0" w:type="dxa"/>
            </w:tcMar>
            <w:vAlign w:val="center"/>
          </w:tcPr>
          <w:p>
            <w:pPr>
              <w:pStyle w:val="TableContents"/>
              <w:bidi w:val="0"/>
              <w:spacing w:before="0" w:after="283"/>
              <w:jc w:val="left"/>
            </w:pPr>
            <w:r>
              <w:t> </w:t>
            </w:r>
          </w:p>
        </w:tc>
        <w:tc>
          <w:tcPr>
            <w:tcW w:w="691"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7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Level 3 investments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637,445</w:t>
            </w:r>
          </w:p>
        </w:tc>
        <w:tc>
          <w:tcPr>
            <w:tcW w:w="60" w:type="dxa"/>
            <w:tcBorders>
              <w:bottom w:val="double" w:sz="6" w:space="0" w:color="000000"/>
            </w:tcBorders>
            <w:shd w:fill="CCEEFF" w:val="clear"/>
            <w:vAlign w:val="center"/>
          </w:tcPr>
          <w:p>
            <w:pPr>
              <w:pStyle w:val="TableContents"/>
              <w:bidi w:val="0"/>
              <w:spacing w:before="0" w:after="283"/>
              <w:jc w:val="left"/>
            </w:pPr>
            <w:r>
              <w:t> </w:t>
            </w:r>
          </w:p>
        </w:tc>
        <w:tc>
          <w:tcPr>
            <w:tcW w:w="3142"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2177"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1127"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146" w:type="dxa"/>
            <w:tcBorders/>
            <w:shd w:fill="CCEEFF" w:val="clear"/>
            <w:tcMar>
              <w:bottom w:w="0" w:type="dxa"/>
            </w:tcMar>
            <w:vAlign w:val="center"/>
          </w:tcPr>
          <w:p>
            <w:pPr>
              <w:pStyle w:val="TableContents"/>
              <w:bidi w:val="0"/>
              <w:spacing w:before="0" w:after="283"/>
              <w:jc w:val="left"/>
            </w:pPr>
            <w:r>
              <w:t> </w:t>
            </w:r>
          </w:p>
        </w:tc>
        <w:tc>
          <w:tcPr>
            <w:tcW w:w="691" w:type="dxa"/>
            <w:tcBorders/>
            <w:shd w:fill="CCEEFF" w:val="clear"/>
            <w:tcMar>
              <w:bottom w:w="0" w:type="dxa"/>
            </w:tcMar>
            <w:vAlign w:val="center"/>
          </w:tcPr>
          <w:p>
            <w:pPr>
              <w:pStyle w:val="TableContents"/>
              <w:bidi w:val="0"/>
              <w:spacing w:before="0" w:after="283"/>
              <w:jc w:val="right"/>
            </w:pPr>
            <w:r>
              <w:rPr>
                <w:rStyle w:val="Emphasis"/>
              </w:rPr>
              <w:t> </w:t>
            </w:r>
          </w:p>
        </w:tc>
        <w:tc>
          <w:tcPr>
            <w:tcW w:w="188"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181"/>
        <w:gridCol w:w="10024"/>
      </w:tblGrid>
      <w:tr>
        <w:tc>
          <w:tcPr>
            <w:tcW w:w="181"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24"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20"/>
              </w:rPr>
              <w:t>Weighted average is calculated by multiplying (a) the unobservable input for each investment in the investment type by (b)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the fair value of the related investment in the investment type divided by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the total fair value of the investment type.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intended to be all-inclusive, but rather provides information on the significant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as they relate to the Company’s fair value measurements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94"/>
        <w:gridCol w:w="60"/>
        <w:gridCol w:w="110"/>
        <w:gridCol w:w="605"/>
        <w:gridCol w:w="60"/>
        <w:gridCol w:w="3081"/>
        <w:gridCol w:w="60"/>
        <w:gridCol w:w="2143"/>
        <w:gridCol w:w="60"/>
        <w:gridCol w:w="1251"/>
        <w:gridCol w:w="60"/>
        <w:gridCol w:w="145"/>
        <w:gridCol w:w="688"/>
        <w:gridCol w:w="188"/>
      </w:tblGrid>
      <w:tr>
        <w:tc>
          <w:tcPr>
            <w:tcW w:w="10017" w:type="dxa"/>
            <w:gridSpan w:val="13"/>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December 31, 2025</w:t>
            </w:r>
          </w:p>
        </w:tc>
        <w:tc>
          <w:tcPr>
            <w:tcW w:w="188" w:type="dxa"/>
            <w:tcBorders>
              <w:bottom w:val="single" w:sz="2" w:space="0" w:color="000000"/>
            </w:tcBorders>
            <w:shd w:fill="FFFFFF" w:val="clear"/>
            <w:vAlign w:val="center"/>
          </w:tcPr>
          <w:p>
            <w:pPr>
              <w:pStyle w:val="TableContents"/>
              <w:bidi w:val="0"/>
              <w:spacing w:before="0" w:after="283"/>
              <w:jc w:val="left"/>
            </w:pPr>
            <w:r>
              <w:t> </w:t>
            </w:r>
          </w:p>
        </w:tc>
      </w:tr>
      <w:tr>
        <w:tc>
          <w:tcPr>
            <w:tcW w:w="169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Fair</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081"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Valuation Techniques/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43" w:type="dxa"/>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Unobservable</w:t>
            </w:r>
          </w:p>
        </w:tc>
        <w:tc>
          <w:tcPr>
            <w:tcW w:w="60" w:type="dxa"/>
            <w:tcBorders/>
            <w:shd w:fill="FFFFFF" w:val="clear"/>
            <w:tcMar>
              <w:bottom w:w="0" w:type="dxa"/>
            </w:tcMar>
            <w:vAlign w:val="center"/>
          </w:tcPr>
          <w:p>
            <w:pPr>
              <w:pStyle w:val="TableContents"/>
              <w:bidi w:val="0"/>
              <w:spacing w:before="0" w:after="283"/>
              <w:jc w:val="left"/>
            </w:pPr>
            <w:r>
              <w:t> </w:t>
            </w:r>
          </w:p>
        </w:tc>
        <w:tc>
          <w:tcPr>
            <w:tcW w:w="1251" w:type="dxa"/>
            <w:tcBorders/>
            <w:shd w:fill="FFFFFF" w:val="clear"/>
            <w:tcMar>
              <w:bottom w:w="0" w:type="dxa"/>
            </w:tcMar>
            <w:vAlign w:val="center"/>
          </w:tcPr>
          <w:p>
            <w:pPr>
              <w:pStyle w:val="TableContents"/>
              <w:bidi w:val="0"/>
              <w:spacing w:before="0" w:after="283"/>
              <w:jc w:val="cente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3"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Weighted</w:t>
            </w:r>
          </w:p>
        </w:tc>
        <w:tc>
          <w:tcPr>
            <w:tcW w:w="188" w:type="dxa"/>
            <w:tcBorders/>
            <w:shd w:fill="FFFFFF" w:val="clear"/>
            <w:tcMar>
              <w:bottom w:w="0" w:type="dxa"/>
            </w:tcMar>
            <w:vAlign w:val="center"/>
          </w:tcPr>
          <w:p>
            <w:pPr>
              <w:pStyle w:val="TableContents"/>
              <w:bidi w:val="0"/>
              <w:spacing w:before="0" w:after="283"/>
              <w:jc w:val="left"/>
            </w:pPr>
            <w:r>
              <w:t> </w:t>
            </w:r>
          </w:p>
        </w:tc>
      </w:tr>
      <w:tr>
        <w:tc>
          <w:tcPr>
            <w:tcW w:w="1694"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 Type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Value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3081"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Methodologies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43"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Input</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51"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Range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33"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Average(1)</w:t>
            </w:r>
          </w:p>
        </w:tc>
        <w:tc>
          <w:tcPr>
            <w:tcW w:w="188" w:type="dxa"/>
            <w:tcBorders>
              <w:bottom w:val="single" w:sz="2" w:space="0" w:color="000000"/>
            </w:tcBorders>
            <w:shd w:fill="FFFFFF" w:val="clear"/>
            <w:vAlign w:val="center"/>
          </w:tcPr>
          <w:p>
            <w:pPr>
              <w:pStyle w:val="TableContents"/>
              <w:bidi w:val="0"/>
              <w:spacing w:before="0" w:after="283"/>
              <w:jc w:val="left"/>
            </w:pPr>
            <w:r>
              <w:t> </w:t>
            </w:r>
          </w:p>
        </w:tc>
      </w:tr>
      <w:tr>
        <w:tc>
          <w:tcPr>
            <w:tcW w:w="169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5284" w:type="dxa"/>
            <w:gridSpan w:val="3"/>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(Dollars in thousands, except per share data)</w:t>
            </w:r>
          </w:p>
        </w:tc>
        <w:tc>
          <w:tcPr>
            <w:tcW w:w="60" w:type="dxa"/>
            <w:tcBorders/>
            <w:shd w:fill="FFFFFF" w:val="clear"/>
            <w:tcMar>
              <w:bottom w:w="0" w:type="dxa"/>
            </w:tcMar>
            <w:vAlign w:val="center"/>
          </w:tcPr>
          <w:p>
            <w:pPr>
              <w:pStyle w:val="TableContents"/>
              <w:bidi w:val="0"/>
              <w:spacing w:before="0" w:after="283"/>
              <w:jc w:val="left"/>
            </w:pPr>
            <w:r>
              <w:t> </w:t>
            </w:r>
          </w:p>
        </w:tc>
        <w:tc>
          <w:tcPr>
            <w:tcW w:w="1251"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jc w:val="left"/>
            </w:pPr>
            <w:r>
              <w:t> </w:t>
            </w:r>
          </w:p>
        </w:tc>
        <w:tc>
          <w:tcPr>
            <w:tcW w:w="688" w:type="dxa"/>
            <w:tcBorders/>
            <w:shd w:fill="FFFFFF" w:val="clear"/>
            <w:tcMar>
              <w:bottom w:w="0" w:type="dxa"/>
            </w:tcMar>
            <w:vAlign w:val="center"/>
          </w:tcPr>
          <w:p>
            <w:pPr>
              <w:pStyle w:val="TableContents"/>
              <w:bidi w:val="0"/>
              <w:spacing w:before="0" w:after="283"/>
              <w:jc w:val="center"/>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Debt investments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558,294</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081"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Discounted Expected Future Cash Flows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Hypothetical Market Yield</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 – 20%</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69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08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51"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jc w:val="left"/>
            </w:pPr>
            <w:r>
              <w:t> </w:t>
            </w:r>
          </w:p>
        </w:tc>
        <w:tc>
          <w:tcPr>
            <w:tcW w:w="688"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69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ind w:left="0" w:right="0" w:hanging="0"/>
              <w:jc w:val="left"/>
            </w:pPr>
            <w: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37,731</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081"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Multiple Probability Weighted Cash Flow Model</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Probability Weighting</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30% – 100%</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69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08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51"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jc w:val="left"/>
            </w:pPr>
            <w:r>
              <w:t> </w:t>
            </w:r>
          </w:p>
        </w:tc>
        <w:tc>
          <w:tcPr>
            <w:tcW w:w="688"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Warrant investments</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ind w:left="0" w:right="0" w:hanging="0"/>
              <w:jc w:val="left"/>
            </w:pPr>
            <w: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14,732</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081"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Black-Scholes Valuation Model</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Asset Value Per Share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5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$0.00 – $807.91</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13.72</w:t>
            </w:r>
          </w:p>
        </w:tc>
        <w:tc>
          <w:tcPr>
            <w:tcW w:w="188" w:type="dxa"/>
            <w:tcBorders/>
            <w:shd w:fill="CCEEFF" w:val="clear"/>
            <w:tcMar>
              <w:bottom w:w="0" w:type="dxa"/>
            </w:tcMar>
            <w:vAlign w:val="center"/>
          </w:tcPr>
          <w:p>
            <w:pPr>
              <w:pStyle w:val="TableContents"/>
              <w:bidi w:val="0"/>
              <w:spacing w:before="0" w:after="283"/>
              <w:jc w:val="left"/>
            </w:pPr>
            <w:r>
              <w:t> </w:t>
            </w:r>
          </w:p>
        </w:tc>
      </w:tr>
      <w:tr>
        <w:tc>
          <w:tcPr>
            <w:tcW w:w="169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3081"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43"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Average Industry Volatility</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5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24%</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p>
        </w:tc>
        <w:tc>
          <w:tcPr>
            <w:tcW w:w="1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69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jc w:val="left"/>
            </w:pPr>
            <w:r>
              <w:t> </w:t>
            </w:r>
          </w:p>
        </w:tc>
        <w:tc>
          <w:tcPr>
            <w:tcW w:w="60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3081"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Marketability Discount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0 – 20%</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69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3081" w:type="dxa"/>
            <w:tcBorders/>
            <w:shd w:fill="FFFFFF" w:val="clear"/>
            <w:tcMar>
              <w:bottom w:w="0" w:type="dxa"/>
            </w:tcMar>
            <w:vAlign w:val="center"/>
          </w:tcPr>
          <w:p>
            <w:pPr>
              <w:pStyle w:val="TableContents"/>
              <w:bidi w:val="0"/>
              <w:spacing w:before="0" w:after="283"/>
              <w:jc w:val="left"/>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43"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Estimated Time to Exit (in years)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5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 to 5</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188" w:type="dxa"/>
            <w:tcBorders/>
            <w:shd w:fill="FFFFFF" w:val="clear"/>
            <w:tcMar>
              <w:bottom w:w="0" w:type="dxa"/>
            </w:tcMar>
            <w:vAlign w:val="center"/>
          </w:tcPr>
          <w:p>
            <w:pPr>
              <w:pStyle w:val="TableContents"/>
              <w:bidi w:val="0"/>
              <w:spacing w:before="0" w:after="283"/>
              <w:jc w:val="left"/>
            </w:pPr>
            <w:r>
              <w:t> </w:t>
            </w:r>
          </w:p>
        </w:tc>
      </w:tr>
      <w:tr>
        <w:tc>
          <w:tcPr>
            <w:tcW w:w="169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jc w:val="left"/>
            </w:pPr>
            <w:r>
              <w:t> </w:t>
            </w:r>
          </w:p>
        </w:tc>
        <w:tc>
          <w:tcPr>
            <w:tcW w:w="60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081"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43"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51"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jc w:val="left"/>
            </w:pPr>
            <w:r>
              <w:t> </w:t>
            </w:r>
          </w:p>
        </w:tc>
        <w:tc>
          <w:tcPr>
            <w:tcW w:w="688" w:type="dxa"/>
            <w:tcBorders/>
            <w:shd w:fill="CCEEFF" w:val="clear"/>
            <w:tcMar>
              <w:bottom w:w="0" w:type="dxa"/>
            </w:tcMar>
            <w:vAlign w:val="center"/>
          </w:tcPr>
          <w:p>
            <w:pPr>
              <w:pStyle w:val="TableContents"/>
              <w:bidi w:val="0"/>
              <w:spacing w:before="0" w:after="283"/>
              <w:jc w:val="left"/>
            </w:pPr>
            <w:r>
              <w:t> </w:t>
            </w:r>
          </w:p>
        </w:tc>
        <w:tc>
          <w:tcPr>
            <w:tcW w:w="188" w:type="dxa"/>
            <w:tcBorders/>
            <w:shd w:fill="CCEEFF" w:val="clear"/>
            <w:tcMar>
              <w:bottom w:w="0" w:type="dxa"/>
            </w:tcMar>
            <w:vAlign w:val="center"/>
          </w:tcPr>
          <w:p>
            <w:pPr>
              <w:pStyle w:val="TableContents"/>
              <w:bidi w:val="0"/>
              <w:spacing w:before="0" w:after="283"/>
              <w:jc w:val="left"/>
            </w:pPr>
            <w:r>
              <w:t> </w:t>
            </w:r>
          </w:p>
        </w:tc>
      </w:tr>
      <w:tr>
        <w:tc>
          <w:tcPr>
            <w:tcW w:w="169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investments</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ind w:left="0" w:right="0" w:hanging="0"/>
              <w:jc w:val="left"/>
            </w:pPr>
            <w: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3,444</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081"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Multiple Probability Weighted Cash Flow Model</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43" w:type="dxa"/>
            <w:tcBorders/>
            <w:shd w:fill="FFFF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Discount Rate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5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20% – 100%</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ind w:left="0" w:right="0" w:hanging="0"/>
              <w:jc w:val="left"/>
            </w:pPr>
            <w:r>
              <w:t> </w:t>
            </w:r>
          </w:p>
        </w:tc>
        <w:tc>
          <w:tcPr>
            <w:tcW w:w="6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w:t>
            </w:r>
          </w:p>
        </w:tc>
        <w:tc>
          <w:tcPr>
            <w:tcW w:w="1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694"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jc w:val="left"/>
            </w:pPr>
            <w:r>
              <w:t> </w:t>
            </w:r>
          </w:p>
        </w:tc>
        <w:tc>
          <w:tcPr>
            <w:tcW w:w="605"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3081"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Probability Weighting</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0% – 100%</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pPr>
            <w:r>
              <w:t> </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69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08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5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jc w:val="left"/>
            </w:pPr>
            <w:r>
              <w:t> </w:t>
            </w:r>
          </w:p>
        </w:tc>
        <w:tc>
          <w:tcPr>
            <w:tcW w:w="688"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Equity investments</w:t>
            </w:r>
          </w:p>
        </w:tc>
        <w:tc>
          <w:tcPr>
            <w:tcW w:w="60" w:type="dxa"/>
            <w:tcBorders/>
            <w:shd w:fill="CCEEFF" w:val="clear"/>
            <w:tcMar>
              <w:bottom w:w="0" w:type="dxa"/>
            </w:tcMar>
            <w:vAlign w:val="center"/>
          </w:tcPr>
          <w:p>
            <w:pPr>
              <w:pStyle w:val="TableContents"/>
              <w:bidi w:val="0"/>
              <w:spacing w:before="0" w:after="283"/>
              <w:jc w:val="left"/>
            </w:pPr>
            <w:r>
              <w:t> </w:t>
            </w:r>
          </w:p>
        </w:tc>
        <w:tc>
          <w:tcPr>
            <w:tcW w:w="110" w:type="dxa"/>
            <w:tcBorders/>
            <w:shd w:fill="CCEEFF" w:val="clear"/>
            <w:tcMar>
              <w:bottom w:w="0" w:type="dxa"/>
            </w:tcMar>
            <w:vAlign w:val="center"/>
          </w:tcPr>
          <w:p>
            <w:pPr>
              <w:pStyle w:val="TableContents"/>
              <w:bidi w:val="0"/>
              <w:spacing w:before="0" w:after="283"/>
              <w:ind w:left="0" w:right="0" w:hanging="0"/>
              <w:jc w:val="left"/>
            </w:pPr>
            <w: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27,139</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081"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Last Equity Financing</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Asset Value Per Share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5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$0.06 – $1,000.00</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186.54</w:t>
            </w:r>
          </w:p>
        </w:tc>
        <w:tc>
          <w:tcPr>
            <w:tcW w:w="188" w:type="dxa"/>
            <w:tcBorders/>
            <w:shd w:fill="CCEEFF" w:val="clear"/>
            <w:tcMar>
              <w:bottom w:w="0" w:type="dxa"/>
            </w:tcMar>
            <w:vAlign w:val="center"/>
          </w:tcPr>
          <w:p>
            <w:pPr>
              <w:pStyle w:val="TableContents"/>
              <w:bidi w:val="0"/>
              <w:spacing w:before="0" w:after="283"/>
              <w:ind w:left="0" w:right="0" w:hanging="0"/>
              <w:jc w:val="left"/>
            </w:pPr>
            <w:r>
              <w:t> </w:t>
            </w:r>
          </w:p>
        </w:tc>
      </w:tr>
      <w:tr>
        <w:tc>
          <w:tcPr>
            <w:tcW w:w="1694" w:type="dxa"/>
            <w:tcBorders/>
            <w:shd w:fill="FFFFFF" w:val="clear"/>
            <w:tcMar>
              <w:bottom w:w="0" w:type="dxa"/>
            </w:tcM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110" w:type="dxa"/>
            <w:tcBorders/>
            <w:shd w:fill="FFFFFF" w:val="clear"/>
            <w:tcMar>
              <w:bottom w:w="0" w:type="dxa"/>
            </w:tcMar>
            <w:vAlign w:val="center"/>
          </w:tcPr>
          <w:p>
            <w:pPr>
              <w:pStyle w:val="TableContents"/>
              <w:bidi w:val="0"/>
              <w:spacing w:before="0" w:after="0"/>
              <w:ind w:left="0" w:right="0" w:hanging="0"/>
              <w:jc w:val="left"/>
            </w:pPr>
            <w:r>
              <w:t> </w:t>
            </w:r>
          </w:p>
        </w:tc>
        <w:tc>
          <w:tcPr>
            <w:tcW w:w="605" w:type="dxa"/>
            <w:tcBorders/>
            <w:shd w:fill="FFFFFF" w:val="clear"/>
            <w:tcMar>
              <w:bottom w:w="0" w:type="dxa"/>
            </w:tcM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3081" w:type="dxa"/>
            <w:tcBorders/>
            <w:shd w:fill="FFFFFF" w:val="clear"/>
            <w:tcMar>
              <w:bottom w:w="0" w:type="dxa"/>
            </w:tcM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2143" w:type="dxa"/>
            <w:tcBorders/>
            <w:shd w:fill="FFFFFF" w:val="clear"/>
            <w:tcMar>
              <w:bottom w:w="0" w:type="dxa"/>
            </w:tcM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1251" w:type="dxa"/>
            <w:tcBorders/>
            <w:shd w:fill="FFFFFF" w:val="clear"/>
            <w:tcMar>
              <w:bottom w:w="0" w:type="dxa"/>
            </w:tcMar>
            <w:vAlign w:val="center"/>
          </w:tcPr>
          <w:p>
            <w:pPr>
              <w:pStyle w:val="TableContents"/>
              <w:bidi w:val="0"/>
              <w:spacing w:before="0" w:after="0"/>
              <w:ind w:left="0" w:right="0" w:hanging="0"/>
              <w:jc w:val="center"/>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145" w:type="dxa"/>
            <w:tcBorders/>
            <w:shd w:fill="FFFFFF" w:val="clear"/>
            <w:tcMar>
              <w:bottom w:w="0" w:type="dxa"/>
            </w:tcMar>
            <w:vAlign w:val="center"/>
          </w:tcPr>
          <w:p>
            <w:pPr>
              <w:pStyle w:val="TableContents"/>
              <w:bidi w:val="0"/>
              <w:spacing w:before="0" w:after="0"/>
              <w:ind w:left="0" w:right="0" w:hanging="0"/>
              <w:jc w:val="left"/>
            </w:pPr>
            <w:r>
              <w:t> </w:t>
            </w:r>
          </w:p>
        </w:tc>
        <w:tc>
          <w:tcPr>
            <w:tcW w:w="688" w:type="dxa"/>
            <w:tcBorders/>
            <w:shd w:fill="FFFFFF" w:val="clear"/>
            <w:tcMar>
              <w:bottom w:w="0" w:type="dxa"/>
            </w:tcMar>
            <w:vAlign w:val="center"/>
          </w:tcPr>
          <w:p>
            <w:pPr>
              <w:pStyle w:val="TableContents"/>
              <w:bidi w:val="0"/>
              <w:spacing w:before="0" w:after="0"/>
              <w:ind w:left="0" w:right="0" w:hanging="0"/>
              <w:jc w:val="left"/>
            </w:pPr>
            <w:r>
              <w:t> </w:t>
            </w:r>
          </w:p>
        </w:tc>
        <w:tc>
          <w:tcPr>
            <w:tcW w:w="188" w:type="dxa"/>
            <w:tcBorders/>
            <w:shd w:fill="FFFFFF" w:val="clear"/>
            <w:tcMar>
              <w:bottom w:w="0" w:type="dxa"/>
            </w:tcMar>
            <w:vAlign w:val="center"/>
          </w:tcPr>
          <w:p>
            <w:pPr>
              <w:pStyle w:val="TableContents"/>
              <w:bidi w:val="0"/>
              <w:spacing w:before="0" w:after="0"/>
              <w:jc w:val="left"/>
            </w:pPr>
            <w:r>
              <w:t> </w:t>
            </w:r>
          </w:p>
        </w:tc>
      </w:tr>
      <w:tr>
        <w:tc>
          <w:tcPr>
            <w:tcW w:w="1694" w:type="dxa"/>
            <w:tcBorders/>
            <w:shd w:fill="CCEEFF" w:val="clear"/>
            <w:tcMar>
              <w:bottom w:w="0" w:type="dxa"/>
            </w:tcMar>
            <w:vAlign w:val="center"/>
          </w:tcPr>
          <w:p>
            <w:pPr>
              <w:pStyle w:val="TableContents"/>
              <w:bidi w:val="0"/>
              <w:spacing w:before="0" w:after="283"/>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5" w:type="dxa"/>
            <w:tcBorders>
              <w:bottom w:val="single" w:sz="2" w:space="0" w:color="000000"/>
            </w:tcBorders>
            <w:shd w:fill="CCEEFF" w:val="clear"/>
            <w:vAlign w:val="center"/>
          </w:tcPr>
          <w:p>
            <w:pPr>
              <w:pStyle w:val="TableContents"/>
              <w:bidi w:val="0"/>
              <w:spacing w:before="0" w:after="0"/>
              <w:ind w:left="0" w:right="0" w:hanging="0"/>
              <w:jc w:val="right"/>
            </w:pPr>
            <w:r>
              <w:t>—</w:t>
            </w:r>
          </w:p>
        </w:tc>
        <w:tc>
          <w:tcPr>
            <w:tcW w:w="60" w:type="dxa"/>
            <w:tcBorders>
              <w:bottom w:val="single" w:sz="2" w:space="0" w:color="000000"/>
            </w:tcBorders>
            <w:shd w:fill="CCEEFF" w:val="clear"/>
            <w:vAlign w:val="center"/>
          </w:tcPr>
          <w:p>
            <w:pPr>
              <w:pStyle w:val="TableContents"/>
              <w:bidi w:val="0"/>
              <w:spacing w:before="0" w:after="0"/>
              <w:jc w:val="left"/>
            </w:pPr>
            <w:r>
              <w:t> </w:t>
            </w:r>
          </w:p>
        </w:tc>
        <w:tc>
          <w:tcPr>
            <w:tcW w:w="3081"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sz w:val="18"/>
              </w:rPr>
              <w:t>Scenario Model</w:t>
            </w:r>
          </w:p>
        </w:tc>
        <w:tc>
          <w:tcPr>
            <w:tcW w:w="60" w:type="dxa"/>
            <w:tcBorders/>
            <w:shd w:fill="CCEEFF" w:val="clear"/>
            <w:tcMar>
              <w:bottom w:w="0" w:type="dxa"/>
            </w:tcMar>
            <w:vAlign w:val="center"/>
          </w:tcPr>
          <w:p>
            <w:pPr>
              <w:pStyle w:val="TableContents"/>
              <w:bidi w:val="0"/>
              <w:spacing w:before="0" w:after="283"/>
              <w:jc w:val="left"/>
            </w:pPr>
            <w:r>
              <w:t> </w:t>
            </w:r>
          </w:p>
        </w:tc>
        <w:tc>
          <w:tcPr>
            <w:tcW w:w="2143"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sz w:val="18"/>
              </w:rPr>
              <w:t>Probability Weighting</w:t>
            </w:r>
          </w:p>
        </w:tc>
        <w:tc>
          <w:tcPr>
            <w:tcW w:w="60" w:type="dxa"/>
            <w:tcBorders/>
            <w:shd w:fill="CCEEFF" w:val="clear"/>
            <w:tcMar>
              <w:bottom w:w="0" w:type="dxa"/>
            </w:tcMar>
            <w:vAlign w:val="center"/>
          </w:tcPr>
          <w:p>
            <w:pPr>
              <w:pStyle w:val="TableContents"/>
              <w:bidi w:val="0"/>
              <w:spacing w:before="0" w:after="283"/>
              <w:jc w:val="left"/>
            </w:pPr>
            <w:r>
              <w:t> </w:t>
            </w:r>
          </w:p>
        </w:tc>
        <w:tc>
          <w:tcPr>
            <w:tcW w:w="1251" w:type="dxa"/>
            <w:tcBorders/>
            <w:shd w:fill="CCEEFF" w:val="clear"/>
            <w:tcMar>
              <w:bottom w:w="0" w:type="dxa"/>
            </w:tcMar>
            <w:vAlign w:val="center"/>
          </w:tcPr>
          <w:p>
            <w:pPr>
              <w:pStyle w:val="TableContents"/>
              <w:bidi w:val="0"/>
              <w:spacing w:before="0" w:after="283"/>
              <w:jc w:val="center"/>
            </w:pPr>
            <w:r>
              <w:rPr>
                <w:rStyle w:val="Emphasis"/>
                <w:rFonts w:ascii="Times New Roman;Times;serif" w:hAnsi="Times New Roman;Times;serif"/>
                <w:sz w:val="18"/>
              </w:rPr>
              <w:t>100%</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jc w:val="left"/>
            </w:pPr>
            <w: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694"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10" w:type="dxa"/>
            <w:tcBorders/>
            <w:shd w:fill="FFFFFF" w:val="clear"/>
            <w:tcMar>
              <w:bottom w:w="0" w:type="dxa"/>
            </w:tcMar>
            <w:vAlign w:val="center"/>
          </w:tcPr>
          <w:p>
            <w:pPr>
              <w:pStyle w:val="TableContents"/>
              <w:bidi w:val="0"/>
              <w:spacing w:before="0" w:after="283"/>
              <w:jc w:val="left"/>
            </w:pPr>
            <w:r>
              <w:t> </w:t>
            </w:r>
          </w:p>
        </w:tc>
        <w:tc>
          <w:tcPr>
            <w:tcW w:w="60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081"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43"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51"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45" w:type="dxa"/>
            <w:tcBorders/>
            <w:shd w:fill="FFFFFF" w:val="clear"/>
            <w:tcMar>
              <w:bottom w:w="0" w:type="dxa"/>
            </w:tcMar>
            <w:vAlign w:val="center"/>
          </w:tcPr>
          <w:p>
            <w:pPr>
              <w:pStyle w:val="TableContents"/>
              <w:bidi w:val="0"/>
              <w:spacing w:before="0" w:after="283"/>
              <w:jc w:val="left"/>
            </w:pPr>
            <w:r>
              <w:t> </w:t>
            </w:r>
          </w:p>
        </w:tc>
        <w:tc>
          <w:tcPr>
            <w:tcW w:w="688" w:type="dxa"/>
            <w:tcBorders/>
            <w:shd w:fill="FFFFFF" w:val="clear"/>
            <w:tcMar>
              <w:bottom w:w="0" w:type="dxa"/>
            </w:tcMar>
            <w:vAlign w:val="center"/>
          </w:tcPr>
          <w:p>
            <w:pPr>
              <w:pStyle w:val="TableContents"/>
              <w:bidi w:val="0"/>
              <w:spacing w:before="0" w:after="283"/>
              <w:jc w:val="left"/>
            </w:pPr>
            <w:r>
              <w:t> </w:t>
            </w:r>
          </w:p>
        </w:tc>
        <w:tc>
          <w:tcPr>
            <w:tcW w:w="188" w:type="dxa"/>
            <w:tcBorders/>
            <w:shd w:fill="FFFFFF" w:val="clear"/>
            <w:tcMar>
              <w:bottom w:w="0" w:type="dxa"/>
            </w:tcMar>
            <w:vAlign w:val="center"/>
          </w:tcPr>
          <w:p>
            <w:pPr>
              <w:pStyle w:val="TableContents"/>
              <w:bidi w:val="0"/>
              <w:spacing w:before="0" w:after="283"/>
              <w:jc w:val="left"/>
            </w:pPr>
            <w:r>
              <w:t> </w:t>
            </w:r>
          </w:p>
        </w:tc>
      </w:tr>
      <w:tr>
        <w:tc>
          <w:tcPr>
            <w:tcW w:w="1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Level 3 investments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641,340</w:t>
            </w:r>
          </w:p>
        </w:tc>
        <w:tc>
          <w:tcPr>
            <w:tcW w:w="60" w:type="dxa"/>
            <w:tcBorders>
              <w:bottom w:val="double" w:sz="6" w:space="0" w:color="000000"/>
            </w:tcBorders>
            <w:shd w:fill="CCEEFF" w:val="clear"/>
            <w:vAlign w:val="center"/>
          </w:tcPr>
          <w:p>
            <w:pPr>
              <w:pStyle w:val="TableContents"/>
              <w:bidi w:val="0"/>
              <w:spacing w:before="0" w:after="283"/>
              <w:jc w:val="left"/>
            </w:pPr>
            <w:r>
              <w:t> </w:t>
            </w:r>
          </w:p>
        </w:tc>
        <w:tc>
          <w:tcPr>
            <w:tcW w:w="3081"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2143" w:type="dxa"/>
            <w:tcBorders/>
            <w:shd w:fill="CCEEFF" w:val="clear"/>
            <w:tcMar>
              <w:bottom w:w="0" w:type="dxa"/>
            </w:tcMar>
            <w:vAlign w:val="center"/>
          </w:tcPr>
          <w:p>
            <w:pPr>
              <w:pStyle w:val="TableContents"/>
              <w:bidi w:val="0"/>
              <w:spacing w:before="0" w:after="283"/>
              <w:jc w:val="lef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1251"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145" w:type="dxa"/>
            <w:tcBorders/>
            <w:shd w:fill="CCEEFF" w:val="clear"/>
            <w:tcMar>
              <w:bottom w:w="0" w:type="dxa"/>
            </w:tcMar>
            <w:vAlign w:val="center"/>
          </w:tcPr>
          <w:p>
            <w:pPr>
              <w:pStyle w:val="TableContents"/>
              <w:bidi w:val="0"/>
              <w:spacing w:before="0" w:after="283"/>
              <w:jc w:val="left"/>
            </w:pPr>
            <w:r>
              <w:t> </w:t>
            </w:r>
          </w:p>
        </w:tc>
        <w:tc>
          <w:tcPr>
            <w:tcW w:w="688" w:type="dxa"/>
            <w:tcBorders/>
            <w:shd w:fill="CCEEFF" w:val="clear"/>
            <w:tcMar>
              <w:bottom w:w="0" w:type="dxa"/>
            </w:tcMar>
            <w:vAlign w:val="center"/>
          </w:tcPr>
          <w:p>
            <w:pPr>
              <w:pStyle w:val="TableContents"/>
              <w:bidi w:val="0"/>
              <w:spacing w:before="0" w:after="283"/>
              <w:jc w:val="right"/>
            </w:pPr>
            <w:r>
              <w:rPr>
                <w:rStyle w:val="Emphasis"/>
              </w:rPr>
              <w:t> </w:t>
            </w:r>
          </w:p>
        </w:tc>
        <w:tc>
          <w:tcPr>
            <w:tcW w:w="188"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181"/>
        <w:gridCol w:w="10024"/>
      </w:tblGrid>
      <w:tr>
        <w:tc>
          <w:tcPr>
            <w:tcW w:w="181"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24"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20"/>
              </w:rPr>
              <w:t>Weighted average is calculated by multiplying (a) the unobservable input for each investment in the investment type by (b)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the fair value of the related investment in the investment type divided by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the total fair value of the investment type.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i/>
          <w:caps w:val="false"/>
          <w:smallCaps w:val="false"/>
          <w:sz w:val="20"/>
        </w:rPr>
        <w:t>Borrowings:</w:t>
      </w:r>
      <w:r>
        <w:rPr>
          <w:rFonts w:ascii="Times New Roman" w:hAnsi="Times New Roman"/>
          <w:caps w:val="false"/>
          <w:smallCaps w:val="false"/>
          <w:sz w:val="20"/>
        </w:rPr>
        <w:t xml:space="preserve"> The Credit Facilities approximate fair value due to the variable interest rate of the facilities and are categorized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within the fair value hierarchy described above. Additionally, the Company considers its creditworthiness in determining the fair value of such borrowings. The fair value of the fixed-rate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(as defined in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is based on the closing public share price on the date of measurement. On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closing price of 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on the New York Stock Exchange was $24.90 per note, and 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had an aggregate fair value of $57.3 million. Therefore, the Company has categorized the 2027 Notes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within the fair value hierarchy described above. Based on market yields on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the fair value of 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(as defined in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was $56.0 million. The 2028 Notes are categorized as Level </w:t>
      </w:r>
      <w:r>
        <w:rPr>
          <w:rStyle w:val="Emphasis"/>
          <w:rFonts w:ascii="Times New Roman" w:hAnsi="Times New Roman"/>
          <w:caps w:val="false"/>
          <w:smallCaps w:val="false"/>
          <w:sz w:val="20"/>
        </w:rPr>
        <w:t>3</w:t>
      </w:r>
      <w:r>
        <w:rPr>
          <w:rFonts w:ascii="Times New Roman" w:hAnsi="Times New Roman"/>
          <w:caps w:val="false"/>
          <w:smallCaps w:val="false"/>
          <w:sz w:val="20"/>
        </w:rPr>
        <w:t> within the fair value hierarchy described above. Based on market yields on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the fair value of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(as defined in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was $2.6 million.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are categorized as Level </w:t>
      </w:r>
      <w:r>
        <w:rPr>
          <w:rStyle w:val="Emphasis"/>
          <w:rFonts w:ascii="Times New Roman" w:hAnsi="Times New Roman"/>
          <w:caps w:val="false"/>
          <w:smallCaps w:val="false"/>
          <w:sz w:val="20"/>
        </w:rPr>
        <w:t>3</w:t>
      </w:r>
      <w:r>
        <w:rPr>
          <w:rFonts w:ascii="Times New Roman" w:hAnsi="Times New Roman"/>
          <w:caps w:val="false"/>
          <w:smallCaps w:val="false"/>
          <w:sz w:val="20"/>
        </w:rPr>
        <w:t> within the fair value hierarchy described above. Based on market yields on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the fair value of the </w:t>
      </w:r>
      <w:r>
        <w:rPr>
          <w:rStyle w:val="Emphasis"/>
          <w:rFonts w:ascii="Times New Roman" w:hAnsi="Times New Roman"/>
          <w:caps w:val="false"/>
          <w:smallCaps w:val="false"/>
          <w:sz w:val="20"/>
        </w:rPr>
        <w:t>2030</w:t>
      </w:r>
      <w:r>
        <w:rPr>
          <w:rFonts w:ascii="Times New Roman" w:hAnsi="Times New Roman"/>
          <w:caps w:val="false"/>
          <w:smallCaps w:val="false"/>
          <w:sz w:val="20"/>
        </w:rPr>
        <w:t> Convertible Notes (as defined in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was $15.7 million.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are categorized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described above. These borrowings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at 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i/>
          <w:caps w:val="false"/>
          <w:smallCaps w:val="false"/>
          <w:sz w:val="20"/>
        </w:rPr>
        <w:t>Off-balance-sheet instruments:</w:t>
      </w:r>
      <w:r>
        <w:rPr>
          <w:rFonts w:ascii="Times New Roman" w:hAnsi="Times New Roman"/>
          <w:caps w:val="false"/>
          <w:smallCaps w:val="false"/>
          <w:sz w:val="20"/>
        </w:rPr>
        <w:t xml:space="preserve"> Fair values for off-balance-sheet lending commitments are based on fees currently charged to enter into similar agreements, taking into account the remaining terms of the agreements and the counterparties’ credit standings. Therefore, the Company has categorized these instruments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shows a reconciliation of the beginning and ending balances for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assets measured at fair value on a recurring basis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5"/>
        <w:gridCol w:w="60"/>
        <w:gridCol w:w="151"/>
        <w:gridCol w:w="844"/>
        <w:gridCol w:w="80"/>
        <w:gridCol w:w="60"/>
        <w:gridCol w:w="172"/>
        <w:gridCol w:w="823"/>
        <w:gridCol w:w="80"/>
        <w:gridCol w:w="60"/>
        <w:gridCol w:w="160"/>
        <w:gridCol w:w="835"/>
        <w:gridCol w:w="80"/>
        <w:gridCol w:w="60"/>
        <w:gridCol w:w="203"/>
        <w:gridCol w:w="792"/>
        <w:gridCol w:w="80"/>
        <w:gridCol w:w="60"/>
        <w:gridCol w:w="125"/>
        <w:gridCol w:w="695"/>
        <w:gridCol w:w="80"/>
      </w:tblGrid>
      <w:tr>
        <w:tc>
          <w:tcPr>
            <w:tcW w:w="47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6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Debt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Warrant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Equity</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60"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pPr>
            <w:r>
              <w:t> </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assets,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672,031</w:t>
            </w:r>
          </w:p>
        </w:tc>
        <w:tc>
          <w:tcPr>
            <w:tcW w:w="80" w:type="dxa"/>
            <w:tcBorders/>
            <w:shd w:fill="CCEEFF" w:val="cle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ind w:left="0" w:right="0" w:hanging="0"/>
              <w:jc w:val="left"/>
            </w:pPr>
            <w: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89,632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89,632</w:t>
            </w:r>
          </w:p>
        </w:tc>
        <w:tc>
          <w:tcPr>
            <w:tcW w:w="80" w:type="dxa"/>
            <w:tcBorders/>
            <w:shd w:fill="FFFFFF" w:val="clear"/>
            <w:vAlign w:val="center"/>
          </w:tcPr>
          <w:p>
            <w:pPr>
              <w:pStyle w:val="TableContents"/>
              <w:bidi w:val="0"/>
              <w:spacing w:before="0" w:after="283"/>
              <w:jc w:val="left"/>
            </w:pPr>
            <w:r>
              <w:t> </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equity received and classified as Level 3</w:t>
            </w:r>
          </w:p>
        </w:tc>
        <w:tc>
          <w:tcPr>
            <w:tcW w:w="6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jc w:val="left"/>
            </w:pPr>
            <w:r>
              <w:t> </w:t>
            </w:r>
          </w:p>
        </w:tc>
        <w:tc>
          <w:tcPr>
            <w:tcW w:w="844"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8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jc w:val="left"/>
            </w:pPr>
            <w:r>
              <w:t> </w:t>
            </w:r>
          </w:p>
        </w:tc>
        <w:tc>
          <w:tcPr>
            <w:tcW w:w="792"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w:t>
            </w:r>
          </w:p>
        </w:tc>
        <w:tc>
          <w:tcPr>
            <w:tcW w:w="80" w:type="dxa"/>
            <w:tcBorders/>
            <w:shd w:fill="CCEEFF" w:val="cle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received on investments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ind w:left="0" w:right="0" w:hanging="0"/>
              <w:jc w:val="left"/>
            </w:pPr>
            <w: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PIK interest on investments</w:t>
            </w:r>
          </w:p>
        </w:tc>
        <w:tc>
          <w:tcPr>
            <w:tcW w:w="6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ind w:left="0" w:right="0" w:hanging="0"/>
              <w:jc w:val="left"/>
            </w:pPr>
            <w: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80" w:type="dxa"/>
            <w:tcBorders/>
            <w:shd w:fill="CCEEFF" w:val="cle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investments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ind w:left="0" w:right="0" w:hanging="0"/>
              <w:jc w:val="left"/>
            </w:pPr>
            <w:r>
              <w:t> </w:t>
            </w:r>
          </w:p>
        </w:tc>
        <w:tc>
          <w:tcPr>
            <w:tcW w:w="84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gain (loss) on investments</w:t>
            </w:r>
          </w:p>
        </w:tc>
        <w:tc>
          <w:tcPr>
            <w:tcW w:w="6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ind w:left="0" w:right="0" w:hanging="0"/>
              <w:jc w:val="left"/>
            </w:pPr>
            <w: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(depreciation) appreciation included in earnings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ind w:left="0" w:right="0" w:hanging="0"/>
              <w:jc w:val="left"/>
            </w:pPr>
            <w: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out of Level 3</w:t>
            </w:r>
          </w:p>
        </w:tc>
        <w:tc>
          <w:tcPr>
            <w:tcW w:w="6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ind w:left="0" w:right="0" w:hanging="0"/>
              <w:jc w:val="left"/>
            </w:pPr>
            <w:r>
              <w:t> </w:t>
            </w:r>
          </w:p>
        </w:tc>
        <w:tc>
          <w:tcPr>
            <w:tcW w:w="84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79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assets, end of period</w:t>
            </w:r>
          </w:p>
        </w:tc>
        <w:tc>
          <w:tcPr>
            <w:tcW w:w="60" w:type="dxa"/>
            <w:tcBorders/>
            <w:shd w:fill="CCEEFF" w:val="clear"/>
            <w:vAlign w:val="center"/>
          </w:tcPr>
          <w:p>
            <w:pPr>
              <w:pStyle w:val="TableContents"/>
              <w:bidi w:val="0"/>
              <w:spacing w:before="0" w:after="283"/>
              <w:ind w:left="0" w:right="0" w:hanging="0"/>
              <w:jc w:val="left"/>
            </w:pPr>
            <w: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621,222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637,445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there was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transfer out of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One transfer out of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related to warrants held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portfolio company with an aggregate fair value of $1.5 million that was transferred to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upon the portfolio company being acquired by a public company.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there were no transfers into Level </w:t>
      </w:r>
      <w:r>
        <w:rPr>
          <w:rStyle w:val="Emphasis"/>
          <w:rFonts w:ascii="Times New Roman" w:hAnsi="Times New Roman"/>
          <w:caps w:val="false"/>
          <w:smallCaps w:val="false"/>
          <w:sz w:val="20"/>
        </w:rPr>
        <w:t>3.</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shows a reconciliation of the beginning and ending balances for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assets measured at fair value on a recurring basis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5"/>
        <w:gridCol w:w="60"/>
        <w:gridCol w:w="151"/>
        <w:gridCol w:w="844"/>
        <w:gridCol w:w="80"/>
        <w:gridCol w:w="60"/>
        <w:gridCol w:w="172"/>
        <w:gridCol w:w="823"/>
        <w:gridCol w:w="80"/>
        <w:gridCol w:w="60"/>
        <w:gridCol w:w="160"/>
        <w:gridCol w:w="835"/>
        <w:gridCol w:w="80"/>
        <w:gridCol w:w="60"/>
        <w:gridCol w:w="185"/>
        <w:gridCol w:w="810"/>
        <w:gridCol w:w="80"/>
        <w:gridCol w:w="60"/>
        <w:gridCol w:w="125"/>
        <w:gridCol w:w="695"/>
        <w:gridCol w:w="80"/>
      </w:tblGrid>
      <w:tr>
        <w:tc>
          <w:tcPr>
            <w:tcW w:w="47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6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Debt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Warrant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Equity</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60"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pPr>
            <w:r>
              <w:t> </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assets,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579,171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620,990</w:t>
            </w:r>
          </w:p>
        </w:tc>
        <w:tc>
          <w:tcPr>
            <w:tcW w:w="80" w:type="dxa"/>
            <w:tcBorders/>
            <w:shd w:fill="CCEEFF" w:val="cle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ind w:left="0" w:right="0" w:hanging="0"/>
              <w:jc w:val="left"/>
            </w:pPr>
            <w: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ind w:left="0" w:right="0" w:hanging="0"/>
              <w:jc w:val="left"/>
            </w:pPr>
            <w: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37,747</w:t>
            </w:r>
          </w:p>
        </w:tc>
        <w:tc>
          <w:tcPr>
            <w:tcW w:w="80" w:type="dxa"/>
            <w:tcBorders/>
            <w:shd w:fill="FFFFFF" w:val="clear"/>
            <w:vAlign w:val="center"/>
          </w:tcPr>
          <w:p>
            <w:pPr>
              <w:pStyle w:val="TableContents"/>
              <w:bidi w:val="0"/>
              <w:spacing w:before="0" w:after="283"/>
              <w:jc w:val="left"/>
            </w:pPr>
            <w:r>
              <w:t> </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equity received and classified as Level 3</w:t>
            </w:r>
          </w:p>
        </w:tc>
        <w:tc>
          <w:tcPr>
            <w:tcW w:w="6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ind w:left="0" w:right="0" w:hanging="0"/>
              <w:jc w:val="left"/>
            </w:pPr>
            <w:r>
              <w:t> </w:t>
            </w:r>
          </w:p>
        </w:tc>
        <w:tc>
          <w:tcPr>
            <w:tcW w:w="84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ind w:left="0" w:right="0" w:hanging="0"/>
              <w:jc w:val="left"/>
            </w:pPr>
            <w:r>
              <w:t> </w:t>
            </w:r>
          </w:p>
        </w:tc>
        <w:tc>
          <w:tcPr>
            <w:tcW w:w="8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w:t>
            </w:r>
          </w:p>
        </w:tc>
        <w:tc>
          <w:tcPr>
            <w:tcW w:w="80" w:type="dxa"/>
            <w:tcBorders/>
            <w:shd w:fill="CCEEFF" w:val="cle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received on investments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ind w:left="0" w:right="0" w:hanging="0"/>
              <w:jc w:val="left"/>
            </w:pPr>
            <w: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ind w:left="0" w:right="0" w:hanging="0"/>
              <w:jc w:val="left"/>
            </w:pPr>
            <w: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PIK interest on investments</w:t>
            </w:r>
          </w:p>
        </w:tc>
        <w:tc>
          <w:tcPr>
            <w:tcW w:w="6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ind w:left="0" w:right="0" w:hanging="0"/>
              <w:jc w:val="left"/>
            </w:pPr>
            <w: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ind w:left="0" w:right="0" w:hanging="0"/>
              <w:jc w:val="left"/>
            </w:pPr>
            <w:r>
              <w:t> </w:t>
            </w:r>
          </w:p>
        </w:tc>
        <w:tc>
          <w:tcPr>
            <w:tcW w:w="8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80" w:type="dxa"/>
            <w:tcBorders/>
            <w:shd w:fill="CCEEFF" w:val="cle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investments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ind w:left="0" w:right="0" w:hanging="0"/>
              <w:jc w:val="left"/>
            </w:pPr>
            <w: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ind w:left="0" w:right="0" w:hanging="0"/>
              <w:jc w:val="left"/>
            </w:pPr>
            <w: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gain on investments</w:t>
            </w:r>
          </w:p>
        </w:tc>
        <w:tc>
          <w:tcPr>
            <w:tcW w:w="6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ind w:left="0" w:right="0" w:hanging="0"/>
              <w:jc w:val="left"/>
            </w:pPr>
            <w: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ind w:left="0" w:right="0" w:hanging="0"/>
              <w:jc w:val="left"/>
            </w:pPr>
            <w: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appreciation (depreciation) included in earnings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ind w:left="0" w:right="0" w:hanging="0"/>
              <w:jc w:val="left"/>
            </w:pPr>
            <w: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ind w:left="0" w:right="0" w:hanging="0"/>
              <w:jc w:val="left"/>
            </w:pPr>
            <w: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41,111</w:t>
            </w:r>
          </w:p>
        </w:tc>
        <w:tc>
          <w:tcPr>
            <w:tcW w:w="80" w:type="dxa"/>
            <w:tcBorders/>
            <w:shd w:fill="FFFFFF" w:val="clear"/>
            <w:vAlign w:val="center"/>
          </w:tcPr>
          <w:p>
            <w:pPr>
              <w:pStyle w:val="TableContents"/>
              <w:bidi w:val="0"/>
              <w:spacing w:before="0" w:after="283"/>
              <w:jc w:val="left"/>
            </w:pPr>
            <w:r>
              <w:t> </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out of Level 3</w:t>
            </w:r>
          </w:p>
        </w:tc>
        <w:tc>
          <w:tcPr>
            <w:tcW w:w="60" w:type="dxa"/>
            <w:tcBorders/>
            <w:shd w:fill="CCEEFF" w:val="clear"/>
            <w:vAlign w:val="center"/>
          </w:tcPr>
          <w:p>
            <w:pPr>
              <w:pStyle w:val="TableContents"/>
              <w:bidi w:val="0"/>
              <w:spacing w:before="0" w:after="283"/>
              <w:jc w:val="left"/>
            </w:pPr>
            <w:r>
              <w:t> </w:t>
            </w:r>
          </w:p>
        </w:tc>
        <w:tc>
          <w:tcPr>
            <w:tcW w:w="151" w:type="dxa"/>
            <w:tcBorders/>
            <w:shd w:fill="CCEEFF" w:val="clear"/>
            <w:vAlign w:val="center"/>
          </w:tcPr>
          <w:p>
            <w:pPr>
              <w:pStyle w:val="TableContents"/>
              <w:bidi w:val="0"/>
              <w:spacing w:before="0" w:after="283"/>
              <w:jc w:val="left"/>
            </w:pPr>
            <w:r>
              <w:t> </w:t>
            </w:r>
          </w:p>
        </w:tc>
        <w:tc>
          <w:tcPr>
            <w:tcW w:w="844"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83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8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out of debt investments</w:t>
            </w:r>
          </w:p>
        </w:tc>
        <w:tc>
          <w:tcPr>
            <w:tcW w:w="60" w:type="dxa"/>
            <w:tcBorders/>
            <w:shd w:fill="FFFFFF" w:val="clear"/>
            <w:vAlign w:val="center"/>
          </w:tcPr>
          <w:p>
            <w:pPr>
              <w:pStyle w:val="TableContents"/>
              <w:bidi w:val="0"/>
              <w:spacing w:before="0" w:after="283"/>
              <w:jc w:val="left"/>
            </w:pPr>
            <w:r>
              <w:t> </w:t>
            </w:r>
          </w:p>
        </w:tc>
        <w:tc>
          <w:tcPr>
            <w:tcW w:w="151" w:type="dxa"/>
            <w:tcBorders/>
            <w:shd w:fill="FFFFFF" w:val="clear"/>
            <w:vAlign w:val="center"/>
          </w:tcPr>
          <w:p>
            <w:pPr>
              <w:pStyle w:val="TableContents"/>
              <w:bidi w:val="0"/>
              <w:spacing w:before="0" w:after="283"/>
              <w:jc w:val="left"/>
            </w:pPr>
            <w:r>
              <w:t> </w:t>
            </w:r>
          </w:p>
        </w:tc>
        <w:tc>
          <w:tcPr>
            <w:tcW w:w="8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823"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8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8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r>
      <w:tr>
        <w:tc>
          <w:tcPr>
            <w:tcW w:w="4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assets, end of period</w:t>
            </w:r>
          </w:p>
        </w:tc>
        <w:tc>
          <w:tcPr>
            <w:tcW w:w="60" w:type="dxa"/>
            <w:tcBorders/>
            <w:shd w:fill="FFFFFF" w:val="clear"/>
            <w:vAlign w:val="center"/>
          </w:tcPr>
          <w:p>
            <w:pPr>
              <w:pStyle w:val="TableContents"/>
              <w:bidi w:val="0"/>
              <w:spacing w:before="0" w:after="283"/>
              <w:ind w:left="0" w:right="0" w:hanging="0"/>
              <w:jc w:val="left"/>
            </w:pPr>
            <w: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560,190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599,828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transfers out of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Warrants held in a portfolio company with an aggregate fair value of $2.6 million were transferred to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from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upon the conversion of privately held preferred shares of stock into common stock of a public company. An other investment held in a portfolio company with an aggregate fair value of $0.02 million was transferred to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from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upon the conversion of the other investment to common stock of a public entity.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there were no transfers into Level </w:t>
      </w:r>
      <w:r>
        <w:rPr>
          <w:rStyle w:val="Emphasis"/>
          <w:rFonts w:ascii="Times New Roman" w:hAnsi="Times New Roman"/>
          <w:caps w:val="false"/>
          <w:smallCaps w:val="false"/>
          <w:sz w:val="20"/>
        </w:rPr>
        <w:t>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shows a reconciliation of the beginning and ending balances for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assets measured at fair value on a recurring basis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5"/>
        <w:gridCol w:w="60"/>
        <w:gridCol w:w="141"/>
        <w:gridCol w:w="854"/>
        <w:gridCol w:w="80"/>
        <w:gridCol w:w="60"/>
        <w:gridCol w:w="172"/>
        <w:gridCol w:w="823"/>
        <w:gridCol w:w="80"/>
        <w:gridCol w:w="60"/>
        <w:gridCol w:w="160"/>
        <w:gridCol w:w="835"/>
        <w:gridCol w:w="80"/>
        <w:gridCol w:w="60"/>
        <w:gridCol w:w="185"/>
        <w:gridCol w:w="810"/>
        <w:gridCol w:w="80"/>
        <w:gridCol w:w="60"/>
        <w:gridCol w:w="125"/>
        <w:gridCol w:w="755"/>
        <w:gridCol w:w="80"/>
      </w:tblGrid>
      <w:tr>
        <w:tc>
          <w:tcPr>
            <w:tcW w:w="46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2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Debt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Warrant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Equity</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46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20"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pPr>
            <w:r>
              <w:t> </w:t>
            </w:r>
          </w:p>
        </w:tc>
      </w:tr>
      <w:tr>
        <w:tc>
          <w:tcPr>
            <w:tcW w:w="4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assets,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596,025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641,340</w:t>
            </w:r>
          </w:p>
        </w:tc>
        <w:tc>
          <w:tcPr>
            <w:tcW w:w="80" w:type="dxa"/>
            <w:tcBorders/>
            <w:shd w:fill="CCEEFF" w:val="clear"/>
            <w:vAlign w:val="center"/>
          </w:tcPr>
          <w:p>
            <w:pPr>
              <w:pStyle w:val="TableContents"/>
              <w:bidi w:val="0"/>
              <w:spacing w:before="0" w:after="283"/>
              <w:jc w:val="left"/>
            </w:pPr>
            <w:r>
              <w:t> </w:t>
            </w:r>
          </w:p>
        </w:tc>
      </w:tr>
      <w:tr>
        <w:tc>
          <w:tcPr>
            <w:tcW w:w="4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252,398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ind w:left="0" w:right="0" w:hanging="0"/>
              <w:jc w:val="left"/>
            </w:pPr>
            <w:r>
              <w:t> </w:t>
            </w:r>
          </w:p>
        </w:tc>
        <w:tc>
          <w:tcPr>
            <w:tcW w:w="81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252,398</w:t>
            </w:r>
          </w:p>
        </w:tc>
        <w:tc>
          <w:tcPr>
            <w:tcW w:w="80" w:type="dxa"/>
            <w:tcBorders/>
            <w:shd w:fill="FFFFFF" w:val="clear"/>
            <w:vAlign w:val="center"/>
          </w:tcPr>
          <w:p>
            <w:pPr>
              <w:pStyle w:val="TableContents"/>
              <w:bidi w:val="0"/>
              <w:spacing w:before="0" w:after="283"/>
              <w:jc w:val="left"/>
            </w:pPr>
            <w:r>
              <w:t> </w:t>
            </w:r>
          </w:p>
        </w:tc>
      </w:tr>
      <w:tr>
        <w:tc>
          <w:tcPr>
            <w:tcW w:w="4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equity received and classified as Level 3</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ind w:left="0" w:right="0" w:hanging="0"/>
              <w:jc w:val="left"/>
            </w:pPr>
            <w:r>
              <w:t> </w:t>
            </w:r>
          </w:p>
        </w:tc>
        <w:tc>
          <w:tcPr>
            <w:tcW w:w="8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w:t>
            </w:r>
          </w:p>
        </w:tc>
        <w:tc>
          <w:tcPr>
            <w:tcW w:w="80" w:type="dxa"/>
            <w:tcBorders/>
            <w:shd w:fill="CCEEFF" w:val="clear"/>
            <w:vAlign w:val="center"/>
          </w:tcPr>
          <w:p>
            <w:pPr>
              <w:pStyle w:val="TableContents"/>
              <w:bidi w:val="0"/>
              <w:spacing w:before="0" w:after="283"/>
              <w:jc w:val="left"/>
            </w:pPr>
            <w:r>
              <w:t> </w:t>
            </w:r>
          </w:p>
        </w:tc>
      </w:tr>
      <w:tr>
        <w:tc>
          <w:tcPr>
            <w:tcW w:w="4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received on investments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ind w:left="0" w:right="0" w:hanging="0"/>
              <w:jc w:val="left"/>
            </w:pPr>
            <w: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PIK interest on investments</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ind w:left="0" w:right="0" w:hanging="0"/>
              <w:jc w:val="left"/>
            </w:pPr>
            <w:r>
              <w:t> </w:t>
            </w:r>
          </w:p>
        </w:tc>
        <w:tc>
          <w:tcPr>
            <w:tcW w:w="8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3,674</w:t>
            </w:r>
          </w:p>
        </w:tc>
        <w:tc>
          <w:tcPr>
            <w:tcW w:w="80" w:type="dxa"/>
            <w:tcBorders/>
            <w:shd w:fill="CCEEFF" w:val="clear"/>
            <w:vAlign w:val="center"/>
          </w:tcPr>
          <w:p>
            <w:pPr>
              <w:pStyle w:val="TableContents"/>
              <w:bidi w:val="0"/>
              <w:spacing w:before="0" w:after="283"/>
              <w:jc w:val="left"/>
            </w:pPr>
            <w:r>
              <w:t> </w:t>
            </w:r>
          </w:p>
        </w:tc>
      </w:tr>
      <w:tr>
        <w:tc>
          <w:tcPr>
            <w:tcW w:w="4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investments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ind w:left="0" w:right="0" w:hanging="0"/>
              <w:jc w:val="left"/>
            </w:pPr>
            <w: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gain (loss) on investments</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ind w:left="0" w:right="0" w:hanging="0"/>
              <w:jc w:val="left"/>
            </w:pPr>
            <w: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(depreciation) appreciation included in earnings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ind w:left="0" w:right="0" w:hanging="0"/>
              <w:jc w:val="left"/>
            </w:pPr>
            <w: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out of Level 3</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c>
          <w:tcPr>
            <w:tcW w:w="854"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83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810"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out of warrant and equity investments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854"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8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8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8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r>
      <w:tr>
        <w:tc>
          <w:tcPr>
            <w:tcW w:w="4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assets, end of period</w:t>
            </w:r>
          </w:p>
        </w:tc>
        <w:tc>
          <w:tcPr>
            <w:tcW w:w="60" w:type="dxa"/>
            <w:tcBorders/>
            <w:shd w:fill="FFFFFF" w:val="clear"/>
            <w:vAlign w:val="center"/>
          </w:tcPr>
          <w:p>
            <w:pPr>
              <w:pStyle w:val="TableContents"/>
              <w:bidi w:val="0"/>
              <w:spacing w:before="0" w:after="283"/>
              <w:ind w:left="0" w:right="0" w:hanging="0"/>
              <w:jc w:val="left"/>
            </w:pPr>
            <w: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621,222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637,445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transfers out of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One transfer out of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related to warrants held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portfolio company with an aggregate fair value of $1.5 million that was transferred to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upon the portfolio company being acquired by a public company. One transfer out of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related to warrants held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portfolio company with an aggregate fair value of $0.1 million that was transferred to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upon the portfolio company becoming a public company.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there were no transfers into Level </w:t>
      </w:r>
      <w:r>
        <w:rPr>
          <w:rStyle w:val="Emphasis"/>
          <w:rFonts w:ascii="Times New Roman" w:hAnsi="Times New Roman"/>
          <w:caps w:val="false"/>
          <w:smallCaps w:val="false"/>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change in unrealized depreciation included in the consolidated statement of operations attributable to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investments still held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includes $60.0 million in unrealized depreciation on debt and other investments, $5.7 million in unrealized depreciation on equity investments and $2.7 million in unrealized depreciation on warrant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pPr>
      <w:r>
        <w:rPr>
          <w:rFonts w:ascii="Times New Roman" w:hAnsi="Times New Roman"/>
          <w:caps w:val="false"/>
          <w:smallCaps w:val="false"/>
          <w:sz w:val="20"/>
        </w:rPr>
        <w:t xml:space="preserve">The following table shows a reconciliation of the beginning and ending balances for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assets measured at fair value on a recurring basis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9975" w:type="dxa"/>
        <w:jc w:val="left"/>
        <w:tblInd w:w="0" w:type="dxa"/>
        <w:tblLayout w:type="fixed"/>
        <w:tblCellMar>
          <w:top w:w="0" w:type="dxa"/>
          <w:left w:w="0" w:type="dxa"/>
          <w:bottom w:w="0" w:type="dxa"/>
          <w:right w:w="0" w:type="dxa"/>
        </w:tblCellMar>
      </w:tblPr>
      <w:tblGrid>
        <w:gridCol w:w="4415"/>
        <w:gridCol w:w="60"/>
        <w:gridCol w:w="141"/>
        <w:gridCol w:w="854"/>
        <w:gridCol w:w="80"/>
        <w:gridCol w:w="60"/>
        <w:gridCol w:w="172"/>
        <w:gridCol w:w="823"/>
        <w:gridCol w:w="80"/>
        <w:gridCol w:w="60"/>
        <w:gridCol w:w="160"/>
        <w:gridCol w:w="835"/>
        <w:gridCol w:w="80"/>
        <w:gridCol w:w="60"/>
        <w:gridCol w:w="173"/>
        <w:gridCol w:w="822"/>
        <w:gridCol w:w="80"/>
        <w:gridCol w:w="60"/>
        <w:gridCol w:w="125"/>
        <w:gridCol w:w="755"/>
        <w:gridCol w:w="80"/>
      </w:tblGrid>
      <w:tr>
        <w:tc>
          <w:tcPr>
            <w:tcW w:w="44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2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Debt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Warrant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Equity</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Investments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20"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pPr>
            <w:r>
              <w:t> </w:t>
            </w:r>
          </w:p>
        </w:tc>
      </w:tr>
      <w:t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assets,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638,779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695,465</w:t>
            </w:r>
          </w:p>
        </w:tc>
        <w:tc>
          <w:tcPr>
            <w:tcW w:w="80" w:type="dxa"/>
            <w:tcBorders/>
            <w:shd w:fill="CCEEFF" w:val="cle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146,295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153,805</w:t>
            </w:r>
          </w:p>
        </w:tc>
        <w:tc>
          <w:tcPr>
            <w:tcW w:w="80" w:type="dxa"/>
            <w:tcBorders/>
            <w:shd w:fill="FFFFFF" w:val="clear"/>
            <w:vAlign w:val="center"/>
          </w:tcPr>
          <w:p>
            <w:pPr>
              <w:pStyle w:val="TableContents"/>
              <w:bidi w:val="0"/>
              <w:spacing w:before="0" w:after="283"/>
              <w:jc w:val="left"/>
            </w:pPr>
            <w:r>
              <w:t> </w:t>
            </w:r>
          </w:p>
        </w:tc>
      </w:tr>
      <w:t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equity received and classified as Level 3</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82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3,552</w:t>
            </w:r>
          </w:p>
        </w:tc>
        <w:tc>
          <w:tcPr>
            <w:tcW w:w="80" w:type="dxa"/>
            <w:tcBorders/>
            <w:shd w:fill="CCEEFF" w:val="cle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received on investments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PIK interest on investments</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82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w:t>
            </w:r>
          </w:p>
        </w:tc>
        <w:tc>
          <w:tcPr>
            <w:tcW w:w="80" w:type="dxa"/>
            <w:tcBorders/>
            <w:shd w:fill="CCEEFF" w:val="cle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investments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gain on investments</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depreciation included in earnings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out of Level 3</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c>
          <w:tcPr>
            <w:tcW w:w="854"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83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out of warrant investments</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823"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8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r>
      <w:t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3 assets, end of period</w:t>
            </w:r>
          </w:p>
        </w:tc>
        <w:tc>
          <w:tcPr>
            <w:tcW w:w="60" w:type="dxa"/>
            <w:tcBorders/>
            <w:shd w:fill="FFFFFF" w:val="clear"/>
            <w:vAlign w:val="center"/>
          </w:tcPr>
          <w:p>
            <w:pPr>
              <w:pStyle w:val="TableContents"/>
              <w:bidi w:val="0"/>
              <w:spacing w:before="0" w:after="283"/>
              <w:ind w:left="0" w:right="0" w:hanging="0"/>
              <w:jc w:val="left"/>
            </w:pPr>
            <w: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560,190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599,828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transfers out of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Warrants held in a portfolio company with an aggregate fair value of $2.6 million were transferred to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from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upon the conversion of privately held preferred shares of stock into common stock of a public company. An other investment held in a portfolio company with an aggregate fair value of $0.02 million was transferred to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from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upon the conversion of the other investment to common stock of a public entity.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there were no transfers into Level </w:t>
      </w:r>
      <w:r>
        <w:rPr>
          <w:rStyle w:val="Emphasis"/>
          <w:rFonts w:ascii="Times New Roman" w:hAnsi="Times New Roman"/>
          <w:caps w:val="false"/>
          <w:smallCaps w:val="false"/>
          <w:sz w:val="20"/>
        </w:rPr>
        <w:t>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change in unrealized depreciation included in the consolidated statement of operations attributable to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investments still held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includes $10.1 million in unrealized depreciation on debt and other investments, $9.7 million in unrealized depreciation on equity investments and $0.6 million in unrealized depreciation on warrant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 Company discloses fair value information about financial instruments,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in the consolidated statement of assets and liabilities, for which it is practicable to estimate that value. Certain financial instruments are excluded from the disclosure requirements. Accordingly, the aggregate fair value amounts presented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the underlying value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fair value amounts have been measured as of the reporting date and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reevaluated or updated for purposes of these financial statements subsequent to that date. As such, the fair values of these financial instruments subsequent to the reporting date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different than amounts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all of the balances of all the Company’s financial instruments were recorded at fair value, except for the Company’s borrowings, as previously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assumes interest rate risk (the risk that general interest rate levels will change) as a result of its normal operations. As a result, the fair values of the Company’s financial instruments </w:t>
      </w:r>
      <w:r>
        <w:rPr>
          <w:rStyle w:val="Emphasis"/>
          <w:rFonts w:ascii="Times New Roman" w:hAnsi="Times New Roman"/>
          <w:caps w:val="false"/>
          <w:smallCaps w:val="false"/>
          <w:sz w:val="20"/>
        </w:rPr>
        <w:t>may </w:t>
      </w:r>
      <w:r>
        <w:rPr>
          <w:rFonts w:ascii="Times New Roman" w:hAnsi="Times New Roman"/>
          <w:caps w:val="false"/>
          <w:smallCaps w:val="false"/>
          <w:sz w:val="20"/>
        </w:rPr>
        <w:t xml:space="preserve">change when interest rate levels change, and that change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shows the Company’s borrowings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5"/>
        <w:gridCol w:w="60"/>
        <w:gridCol w:w="165"/>
        <w:gridCol w:w="920"/>
        <w:gridCol w:w="60"/>
        <w:gridCol w:w="60"/>
        <w:gridCol w:w="158"/>
        <w:gridCol w:w="882"/>
        <w:gridCol w:w="80"/>
        <w:gridCol w:w="60"/>
        <w:gridCol w:w="165"/>
        <w:gridCol w:w="920"/>
        <w:gridCol w:w="60"/>
        <w:gridCol w:w="60"/>
        <w:gridCol w:w="165"/>
        <w:gridCol w:w="920"/>
        <w:gridCol w:w="60"/>
        <w:gridCol w:w="60"/>
        <w:gridCol w:w="158"/>
        <w:gridCol w:w="882"/>
        <w:gridCol w:w="80"/>
        <w:gridCol w:w="60"/>
        <w:gridCol w:w="165"/>
        <w:gridCol w:w="920"/>
        <w:gridCol w:w="60"/>
      </w:tblGrid>
      <w:tr>
        <w:tc>
          <w:tcPr>
            <w:tcW w:w="30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47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47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0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40"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Balance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Unused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40"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Balance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Unused</w:t>
            </w:r>
          </w:p>
        </w:tc>
        <w:tc>
          <w:tcPr>
            <w:tcW w:w="60" w:type="dxa"/>
            <w:tcBorders/>
            <w:shd w:fill="FFFFFF" w:val="clear"/>
            <w:vAlign w:val="center"/>
          </w:tcPr>
          <w:p>
            <w:pPr>
              <w:pStyle w:val="TableContents"/>
              <w:bidi w:val="0"/>
              <w:spacing w:before="0" w:after="283"/>
              <w:jc w:val="left"/>
            </w:pPr>
            <w:r>
              <w:t> </w:t>
            </w:r>
          </w:p>
        </w:tc>
      </w:tr>
      <w:tr>
        <w:tc>
          <w:tcPr>
            <w:tcW w:w="30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0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060"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3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Facility</w:t>
            </w:r>
          </w:p>
        </w:tc>
        <w:tc>
          <w:tcPr>
            <w:tcW w:w="60" w:type="dxa"/>
            <w:tcBorders/>
            <w:shd w:fill="CCEEFF" w:val="clear"/>
            <w:vAlign w:val="center"/>
          </w:tcPr>
          <w:p>
            <w:pPr>
              <w:pStyle w:val="TableContents"/>
              <w:bidi w:val="0"/>
              <w:spacing w:before="0" w:after="283"/>
              <w:ind w:left="0" w:right="0" w:hanging="0"/>
              <w:jc w:val="left"/>
            </w:pPr>
            <w: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r>
      <w:tr>
        <w:tc>
          <w:tcPr>
            <w:tcW w:w="3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NYL Facility</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69,000</w:t>
            </w:r>
          </w:p>
        </w:tc>
        <w:tc>
          <w:tcPr>
            <w:tcW w:w="60" w:type="dxa"/>
            <w:tcBorders/>
            <w:shd w:fill="FFFFFF" w:val="clear"/>
            <w:vAlign w:val="center"/>
          </w:tcPr>
          <w:p>
            <w:pPr>
              <w:pStyle w:val="TableContents"/>
              <w:bidi w:val="0"/>
              <w:spacing w:before="0" w:after="283"/>
              <w:jc w:val="left"/>
            </w:pPr>
            <w:r>
              <w:t> </w:t>
            </w:r>
          </w:p>
        </w:tc>
      </w:tr>
      <w:tr>
        <w:tc>
          <w:tcPr>
            <w:tcW w:w="3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Nuveen Facility</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90,000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90,000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110,000</w:t>
            </w:r>
          </w:p>
        </w:tc>
        <w:tc>
          <w:tcPr>
            <w:tcW w:w="60" w:type="dxa"/>
            <w:tcBorders/>
            <w:shd w:fill="CCEEFF" w:val="clear"/>
            <w:vAlign w:val="center"/>
          </w:tcPr>
          <w:p>
            <w:pPr>
              <w:pStyle w:val="TableContents"/>
              <w:bidi w:val="0"/>
              <w:spacing w:before="0" w:after="283"/>
              <w:jc w:val="left"/>
            </w:pPr>
            <w:r>
              <w:t> </w:t>
            </w:r>
          </w:p>
        </w:tc>
      </w:tr>
      <w:tr>
        <w:tc>
          <w:tcPr>
            <w:tcW w:w="3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 Notes</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8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8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3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 Notes</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92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92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3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 Notes</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882"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3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 Convertible Notes</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ind w:left="0" w:right="0" w:hanging="0"/>
              <w:jc w:val="left"/>
            </w:pPr>
            <w:r>
              <w:t> </w:t>
            </w:r>
          </w:p>
        </w:tc>
      </w:tr>
      <w:tr>
        <w:tc>
          <w:tcPr>
            <w:tcW w:w="3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2031 Convertible Notes</w:t>
            </w:r>
          </w:p>
        </w:tc>
        <w:tc>
          <w:tcPr>
            <w:tcW w:w="60" w:type="dxa"/>
            <w:tcBorders/>
            <w:shd w:fill="FFFFFF" w:val="clear"/>
            <w:vAlign w:val="center"/>
          </w:tcPr>
          <w:p>
            <w:pPr>
              <w:pStyle w:val="TableContents"/>
              <w:bidi w:val="0"/>
              <w:spacing w:before="0" w:after="0"/>
              <w:ind w:left="0" w:right="0" w:hanging="0"/>
              <w:jc w:val="left"/>
            </w:pPr>
            <w: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3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before debt issuance costs</w:t>
            </w:r>
          </w:p>
        </w:tc>
        <w:tc>
          <w:tcPr>
            <w:tcW w:w="60" w:type="dxa"/>
            <w:tcBorders/>
            <w:shd w:fill="CCEEFF" w:val="clear"/>
            <w:vAlign w:val="center"/>
          </w:tcPr>
          <w:p>
            <w:pPr>
              <w:pStyle w:val="TableContents"/>
              <w:bidi w:val="0"/>
              <w:spacing w:before="0" w:after="283"/>
              <w:jc w:val="left"/>
            </w:pPr>
            <w: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684,200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405,200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806,750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477,750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3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Unamortized debt issuance costs attributable to term borrowings</w:t>
            </w:r>
          </w:p>
        </w:tc>
        <w:tc>
          <w:tcPr>
            <w:tcW w:w="60" w:type="dxa"/>
            <w:tcBorders/>
            <w:shd w:fill="FFFFFF" w:val="clear"/>
            <w:vAlign w:val="center"/>
          </w:tcPr>
          <w:p>
            <w:pPr>
              <w:pStyle w:val="TableContents"/>
              <w:bidi w:val="0"/>
              <w:spacing w:before="0" w:after="283"/>
              <w:jc w:val="left"/>
            </w:pPr>
            <w: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borrowings outstanding, net</w:t>
            </w:r>
          </w:p>
        </w:tc>
        <w:tc>
          <w:tcPr>
            <w:tcW w:w="60" w:type="dxa"/>
            <w:tcBorders/>
            <w:shd w:fill="CCEEFF" w:val="clear"/>
            <w:vAlign w:val="center"/>
          </w:tcPr>
          <w:p>
            <w:pPr>
              <w:pStyle w:val="TableContents"/>
              <w:bidi w:val="0"/>
              <w:spacing w:before="0" w:after="283"/>
              <w:ind w:left="0" w:right="0" w:hanging="0"/>
              <w:jc w:val="left"/>
            </w:pPr>
            <w: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684,200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402,719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806,750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473,027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with certain limited exceptions, the Company, as a BDC, was only allowed to borrow amounts such that the Company’s asset coverage, as defined in the </w:t>
      </w:r>
      <w:r>
        <w:rPr>
          <w:rStyle w:val="Emphasis"/>
          <w:rFonts w:ascii="Times New Roman" w:hAnsi="Times New Roman"/>
          <w:caps w:val="false"/>
          <w:smallCaps w:val="false"/>
          <w:sz w:val="20"/>
        </w:rPr>
        <w:t>1940</w:t>
      </w:r>
      <w:r>
        <w:rPr>
          <w:rFonts w:ascii="Times New Roman" w:hAnsi="Times New Roman"/>
          <w:caps w:val="false"/>
          <w:smallCaps w:val="false"/>
          <w:sz w:val="20"/>
        </w:rPr>
        <w:t xml:space="preserve"> Act, was at least 150% after such borrowings. In accordance with GAAP, any borrowings of the RoHo Joint Venture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asset coverage calculation.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asset coverage for borrowed amounts was 189%.</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Credit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Key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entered into the Key Facility with Key effective </w:t>
      </w:r>
      <w:r>
        <w:rPr>
          <w:rStyle w:val="Emphasis"/>
          <w:rFonts w:ascii="Times New Roman" w:hAnsi="Times New Roman"/>
          <w:caps w:val="false"/>
          <w:smallCaps w:val="false"/>
          <w:sz w:val="20"/>
        </w:rPr>
        <w:t>November 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2013.</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26, 2026, </w:t>
      </w:r>
      <w:r>
        <w:rPr>
          <w:rFonts w:ascii="Times New Roman" w:hAnsi="Times New Roman"/>
          <w:caps w:val="false"/>
          <w:smallCaps w:val="false"/>
          <w:sz w:val="20"/>
        </w:rPr>
        <w:t xml:space="preserve">the Company amended the Key Facility, among other things, (i) to make Michael P. Balkin and Paul G. Seitz each an “Authorized Person”, (ii) to amend certain requirements to make a debt investment eligible for the borrowing base and (ii) to amend certain concentration limits. On </w:t>
      </w:r>
      <w:r>
        <w:rPr>
          <w:rStyle w:val="Emphasis"/>
          <w:rFonts w:ascii="Times New Roman" w:hAnsi="Times New Roman"/>
          <w:caps w:val="false"/>
          <w:smallCaps w:val="false"/>
          <w:sz w:val="20"/>
        </w:rPr>
        <w:t xml:space="preserve">June 20, 2024, </w:t>
      </w:r>
      <w:r>
        <w:rPr>
          <w:rFonts w:ascii="Times New Roman" w:hAnsi="Times New Roman"/>
          <w:caps w:val="false"/>
          <w:smallCaps w:val="false"/>
          <w:sz w:val="20"/>
        </w:rPr>
        <w:t xml:space="preserve">the Company amended the Key Facility, among other things, (i) to extend the date on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advances under the Key Facility to </w:t>
      </w:r>
      <w:r>
        <w:rPr>
          <w:rStyle w:val="Emphasis"/>
          <w:rFonts w:ascii="Times New Roman" w:hAnsi="Times New Roman"/>
          <w:caps w:val="false"/>
          <w:smallCaps w:val="false"/>
          <w:sz w:val="20"/>
        </w:rPr>
        <w:t xml:space="preserve">June 20, 2027 </w:t>
      </w:r>
      <w:r>
        <w:rPr>
          <w:rFonts w:ascii="Times New Roman" w:hAnsi="Times New Roman"/>
          <w:caps w:val="false"/>
          <w:smallCaps w:val="false"/>
          <w:sz w:val="20"/>
        </w:rPr>
        <w:t xml:space="preserve">and to extend the maturity date to </w:t>
      </w:r>
      <w:r>
        <w:rPr>
          <w:rStyle w:val="Emphasis"/>
          <w:rFonts w:ascii="Times New Roman" w:hAnsi="Times New Roman"/>
          <w:caps w:val="false"/>
          <w:smallCaps w:val="false"/>
          <w:sz w:val="20"/>
        </w:rPr>
        <w:t xml:space="preserve">June 20, 2029 </w:t>
      </w:r>
      <w:r>
        <w:rPr>
          <w:rFonts w:ascii="Times New Roman" w:hAnsi="Times New Roman"/>
          <w:caps w:val="false"/>
          <w:smallCaps w:val="false"/>
          <w:sz w:val="20"/>
        </w:rPr>
        <w:t xml:space="preserve">and (ii) to amend the interest rate to be based on the rate of interest published in The Wall Street Journal as the prime rate in the United States plus 0.10%, with an interest rate floor of 4.10%. Prior to </w:t>
      </w:r>
      <w:r>
        <w:rPr>
          <w:rStyle w:val="Emphasis"/>
          <w:rFonts w:ascii="Times New Roman" w:hAnsi="Times New Roman"/>
          <w:caps w:val="false"/>
          <w:smallCaps w:val="false"/>
          <w:sz w:val="20"/>
        </w:rPr>
        <w:t xml:space="preserve">June 20, 2024, </w:t>
      </w:r>
      <w:r>
        <w:rPr>
          <w:rFonts w:ascii="Times New Roman" w:hAnsi="Times New Roman"/>
          <w:caps w:val="false"/>
          <w:smallCaps w:val="false"/>
          <w:sz w:val="20"/>
        </w:rPr>
        <w:t xml:space="preserve">the interest rate on the Key Facility was based on Prime plus 0.25%, with a prime rate floor of 4.25%. On </w:t>
      </w:r>
      <w:r>
        <w:rPr>
          <w:rStyle w:val="Emphasis"/>
          <w:rFonts w:ascii="Times New Roman" w:hAnsi="Times New Roman"/>
          <w:caps w:val="false"/>
          <w:smallCaps w:val="false"/>
          <w:sz w:val="20"/>
        </w:rPr>
        <w:t xml:space="preserve">June 29, 2023, </w:t>
      </w:r>
      <w:r>
        <w:rPr>
          <w:rFonts w:ascii="Times New Roman" w:hAnsi="Times New Roman"/>
          <w:caps w:val="false"/>
          <w:smallCaps w:val="false"/>
          <w:sz w:val="20"/>
        </w:rPr>
        <w:t xml:space="preserve">the Company amended the Key Facility, among other things, to increase the commitment amount to $150 million and to increase the amount of the accordion feature which now allows for the potential increase in the total commitment amount to $300 million. The Key Facility is collateralized by all debt investments and warrants held by Credit II and permits an advance rate of up to 60%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Company was in material compliance with the terms of the Key Facility. The prime rate was 7.00% and 6.75% on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The average interest rate on the Key Facility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6.89% and 7.56%, respectively. The average interest rate on the Key Facility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6.86% and 7.59%, respectively. The Key Facility requires the payment of an unused line fee in an amount up to 0.75% on an annualized basis of any unborrowed amount available under the facility.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had borrowing capacity under the Key Facility of $150.0 million.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$86.8 million and $49.6 million, respectively, was available for borrowing, subject to existing terms and advance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NYL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HFI entered into the NYL Facility with the NYL Noteholders for an aggregate purchase price of up to $100.0 million, with an accordion feature of up to $200.0 million at the mutual discretion and agreement of HSLFI and the NYL Noteholders. On </w:t>
      </w:r>
      <w:r>
        <w:rPr>
          <w:rStyle w:val="Emphasis"/>
          <w:rFonts w:ascii="Times New Roman" w:hAnsi="Times New Roman"/>
          <w:caps w:val="false"/>
          <w:smallCaps w:val="false"/>
          <w:sz w:val="20"/>
        </w:rPr>
        <w:t xml:space="preserve">June 1, 2018, </w:t>
      </w:r>
      <w:r>
        <w:rPr>
          <w:rFonts w:ascii="Times New Roman" w:hAnsi="Times New Roman"/>
          <w:caps w:val="false"/>
          <w:smallCaps w:val="false"/>
          <w:sz w:val="20"/>
        </w:rPr>
        <w:t>HSLFI sold or contributed to HFI certain secured loans made to certain portfolio companies pursuant to the Sale and Servicing Agreement. Any notes issued by HFI are collateralized by all investments held by HFI and permit an advance rate of up to 67% of the aggregate principal amount of eligible debt investments. The notes were issued pursuant to the indenture.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2023, </w:t>
      </w:r>
      <w:r>
        <w:rPr>
          <w:rFonts w:ascii="Times New Roman" w:hAnsi="Times New Roman"/>
          <w:caps w:val="false"/>
          <w:smallCaps w:val="false"/>
          <w:sz w:val="20"/>
        </w:rPr>
        <w:t xml:space="preserve">the Company amended its NYL Facility to, among other things, increase the commitment by $50.0 million to enable its wholly-owned subsidiary to issue up to $250.0 million of secured notes. On </w:t>
      </w:r>
      <w:r>
        <w:rPr>
          <w:rStyle w:val="Emphasis"/>
          <w:rFonts w:ascii="Times New Roman" w:hAnsi="Times New Roman"/>
          <w:caps w:val="false"/>
          <w:smallCaps w:val="false"/>
          <w:sz w:val="20"/>
        </w:rPr>
        <w:t xml:space="preserve">April 25, 2025, </w:t>
      </w:r>
      <w:r>
        <w:rPr>
          <w:rFonts w:ascii="Times New Roman" w:hAnsi="Times New Roman"/>
          <w:caps w:val="false"/>
          <w:smallCaps w:val="false"/>
          <w:sz w:val="20"/>
        </w:rPr>
        <w:t xml:space="preserve">the Company amended its NYL Facility to, among other things, extend the investment period to </w:t>
      </w:r>
      <w:r>
        <w:rPr>
          <w:rStyle w:val="Emphasis"/>
          <w:rFonts w:ascii="Times New Roman" w:hAnsi="Times New Roman"/>
          <w:caps w:val="false"/>
          <w:smallCaps w:val="false"/>
          <w:sz w:val="20"/>
        </w:rPr>
        <w:t xml:space="preserve">June 5, 2027. </w:t>
      </w:r>
      <w:r>
        <w:rPr>
          <w:rFonts w:ascii="Times New Roman" w:hAnsi="Times New Roman"/>
          <w:caps w:val="false"/>
          <w:smallCaps w:val="false"/>
          <w:sz w:val="20"/>
        </w:rPr>
        <w:t xml:space="preserve">In addition, the amendment amended the interest rate for advances made after </w:t>
      </w:r>
      <w:r>
        <w:rPr>
          <w:rStyle w:val="Emphasis"/>
          <w:rFonts w:ascii="Times New Roman" w:hAnsi="Times New Roman"/>
          <w:caps w:val="false"/>
          <w:smallCaps w:val="false"/>
          <w:sz w:val="20"/>
        </w:rPr>
        <w:t xml:space="preserve">April 25, 2025, </w:t>
      </w:r>
      <w:r>
        <w:rPr>
          <w:rFonts w:ascii="Times New Roman" w:hAnsi="Times New Roman"/>
          <w:caps w:val="false"/>
          <w:smallCaps w:val="false"/>
          <w:sz w:val="20"/>
        </w:rPr>
        <w:t>fixing the interest rate at the greater of (i) 4.60% and (ii) the Three Year I Curve plus 2.95% with the interest rate to be reset on any advance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29, 2026, </w:t>
      </w:r>
      <w:r>
        <w:rPr>
          <w:rFonts w:ascii="Times New Roman" w:hAnsi="Times New Roman"/>
          <w:caps w:val="false"/>
          <w:smallCaps w:val="false"/>
          <w:sz w:val="20"/>
        </w:rPr>
        <w:t xml:space="preserve">the Company amended the NYL Facility to, among other things, to (i) add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class of notes and (ii) extend the legal final maturity date to </w:t>
      </w:r>
      <w:r>
        <w:rPr>
          <w:rStyle w:val="Emphasis"/>
          <w:rFonts w:ascii="Times New Roman" w:hAnsi="Times New Roman"/>
          <w:caps w:val="false"/>
          <w:smallCaps w:val="false"/>
          <w:sz w:val="20"/>
        </w:rPr>
        <w:t xml:space="preserve">June 2034. </w:t>
      </w:r>
      <w:r>
        <w:rPr>
          <w:rFonts w:ascii="Times New Roman" w:hAnsi="Times New Roman"/>
          <w:caps w:val="false"/>
          <w:smallCaps w:val="false"/>
          <w:sz w:val="20"/>
        </w:rPr>
        <w:t xml:space="preserve">The interest rate for advances made on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class of notes is fixed at 3.50% plus the Three Year I Curve, with the interest rate to be reset on any advance date.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There were $181.0 million in advances made by the NYL Noteholders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including $166.5 million on the NYL Class A Notes and $14.5 million on the NYL Class B Notes. There were $181.0 million in advances made by the NYL Noteholders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interest rate on the NYL Class A Notes was 6.72%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The interest rate on the NYL Class B Notes was 7.86%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interest rate was 6.57%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had borrowing capacity under the NYL Facility of $69.0 million.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$15.2 million and $1.9 million, respectively, was available for borrowing, subject to existing terms and advance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Under the terms of the NYL Facility, the Company is required to maintain a reserve cash balance,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to pay monthly interest and principal payments on the NYL Facility. The Company has segregated these funds and classified them as restricted investments in money market funds.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there were approximately $1.4 million of such restricted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was in material compliance with the terms of the NYL Facility.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Nuveen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HFII entered into the Nuveen Facility with the Nuveen Noteholders for an aggregate purchase price of up to $100.0 million, with an accordion feature of up to $200.0 million at the mutual discretion and agreement of HFII and the Nuveen Noteholders. On </w:t>
      </w:r>
      <w:r>
        <w:rPr>
          <w:rStyle w:val="Emphasis"/>
          <w:rFonts w:ascii="Times New Roman" w:hAnsi="Times New Roman"/>
          <w:caps w:val="false"/>
          <w:smallCaps w:val="false"/>
          <w:sz w:val="20"/>
        </w:rPr>
        <w:t xml:space="preserve">June 21, 2024, </w:t>
      </w:r>
      <w:r>
        <w:rPr>
          <w:rFonts w:ascii="Times New Roman" w:hAnsi="Times New Roman"/>
          <w:caps w:val="false"/>
          <w:smallCaps w:val="false"/>
          <w:sz w:val="20"/>
        </w:rPr>
        <w:t xml:space="preserve">the Company sold or contributed to HFII secured loans made to certain portfolio companies pursuant to the Sale and Servicing Agreement. Any notes issued by HFII are collateralized by all investments held by HFII and permit an advance rate of up to 67.5% of the aggregate principal amount of eligible debt investments. The notes were issued pursuant to an indenture. The Nuveen Facility bore interest, payable monthly, determined at a rate per annum equal to the greater of (i) the yield for the United States Treasury constant maturity 3-year and 5-year in the most recent statistical release published by the Board of Governors of the Federal Reserve System designated as “Selected Interest Rates (Daily) – </w:t>
      </w:r>
      <w:r>
        <w:rPr>
          <w:rStyle w:val="Emphasis"/>
          <w:rFonts w:ascii="Times New Roman" w:hAnsi="Times New Roman"/>
          <w:caps w:val="false"/>
          <w:smallCaps w:val="false"/>
          <w:sz w:val="20"/>
        </w:rPr>
        <w:t>H.15”</w:t>
      </w:r>
      <w:r>
        <w:rPr>
          <w:rFonts w:ascii="Times New Roman" w:hAnsi="Times New Roman"/>
          <w:caps w:val="false"/>
          <w:smallCaps w:val="false"/>
          <w:sz w:val="20"/>
        </w:rPr>
        <w:t xml:space="preserve"> interpolated to a 4.88-year weighted average life (the “Pricing Benchmark”) plus 3.15% and (ii) 5.00%.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23, 2025, </w:t>
      </w:r>
      <w:r>
        <w:rPr>
          <w:rFonts w:ascii="Times New Roman" w:hAnsi="Times New Roman"/>
          <w:caps w:val="false"/>
          <w:smallCaps w:val="false"/>
          <w:sz w:val="20"/>
        </w:rPr>
        <w:t xml:space="preserve">the Company amended its Nuveen Facility to, among other things, extend the investment period to </w:t>
      </w:r>
      <w:r>
        <w:rPr>
          <w:rStyle w:val="Emphasis"/>
          <w:rFonts w:ascii="Times New Roman" w:hAnsi="Times New Roman"/>
          <w:caps w:val="false"/>
          <w:smallCaps w:val="false"/>
          <w:sz w:val="20"/>
        </w:rPr>
        <w:t xml:space="preserve">June 21, 2028 </w:t>
      </w:r>
      <w:r>
        <w:rPr>
          <w:rFonts w:ascii="Times New Roman" w:hAnsi="Times New Roman"/>
          <w:caps w:val="false"/>
          <w:smallCaps w:val="false"/>
          <w:sz w:val="20"/>
        </w:rPr>
        <w:t xml:space="preserve">and the maturity date to </w:t>
      </w:r>
      <w:r>
        <w:rPr>
          <w:rStyle w:val="Emphasis"/>
          <w:rFonts w:ascii="Times New Roman" w:hAnsi="Times New Roman"/>
          <w:caps w:val="false"/>
          <w:smallCaps w:val="false"/>
          <w:sz w:val="20"/>
        </w:rPr>
        <w:t>June 10, 2034 </w:t>
      </w:r>
      <w:r>
        <w:rPr>
          <w:rFonts w:ascii="Times New Roman" w:hAnsi="Times New Roman"/>
          <w:caps w:val="false"/>
          <w:smallCaps w:val="false"/>
          <w:sz w:val="20"/>
        </w:rPr>
        <w:t xml:space="preserve">and increase the commitment by $100.0 million which enables its wholly-owned subsidiary to issue up to $200.0 million of secured notes. In addition, the amendment amended the interest rate for advances made after </w:t>
      </w:r>
      <w:r>
        <w:rPr>
          <w:rStyle w:val="Emphasis"/>
          <w:rFonts w:ascii="Times New Roman" w:hAnsi="Times New Roman"/>
          <w:caps w:val="false"/>
          <w:smallCaps w:val="false"/>
          <w:sz w:val="20"/>
        </w:rPr>
        <w:t xml:space="preserve">May 23, 2025, </w:t>
      </w:r>
      <w:r>
        <w:rPr>
          <w:rFonts w:ascii="Times New Roman" w:hAnsi="Times New Roman"/>
          <w:caps w:val="false"/>
          <w:smallCaps w:val="false"/>
          <w:sz w:val="20"/>
        </w:rPr>
        <w:t>fixing the interest rate at the greater of (i) 5.00% and (ii) the Pricing Benchmark plus 2.95%.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the Company amended its Nuveen Facility to decrease the commitment by $50.0 million in connection with secured notes previously issued by HFII.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 2026, </w:t>
      </w:r>
      <w:r>
        <w:rPr>
          <w:rFonts w:ascii="Times New Roman" w:hAnsi="Times New Roman"/>
          <w:caps w:val="false"/>
          <w:smallCaps w:val="false"/>
          <w:sz w:val="20"/>
        </w:rPr>
        <w:t xml:space="preserve">the Company amended the Nuveen Facility to, among other things, to (i) extend the date through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advances under the Nuveen Facility to </w:t>
      </w:r>
      <w:r>
        <w:rPr>
          <w:rStyle w:val="Emphasis"/>
          <w:rFonts w:ascii="Times New Roman" w:hAnsi="Times New Roman"/>
          <w:caps w:val="false"/>
          <w:smallCaps w:val="false"/>
          <w:sz w:val="20"/>
        </w:rPr>
        <w:t>July 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(ii) add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class of notes and (iii) extend the legal final maturity date to </w:t>
      </w:r>
      <w:r>
        <w:rPr>
          <w:rStyle w:val="Emphasis"/>
          <w:rFonts w:ascii="Times New Roman" w:hAnsi="Times New Roman"/>
          <w:caps w:val="false"/>
          <w:smallCaps w:val="false"/>
          <w:sz w:val="20"/>
        </w:rPr>
        <w:t xml:space="preserve">December 10, 2035. </w:t>
      </w:r>
      <w:r>
        <w:rPr>
          <w:rFonts w:ascii="Times New Roman" w:hAnsi="Times New Roman"/>
          <w:caps w:val="false"/>
          <w:smallCaps w:val="false"/>
          <w:sz w:val="20"/>
        </w:rPr>
        <w:t xml:space="preserve">The interest rate for advances made on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class of notes is fixed at 3.50% plus the Three Year I Curve, with the interest rate to be reset quarterly.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There were $90.0 million in advances made by the Nuveen Noteholders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including $90.0 million on the Nuveen Class A Notes. There were $90.0 million in advances made by the Nuveen Noteholders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interest rate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7.21%.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had borrowing capacity under the Nuveen Facility of $60.0 million and $110.0 million, respectively.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$21.5 million and $12.1 million, respectively, was available for borrowing, subject to existing terms and advance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Under the terms of the Nuveen Facility, the Company is required to maintain a reserve cash balance,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to pay monthly interest and principal payments on the Nuveen Facility. The Company has segregated these funds and classified them as restricted investments in money market funds.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were approximately $1.3 million and $1.1 million, respectively, of such restricted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was in material compliance with the terms of the Nuveen Facility.</w:t>
      </w:r>
    </w:p>
    <w:p>
      <w:pPr>
        <w:pStyle w:val="TextBody"/>
        <w:bidi w:val="0"/>
        <w:spacing w:before="0" w:after="0"/>
        <w:ind w:left="0" w:right="0" w:firstLine="360"/>
        <w:jc w:val="left"/>
      </w:pPr>
      <w:r>
        <w:t> </w:t>
      </w:r>
    </w:p>
    <w:p>
      <w:pPr>
        <w:pStyle w:val="TextBody"/>
        <w:bidi w:val="0"/>
        <w:spacing w:before="0" w:after="0"/>
        <w:jc w:val="cente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Unsecured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Style w:val="Emphasis"/>
          <w:rFonts w:ascii="Times New Roman" w:hAnsi="Times New Roman"/>
          <w:i/>
          <w:caps w:val="false"/>
          <w:smallCaps w:val="false"/>
          <w:sz w:val="20"/>
        </w:rPr>
        <w:t>2026</w:t>
      </w:r>
      <w:r>
        <w:rPr>
          <w:rFonts w:ascii="Times New Roman" w:hAnsi="Times New Roman"/>
          <w:i/>
          <w:caps w:val="false"/>
          <w:smallCaps w:val="false"/>
          <w:sz w:val="20"/>
        </w:rPr>
        <w:t xml:space="preser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30, 2021, </w:t>
      </w:r>
      <w:r>
        <w:rPr>
          <w:rFonts w:ascii="Times New Roman" w:hAnsi="Times New Roman"/>
          <w:caps w:val="false"/>
          <w:smallCaps w:val="false"/>
          <w:sz w:val="20"/>
        </w:rPr>
        <w:t xml:space="preserve">the Company issued and sold an aggregate principal amount of $57.5 million of 4.875% notes due in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The amount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issued and sold included the full exercise by the underwriters of their option to purchase $7.5 million in aggregate principal of additional notes.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had a stated maturity of </w:t>
      </w:r>
      <w:r>
        <w:rPr>
          <w:rStyle w:val="Emphasis"/>
          <w:rFonts w:ascii="Times New Roman" w:hAnsi="Times New Roman"/>
          <w:caps w:val="false"/>
          <w:smallCaps w:val="false"/>
          <w:sz w:val="20"/>
        </w:rPr>
        <w:t xml:space="preserve">March 30, 2026 </w:t>
      </w:r>
      <w:r>
        <w:rPr>
          <w:rFonts w:ascii="Times New Roman" w:hAnsi="Times New Roman"/>
          <w:caps w:val="false"/>
          <w:smallCaps w:val="false"/>
          <w:sz w:val="20"/>
        </w:rPr>
        <w:t xml:space="preserve">and could have been redeemed in whole or in part at the Company’s option at any time or from time to time on or after </w:t>
      </w:r>
      <w:r>
        <w:rPr>
          <w:rStyle w:val="Emphasis"/>
          <w:rFonts w:ascii="Times New Roman" w:hAnsi="Times New Roman"/>
          <w:caps w:val="false"/>
          <w:smallCaps w:val="false"/>
          <w:sz w:val="20"/>
        </w:rPr>
        <w:t xml:space="preserve">March 30, 2023 </w:t>
      </w:r>
      <w:r>
        <w:rPr>
          <w:rFonts w:ascii="Times New Roman" w:hAnsi="Times New Roman"/>
          <w:caps w:val="false"/>
          <w:smallCaps w:val="false"/>
          <w:sz w:val="20"/>
        </w:rPr>
        <w:t xml:space="preserve">at a redemption price of $25 per security plus accrued and unpaid interest.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bore interest at a rate of 4.875% per year, payable quarterly on </w:t>
      </w:r>
      <w:r>
        <w:rPr>
          <w:rStyle w:val="Emphasis"/>
          <w:rFonts w:ascii="Times New Roman" w:hAnsi="Times New Roman"/>
          <w:caps w:val="false"/>
          <w:smallCaps w:val="false"/>
          <w:sz w:val="20"/>
        </w:rPr>
        <w:t xml:space="preserve">March 30, June 30, September 30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w:t>
      </w:r>
      <w:r>
        <w:rPr>
          <w:rFonts w:ascii="Times New Roman" w:hAnsi="Times New Roman"/>
          <w:caps w:val="false"/>
          <w:smallCaps w:val="false"/>
          <w:sz w:val="20"/>
        </w:rPr>
        <w:t xml:space="preserve">of each year.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were the Company’s direct unsecured obligations and (i) ranked equally in right of payment with the Company’s current and future unsecured indebtedness; (ii) were senior in right of payment to any of the Company’s future indebtedness that expressly provides it is subordinated to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(iii) were effectively subordinated to all of the Company’s existing and future secured indebtedness (including indebtedness that is initially unsecured to which the Company subsequently grants security), to the extent of the value of the assets securing such indebtedness, and (iv) were structurally subordinated to all existing and future indebtedness and other obligations of any of the Company’s subsidiaries.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were listed on the New York Stock Exchange under the symbol “HTFB”. On </w:t>
      </w:r>
      <w:r>
        <w:rPr>
          <w:rStyle w:val="Emphasis"/>
          <w:rFonts w:ascii="Times New Roman" w:hAnsi="Times New Roman"/>
          <w:caps w:val="false"/>
          <w:smallCaps w:val="false"/>
          <w:sz w:val="20"/>
        </w:rPr>
        <w:t xml:space="preserve">January 28, 2026, </w:t>
      </w:r>
      <w:r>
        <w:rPr>
          <w:rFonts w:ascii="Times New Roman" w:hAnsi="Times New Roman"/>
          <w:caps w:val="false"/>
          <w:smallCaps w:val="false"/>
          <w:sz w:val="20"/>
        </w:rPr>
        <w:t xml:space="preserve">the Company redeemed all of the outstanding principal balance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plus accrued interest. The Company accelerated $0.1 million of unamortized debt issuance costs related to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Style w:val="Emphasis"/>
          <w:rFonts w:ascii="Times New Roman" w:hAnsi="Times New Roman"/>
          <w:i/>
          <w:caps w:val="false"/>
          <w:smallCaps w:val="false"/>
          <w:sz w:val="20"/>
        </w:rPr>
        <w:t>2027</w:t>
      </w:r>
      <w:r>
        <w:rPr>
          <w:rFonts w:ascii="Times New Roman" w:hAnsi="Times New Roman"/>
          <w:i/>
          <w:caps w:val="false"/>
          <w:smallCaps w:val="false"/>
          <w:sz w:val="20"/>
        </w:rPr>
        <w:t xml:space="preserv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6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15, 2022, </w:t>
      </w:r>
      <w:r>
        <w:rPr>
          <w:rFonts w:ascii="Times New Roman" w:hAnsi="Times New Roman"/>
          <w:caps w:val="false"/>
          <w:smallCaps w:val="false"/>
          <w:sz w:val="20"/>
        </w:rPr>
        <w:t xml:space="preserve">the Company issued and sold an aggregate principal amount of $50.0 million of 6.25% notes due in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and on </w:t>
      </w:r>
      <w:r>
        <w:rPr>
          <w:rStyle w:val="Emphasis"/>
          <w:rFonts w:ascii="Times New Roman" w:hAnsi="Times New Roman"/>
          <w:caps w:val="false"/>
          <w:smallCaps w:val="false"/>
          <w:sz w:val="20"/>
        </w:rPr>
        <w:t xml:space="preserve">July 11, 2022, </w:t>
      </w:r>
      <w:r>
        <w:rPr>
          <w:rFonts w:ascii="Times New Roman" w:hAnsi="Times New Roman"/>
          <w:caps w:val="false"/>
          <w:smallCaps w:val="false"/>
          <w:sz w:val="20"/>
        </w:rPr>
        <w:t xml:space="preserve">pursuant to the underwriters’ </w:t>
      </w:r>
      <w:r>
        <w:rPr>
          <w:rStyle w:val="Emphasis"/>
          <w:rFonts w:ascii="Times New Roman" w:hAnsi="Times New Roman"/>
          <w:caps w:val="false"/>
          <w:smallCaps w:val="false"/>
          <w:sz w:val="20"/>
        </w:rPr>
        <w:t>30</w:t>
      </w:r>
      <w:r>
        <w:rPr>
          <w:rFonts w:ascii="Times New Roman" w:hAnsi="Times New Roman"/>
          <w:caps w:val="false"/>
          <w:smallCaps w:val="false"/>
          <w:sz w:val="20"/>
        </w:rPr>
        <w:t>-day option to purchase additional notes, the Company sold an additional $7.5 million of such notes (collectively, 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have a stated maturity of </w:t>
      </w:r>
      <w:r>
        <w:rPr>
          <w:rStyle w:val="Emphasis"/>
          <w:rFonts w:ascii="Times New Roman" w:hAnsi="Times New Roman"/>
          <w:caps w:val="false"/>
          <w:smallCaps w:val="false"/>
          <w:sz w:val="20"/>
        </w:rPr>
        <w:t xml:space="preserve">June 15, 2027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redeemed in whole or in part at the Company’s option at any time or from time to time on or after </w:t>
      </w:r>
      <w:r>
        <w:rPr>
          <w:rStyle w:val="Emphasis"/>
          <w:rFonts w:ascii="Times New Roman" w:hAnsi="Times New Roman"/>
          <w:caps w:val="false"/>
          <w:smallCaps w:val="false"/>
          <w:sz w:val="20"/>
        </w:rPr>
        <w:t xml:space="preserve">June 15, 2024 </w:t>
      </w:r>
      <w:r>
        <w:rPr>
          <w:rFonts w:ascii="Times New Roman" w:hAnsi="Times New Roman"/>
          <w:caps w:val="false"/>
          <w:smallCaps w:val="false"/>
          <w:sz w:val="20"/>
        </w:rPr>
        <w:t xml:space="preserve">at a redemption price of $25 per security plus accrued and unpaid interest. 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bear interest at a rate of 6.25% per year, payable quarterly on </w:t>
      </w:r>
      <w:r>
        <w:rPr>
          <w:rStyle w:val="Emphasis"/>
          <w:rFonts w:ascii="Times New Roman" w:hAnsi="Times New Roman"/>
          <w:caps w:val="false"/>
          <w:smallCaps w:val="false"/>
          <w:sz w:val="20"/>
        </w:rPr>
        <w:t xml:space="preserve">March 30, June 30, September 30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w:t>
      </w:r>
      <w:r>
        <w:rPr>
          <w:rFonts w:ascii="Times New Roman" w:hAnsi="Times New Roman"/>
          <w:caps w:val="false"/>
          <w:smallCaps w:val="false"/>
          <w:sz w:val="20"/>
        </w:rPr>
        <w:t xml:space="preserve">of each year, commencing on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are the Company’s direct unsecured obligations and (i) rank equally in right of payment with the Company’s current and future unsecured indebtedness; (ii) are senior in right of payment to any of the Company’s future indebtedness that expressly provides it is subordinated to 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Company was in material compliance with the terms of 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The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Notes are listed on the New York Stock Exchange under the symbol “HTFC”.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Style w:val="Emphasis"/>
          <w:rFonts w:ascii="Times New Roman" w:hAnsi="Times New Roman"/>
          <w:i/>
          <w:caps w:val="false"/>
          <w:smallCaps w:val="false"/>
          <w:sz w:val="20"/>
          <w:shd w:fill="FFFFFF" w:val="clear"/>
        </w:rPr>
        <w:t>2028</w:t>
      </w:r>
      <w:r>
        <w:rPr>
          <w:rFonts w:ascii="Times New Roman" w:hAnsi="Times New Roman"/>
          <w:i/>
          <w:caps w:val="false"/>
          <w:smallCaps w:val="false"/>
          <w:sz w:val="20"/>
          <w:shd w:fill="FFFFFF" w:val="clear"/>
        </w:rPr>
        <w:t>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6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the Company issued and sold an aggregate principal amount of $57.5 million of 7.00% notes due in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in a private transaction. 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have a stated maturity of </w:t>
      </w:r>
      <w:r>
        <w:rPr>
          <w:rStyle w:val="Emphasis"/>
          <w:rFonts w:ascii="Times New Roman" w:hAnsi="Times New Roman"/>
          <w:caps w:val="false"/>
          <w:smallCaps w:val="false"/>
          <w:sz w:val="20"/>
        </w:rPr>
        <w:t>December 15, 2028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redeemed in whole or in part at the Company’s option at any time or from time to time on or prior to </w:t>
      </w:r>
      <w:r>
        <w:rPr>
          <w:rStyle w:val="Emphasis"/>
          <w:rFonts w:ascii="Times New Roman" w:hAnsi="Times New Roman"/>
          <w:caps w:val="false"/>
          <w:smallCaps w:val="false"/>
          <w:sz w:val="20"/>
        </w:rPr>
        <w:t xml:space="preserve"> June 15, 2028, </w:t>
      </w:r>
      <w:r>
        <w:rPr>
          <w:rFonts w:ascii="Times New Roman" w:hAnsi="Times New Roman"/>
          <w:caps w:val="false"/>
          <w:smallCaps w:val="false"/>
          <w:sz w:val="20"/>
        </w:rPr>
        <w:t>at a redemption price equal to the greater of: (</w:t>
      </w:r>
      <w:r>
        <w:rPr>
          <w:rStyle w:val="Emphasis"/>
          <w:rFonts w:ascii="Times New Roman" w:hAnsi="Times New Roman"/>
          <w:caps w:val="false"/>
          <w:smallCaps w:val="false"/>
          <w:sz w:val="20"/>
        </w:rPr>
        <w:t>1</w:t>
      </w:r>
      <w:r>
        <w:rPr>
          <w:rFonts w:ascii="Times New Roman" w:hAnsi="Times New Roman"/>
          <w:caps w:val="false"/>
          <w:smallCaps w:val="false"/>
          <w:sz w:val="20"/>
        </w:rPr>
        <w:t>)(a) the sum of the present values of the remaining scheduled payments of principal and interest thereon discounted to the redemption date on a semi-annual basis at the Treasury Rate plus 50 basis points less (b) interest accrued to the date of redemption,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100% of the principal amount of 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to be redeemed, plus, in either case, accrued and unpaid interest thereon to,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including, the redemption date. On or after </w:t>
      </w:r>
      <w:r>
        <w:rPr>
          <w:rStyle w:val="Emphasis"/>
          <w:rFonts w:ascii="Times New Roman" w:hAnsi="Times New Roman"/>
          <w:caps w:val="false"/>
          <w:smallCaps w:val="false"/>
          <w:sz w:val="20"/>
        </w:rPr>
        <w:t xml:space="preserve">June 15, 2028, </w:t>
      </w: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redeem 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in whole or in part, at any time and from time to time, at a redemption price equal to 100% of the principal amount of 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being redeemed plus accrued and unpaid interest there onto the date of redemption. 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bear interest at a rate of 7.00% per year, payable semi-annually on </w:t>
      </w:r>
      <w:r>
        <w:rPr>
          <w:rStyle w:val="Emphasis"/>
          <w:rFonts w:ascii="Times New Roman" w:hAnsi="Times New Roman"/>
          <w:caps w:val="false"/>
          <w:smallCaps w:val="false"/>
          <w:sz w:val="20"/>
        </w:rPr>
        <w:t xml:space="preserve">June 15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15 </w:t>
      </w:r>
      <w:r>
        <w:rPr>
          <w:rFonts w:ascii="Times New Roman" w:hAnsi="Times New Roman"/>
          <w:caps w:val="false"/>
          <w:smallCaps w:val="false"/>
          <w:sz w:val="20"/>
        </w:rPr>
        <w:t xml:space="preserve">of each year, commencing on </w:t>
      </w:r>
      <w:r>
        <w:rPr>
          <w:rStyle w:val="Emphasis"/>
          <w:rFonts w:ascii="Times New Roman" w:hAnsi="Times New Roman"/>
          <w:caps w:val="false"/>
          <w:smallCaps w:val="false"/>
          <w:sz w:val="20"/>
        </w:rPr>
        <w:t xml:space="preserve">June 15, 2026.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are the Company’s direct unsecured obligations and (i) rank equally in right of payment with the Company’s current and future unsecured indebtedness; (ii) are senior in right of payment to any of the Company’s future indebtedness that expressly provides it is subordinated to the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Company was in material compliance with the terms of the </w:t>
      </w:r>
      <w:r>
        <w:rPr>
          <w:rStyle w:val="Emphasis"/>
          <w:rFonts w:ascii="Times New Roman" w:hAnsi="Times New Roman"/>
          <w:caps w:val="false"/>
          <w:smallCaps w:val="false"/>
          <w:sz w:val="20"/>
        </w:rPr>
        <w:t>2028</w:t>
      </w:r>
      <w:r>
        <w:rPr>
          <w:rFonts w:ascii="Times New Roman" w:hAnsi="Times New Roman"/>
          <w:caps w:val="false"/>
          <w:smallCaps w:val="false"/>
          <w:sz w:val="20"/>
        </w:rPr>
        <w:t>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Style w:val="Emphasis"/>
          <w:rFonts w:ascii="Times New Roman" w:hAnsi="Times New Roman"/>
          <w:i/>
          <w:caps w:val="false"/>
          <w:smallCaps w:val="false"/>
          <w:sz w:val="20"/>
        </w:rPr>
        <w:t>2030</w:t>
      </w:r>
      <w:r>
        <w:rPr>
          <w:rFonts w:ascii="Times New Roman" w:hAnsi="Times New Roman"/>
          <w:i/>
          <w:caps w:val="false"/>
          <w:smallCaps w:val="false"/>
          <w:sz w:val="20"/>
        </w:rPr>
        <w:t>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6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4, 2025, </w:t>
      </w:r>
      <w:r>
        <w:rPr>
          <w:rFonts w:ascii="Times New Roman" w:hAnsi="Times New Roman"/>
          <w:caps w:val="false"/>
          <w:smallCaps w:val="false"/>
          <w:sz w:val="20"/>
        </w:rPr>
        <w:t>the Company entered into a note purchase agreement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Purchase Agreement”), by and among the Company and each purchaser named therein, in connection with the issuance and sale of $40.0 million aggregate principal of the Company’s 5.50% convertible notes due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in a transaction exempt from registration pursuant to Section </w:t>
      </w:r>
      <w:r>
        <w:rPr>
          <w:rStyle w:val="Emphasis"/>
          <w:rFonts w:ascii="Times New Roman" w:hAnsi="Times New Roman"/>
          <w:caps w:val="false"/>
          <w:smallCaps w:val="false"/>
          <w:sz w:val="20"/>
        </w:rPr>
        <w:t>4</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Company received net proceeds (before expenses) from the sale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of approximately $36.6 million.</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4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mature on </w:t>
      </w:r>
      <w:r>
        <w:rPr>
          <w:rStyle w:val="Emphasis"/>
          <w:rFonts w:ascii="Times New Roman" w:hAnsi="Times New Roman"/>
          <w:caps w:val="false"/>
          <w:smallCaps w:val="false"/>
          <w:sz w:val="20"/>
        </w:rPr>
        <w:t xml:space="preserve">September 4, 2030, </w:t>
      </w:r>
      <w:r>
        <w:rPr>
          <w:rFonts w:ascii="Times New Roman" w:hAnsi="Times New Roman"/>
          <w:caps w:val="false"/>
          <w:smallCaps w:val="false"/>
          <w:sz w:val="20"/>
        </w:rPr>
        <w:t xml:space="preserve">unless earlier converted or repurchased in accordance with their terms.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bear interest at a rate of 5.50% per year, payable monthly in arrears on the last day of each calendar month, beginning on </w:t>
      </w:r>
      <w:r>
        <w:rPr>
          <w:rStyle w:val="Emphasis"/>
          <w:rFonts w:ascii="Times New Roman" w:hAnsi="Times New Roman"/>
          <w:caps w:val="false"/>
          <w:smallCaps w:val="false"/>
          <w:sz w:val="20"/>
        </w:rPr>
        <w:t>September 30, 2025. </w:t>
      </w:r>
    </w:p>
    <w:p>
      <w:pPr>
        <w:pStyle w:val="TextBody"/>
        <w:bidi w:val="0"/>
        <w:spacing w:before="0" w:after="0"/>
        <w:ind w:left="140" w:right="0" w:firstLine="360"/>
        <w:jc w:val="both"/>
        <w:rPr>
          <w:caps w:val="false"/>
          <w:smallCaps w:val="false"/>
        </w:rPr>
      </w:pPr>
      <w:r>
        <w:rPr>
          <w:caps w:val="false"/>
          <w:smallCaps w:val="false"/>
        </w:rPr>
        <w:t> </w:t>
      </w:r>
    </w:p>
    <w:p>
      <w:pPr>
        <w:pStyle w:val="TextBody"/>
        <w:bidi w:val="0"/>
        <w:spacing w:before="0" w:after="0"/>
        <w:ind w:left="16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are direct unsecured obligations of the Company and rank (i) equal in right of payment to the Company’s existing and future unsecured indebtedness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subordinated in right of payment to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(ii) senior in right of payment to the Company’s future indebtedness that is expressly subordinated in right of payment to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(iii) effectively junior in right of payment to the Company’s existing and future secured indebtedness (including unsecured indebtedness that the Company later secures) to the extent of the value of the assets securing such indebtedness; and (iv) structurally junior to all existing and future indebtedness and other obligations of any of the Company’s subsidiaries.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sinking fund is provided for the </w:t>
      </w:r>
      <w:r>
        <w:rPr>
          <w:rStyle w:val="Emphasis"/>
          <w:rFonts w:ascii="Times New Roman" w:hAnsi="Times New Roman"/>
          <w:caps w:val="false"/>
          <w:smallCaps w:val="false"/>
          <w:sz w:val="20"/>
        </w:rPr>
        <w:t>2030</w:t>
      </w:r>
      <w:r>
        <w:rPr>
          <w:rFonts w:ascii="Times New Roman" w:hAnsi="Times New Roman"/>
          <w:caps w:val="false"/>
          <w:smallCaps w:val="false"/>
          <w:sz w:val="20"/>
        </w:rPr>
        <w:t>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360"/>
        <w:jc w:val="both"/>
      </w:pPr>
      <w:r>
        <w:rPr>
          <w:rFonts w:ascii="Times New Roman" w:hAnsi="Times New Roman"/>
          <w:caps w:val="false"/>
          <w:smallCaps w:val="false"/>
          <w:sz w:val="20"/>
        </w:rPr>
        <w:t xml:space="preserve">At any time on or after </w:t>
      </w:r>
      <w:r>
        <w:rPr>
          <w:rStyle w:val="Emphasis"/>
          <w:rFonts w:ascii="Times New Roman" w:hAnsi="Times New Roman"/>
          <w:caps w:val="false"/>
          <w:smallCaps w:val="false"/>
          <w:sz w:val="20"/>
        </w:rPr>
        <w:t xml:space="preserve">October 4, 2025, </w:t>
      </w:r>
      <w:r>
        <w:rPr>
          <w:rFonts w:ascii="Times New Roman" w:hAnsi="Times New Roman"/>
          <w:caps w:val="false"/>
          <w:smallCaps w:val="false"/>
          <w:sz w:val="20"/>
        </w:rPr>
        <w:t>at the Company’s sole option,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redeem, from time to time, the </w:t>
      </w:r>
      <w:r>
        <w:rPr>
          <w:rStyle w:val="Emphasis"/>
          <w:rFonts w:ascii="Times New Roman" w:hAnsi="Times New Roman"/>
          <w:caps w:val="false"/>
          <w:smallCaps w:val="false"/>
          <w:sz w:val="20"/>
        </w:rPr>
        <w:t>2030</w:t>
      </w:r>
      <w:r>
        <w:rPr>
          <w:rFonts w:ascii="Times New Roman" w:hAnsi="Times New Roman"/>
          <w:caps w:val="false"/>
          <w:smallCaps w:val="false"/>
          <w:sz w:val="20"/>
        </w:rPr>
        <w:t> Convertible Notes in whole or in part, out of funds legally available for such redemption, at 100% of the principal amount prepaid plus accrued but unpaid interest to but excluding the date of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360"/>
        <w:jc w:val="both"/>
      </w:pPr>
      <w:r>
        <w:rPr>
          <w:rFonts w:ascii="Times New Roman" w:hAnsi="Times New Roman"/>
          <w:caps w:val="false"/>
          <w:smallCaps w:val="false"/>
          <w:sz w:val="20"/>
        </w:rPr>
        <w:t xml:space="preserve">Each holder of a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 has the right, at such holder’s option, to convert any such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 at any time on or after </w:t>
      </w:r>
      <w:r>
        <w:rPr>
          <w:rStyle w:val="Emphasis"/>
          <w:rFonts w:ascii="Times New Roman" w:hAnsi="Times New Roman"/>
          <w:caps w:val="false"/>
          <w:smallCaps w:val="false"/>
          <w:sz w:val="20"/>
        </w:rPr>
        <w:t xml:space="preserve">October 4, 2025 </w:t>
      </w:r>
      <w:r>
        <w:rPr>
          <w:rFonts w:ascii="Times New Roman" w:hAnsi="Times New Roman"/>
          <w:caps w:val="false"/>
          <w:smallCaps w:val="false"/>
          <w:sz w:val="20"/>
        </w:rPr>
        <w:t xml:space="preserve">and prior to the close of business on the business day immediately preceding the maturity date, once or more times per calendar month, into such number of shares of common stock of the Company equal to the principal balance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 being converted on the conversion date plus the accrued but unpaid interest on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 as of the conversion date, divided by the greater of (i) volume-weighted average closing sale price for the five trading days immediately prior to the relevant conversion date, or (ii) the Company’s most recently reported net asset value (“NAV”) per share immediately prior to the date of the notice of such exercise. If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were converted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2,640,449 shares would have been issued based on the Company’s most recently reported NAV per share immediately prior to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of $6.23. The last reported price for the Company’s common stock on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was $4.59 per share.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40" w:right="0" w:firstLine="360"/>
        <w:jc w:val="both"/>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holder of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exercise its conversion right if, upon conversion, the holder would receive shares that would cause funds and accounts managed by the investment adviser to such funds and accounts and any person controlled by the parent company of such investment adviser to beneficially own in the aggregate more than 4.99% of the shares outstanding at such time.</w:t>
      </w:r>
    </w:p>
    <w:p>
      <w:pPr>
        <w:pStyle w:val="TextBody"/>
        <w:bidi w:val="0"/>
        <w:spacing w:before="0" w:after="0"/>
        <w:ind w:left="140" w:right="0" w:firstLine="360"/>
        <w:jc w:val="both"/>
        <w:rPr>
          <w:caps w:val="false"/>
          <w:smallCaps w:val="false"/>
        </w:rPr>
      </w:pPr>
      <w:r>
        <w:rPr>
          <w:caps w:val="false"/>
          <w:smallCaps w:val="false"/>
        </w:rPr>
        <w:t> </w:t>
      </w:r>
    </w:p>
    <w:p>
      <w:pPr>
        <w:pStyle w:val="TextBody"/>
        <w:bidi w:val="0"/>
        <w:spacing w:before="0" w:after="0"/>
        <w:ind w:left="14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listed on any exchange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transferred without the consent of the Company.</w:t>
      </w:r>
    </w:p>
    <w:p>
      <w:pPr>
        <w:pStyle w:val="TextBody"/>
        <w:bidi w:val="0"/>
        <w:spacing w:before="0" w:after="0"/>
        <w:ind w:left="140" w:right="0" w:firstLine="360"/>
        <w:jc w:val="both"/>
        <w:rPr>
          <w:caps w:val="false"/>
          <w:smallCaps w:val="false"/>
        </w:rPr>
      </w:pPr>
      <w:r>
        <w:rPr>
          <w:caps w:val="false"/>
          <w:smallCaps w:val="false"/>
        </w:rPr>
        <w:t> </w:t>
      </w:r>
    </w:p>
    <w:p>
      <w:pPr>
        <w:pStyle w:val="TextBody"/>
        <w:bidi w:val="0"/>
        <w:spacing w:before="0" w:after="0"/>
        <w:ind w:left="16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are recorded at their contractual amounts. At issuance, the Company determined that the embedded conversion option in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be separately accounted for as a derivative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4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convert any of the </w:t>
      </w:r>
      <w:r>
        <w:rPr>
          <w:rStyle w:val="Emphasis"/>
          <w:rFonts w:ascii="Times New Roman" w:hAnsi="Times New Roman"/>
          <w:caps w:val="false"/>
          <w:smallCaps w:val="false"/>
          <w:sz w:val="20"/>
        </w:rPr>
        <w:t>2030</w:t>
      </w:r>
      <w:r>
        <w:rPr>
          <w:rFonts w:ascii="Times New Roman" w:hAnsi="Times New Roman"/>
          <w:caps w:val="false"/>
          <w:smallCaps w:val="false"/>
          <w:sz w:val="20"/>
        </w:rPr>
        <w:t> Convertible Notes.</w:t>
      </w:r>
    </w:p>
    <w:p>
      <w:pPr>
        <w:pStyle w:val="TextBody"/>
        <w:bidi w:val="0"/>
        <w:spacing w:before="0" w:after="0"/>
        <w:ind w:left="140" w:right="0" w:firstLine="360"/>
        <w:jc w:val="both"/>
        <w:rPr>
          <w:caps w:val="false"/>
          <w:smallCaps w:val="false"/>
        </w:rPr>
      </w:pPr>
      <w:r>
        <w:rPr>
          <w:caps w:val="false"/>
          <w:smallCaps w:val="false"/>
        </w:rPr>
        <w:t> </w:t>
      </w:r>
    </w:p>
    <w:p>
      <w:pPr>
        <w:pStyle w:val="TextBody"/>
        <w:bidi w:val="0"/>
        <w:spacing w:before="0" w:after="0"/>
        <w:ind w:left="14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holders of a portion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converted $15.1 million in outstanding principal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plus accrued but unpaid interest on such outstanding principal as of the conversion date into 2,118,250 shares of common stock at a weighted average conversion price of $7.12 together with cash in lieu of fractional shares, in accordance with noteholder conversion notice. The Company accelerated $1.3 million of unamortized debt issuance costs related to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40" w:right="0" w:firstLine="360"/>
        <w:jc w:val="both"/>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aggregate outstanding principal balance of the </w:t>
      </w:r>
      <w:r>
        <w:rPr>
          <w:rStyle w:val="Emphasis"/>
          <w:rFonts w:ascii="Times New Roman" w:hAnsi="Times New Roman"/>
          <w:caps w:val="false"/>
          <w:smallCaps w:val="false"/>
          <w:sz w:val="20"/>
        </w:rPr>
        <w:t>2030</w:t>
      </w:r>
      <w:r>
        <w:rPr>
          <w:rFonts w:ascii="Times New Roman" w:hAnsi="Times New Roman"/>
          <w:caps w:val="false"/>
          <w:smallCaps w:val="false"/>
          <w:sz w:val="20"/>
        </w:rPr>
        <w:t> Convertible Notes was $16.5 million and $31.5 million,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pPr>
      <w:r>
        <w:rPr>
          <w:rStyle w:val="Emphasis"/>
          <w:rFonts w:ascii="Times New Roman" w:hAnsi="Times New Roman"/>
          <w:i/>
          <w:caps w:val="false"/>
          <w:smallCaps w:val="false"/>
          <w:sz w:val="20"/>
        </w:rPr>
        <w:t>2031</w:t>
      </w:r>
      <w:r>
        <w:rPr>
          <w:rFonts w:ascii="Times New Roman" w:hAnsi="Times New Roman"/>
          <w:i/>
          <w:caps w:val="false"/>
          <w:smallCaps w:val="false"/>
          <w:sz w:val="20"/>
        </w:rPr>
        <w:t xml:space="preserv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17, 2024, </w:t>
      </w:r>
      <w:r>
        <w:rPr>
          <w:rFonts w:ascii="Times New Roman" w:hAnsi="Times New Roman"/>
          <w:caps w:val="false"/>
          <w:smallCaps w:val="false"/>
          <w:sz w:val="20"/>
        </w:rPr>
        <w:t>the Company entered into a note purchase agreement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Note Purchase Agreement”, by and among the Company and each purchaser named therein, in connection with the issuance and sale of $20.0 million aggregate principal of the Company’s 7.125% convertible notes due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and collectively with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the “Convertible Notes”), in a transaction exempt from registration pursuant to Section </w:t>
      </w:r>
      <w:r>
        <w:rPr>
          <w:rStyle w:val="Emphasis"/>
          <w:rFonts w:ascii="Times New Roman" w:hAnsi="Times New Roman"/>
          <w:caps w:val="false"/>
          <w:smallCaps w:val="false"/>
          <w:sz w:val="20"/>
        </w:rPr>
        <w:t>4</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Company received net proceeds (before expenses) from the sale of the </w:t>
      </w:r>
      <w:r>
        <w:rPr>
          <w:rStyle w:val="Emphasis"/>
          <w:rFonts w:ascii="Times New Roman" w:hAnsi="Times New Roman"/>
          <w:caps w:val="false"/>
          <w:smallCaps w:val="false"/>
          <w:sz w:val="20"/>
        </w:rPr>
        <w:t>2031</w:t>
      </w:r>
      <w:r>
        <w:rPr>
          <w:rFonts w:ascii="Times New Roman" w:hAnsi="Times New Roman"/>
          <w:caps w:val="false"/>
          <w:smallCaps w:val="false"/>
          <w:sz w:val="20"/>
        </w:rPr>
        <w:t> Convertible Notes of approximately $18.6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mature on </w:t>
      </w:r>
      <w:r>
        <w:rPr>
          <w:rStyle w:val="Emphasis"/>
          <w:rFonts w:ascii="Times New Roman" w:hAnsi="Times New Roman"/>
          <w:caps w:val="false"/>
          <w:smallCaps w:val="false"/>
          <w:sz w:val="20"/>
        </w:rPr>
        <w:t xml:space="preserve">October 17, 2031, </w:t>
      </w:r>
      <w:r>
        <w:rPr>
          <w:rFonts w:ascii="Times New Roman" w:hAnsi="Times New Roman"/>
          <w:caps w:val="false"/>
          <w:smallCaps w:val="false"/>
          <w:sz w:val="20"/>
        </w:rPr>
        <w:t xml:space="preserve">unless earlier converted or repurchased in accordance with their terms.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bear interest at a rate of 7.125% per year, subject to additional interest or repurchase obligation upon certain events, payable quarterly in arrears on </w:t>
      </w:r>
      <w:r>
        <w:rPr>
          <w:rStyle w:val="Emphasis"/>
          <w:rFonts w:ascii="Times New Roman" w:hAnsi="Times New Roman"/>
          <w:caps w:val="false"/>
          <w:smallCaps w:val="false"/>
          <w:sz w:val="20"/>
        </w:rPr>
        <w:t xml:space="preserve">March 31, June 30, September 30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each year, beginning on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If an investment grade rating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maintained with respect to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additional interest of 1.00% per annum will accrue on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until such time as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have received an investment grade rating of “BBB-” (or its equivalent) or better. The Company will also be required to pay additional interest of 2.00% per annum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on any overdue payment of interest and (y) during the continuance of an Event of Default (as defined in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Note Purchase Agreement). In addition, on the occurrence of a Change in Control Repurchase Event (as defined in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Note Purchase Agreement) or Delisting Event (as defined in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Note Purchase Agreement), the Company will generally be required to make an offer to purchase the outstanding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at a price equal to 100% of the principal amount of such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plus accrued and unpaid interest to the repurchase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are direct unsecured obligations of the Company and rank (i) equal in right of payment to the Company’s existing and future unsecured indebtedness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subordinated in right of payment to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(ii) senior in right of payment to the Company’s future indebtedness that is expressly subordinated in right of payment to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(iii) effectively junior in right of payment to the Company’s existing and future secured indebtedness (including unsecured indebtedness that the Company later secures) to the extent of the value of the assets securing such indebtedness; and (iv) structurally junior to all existing and future indebtedness and other obligations of any of the Company’s subsidiaries.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sinking fund is provided for the </w:t>
      </w:r>
      <w:r>
        <w:rPr>
          <w:rStyle w:val="Emphasis"/>
          <w:rFonts w:ascii="Times New Roman" w:hAnsi="Times New Roman"/>
          <w:caps w:val="false"/>
          <w:smallCaps w:val="false"/>
          <w:sz w:val="20"/>
        </w:rPr>
        <w:t>2031</w:t>
      </w:r>
      <w:r>
        <w:rPr>
          <w:rFonts w:ascii="Times New Roman" w:hAnsi="Times New Roman"/>
          <w:caps w:val="false"/>
          <w:smallCaps w:val="false"/>
          <w:sz w:val="20"/>
        </w:rPr>
        <w:t>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At any time on or after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at the Company’s sole option,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redeem, from time to time,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in whole or in part, out of funds legally available for such redemption, at 100% of the principal amount prepaid plus accrued but unpaid interest to but excluding the date of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Each holder of a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 has the right, at such holder’s option, to convert any such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 at any time on or after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and prior to the close of business on the business day immediately preceding the maturity date, into such number of shares of common stock of the Company equal to the principal balance of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 being converted on the conversion date plus the accrued but unpaid interest on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 as of the conversion date, divided by the greater of (i) volume-weighted average closing sale price for the five trading days immediately prior to the relevant conversion date, or (ii) the Company’s most recently reported NAV per Share immediately prior to the date of exercise. If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were converted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441,413 shares would have been issued based on the Company’s most recently reported NAV per share immediately prior to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of $6.23. The last reported price for the Company’s common stock on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was $4.59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holder of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exercise its conversion right if, upon conversion, the holder would receive shares that would cause funds and accounts managed by the investment adviser to such funds and accounts and any person controlled by the parent company of such investment adviser to beneficially own in the aggregate more than 4.99% of the shares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listed on any exchange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transferred without the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are recorded at their contractual amounts. At issuance, the Company determined that the embedded conversion option in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be separately accounted for as a derivative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holders of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convert any of the </w:t>
      </w:r>
      <w:r>
        <w:rPr>
          <w:rStyle w:val="Emphasis"/>
          <w:rFonts w:ascii="Times New Roman" w:hAnsi="Times New Roman"/>
          <w:caps w:val="false"/>
          <w:smallCaps w:val="false"/>
          <w:sz w:val="20"/>
        </w:rPr>
        <w:t>2031</w:t>
      </w:r>
      <w:r>
        <w:rPr>
          <w:rFonts w:ascii="Times New Roman" w:hAnsi="Times New Roman"/>
          <w:caps w:val="false"/>
          <w:smallCaps w:val="false"/>
          <w:sz w:val="20"/>
        </w:rPr>
        <w:t>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holders of a portion of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converted $4.8 million and $17.3 million, respectively, in outstanding principal of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plus accrued but unpaid interest on such outstanding principal as of the conversion date into 643,043 and 2,264,546 shares of common stock, respectively, at a weighted average conversion price of $7.43 and $7.69, respectively, together with cash in lieu of fractional shares, in accordance with noteholder conversion notice. The Company accelerated $0.4 million and $1.2 million, respectively, of unamortized debt issuance costs related to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aggregate outstanding principal balance of the </w:t>
      </w:r>
      <w:r>
        <w:rPr>
          <w:rStyle w:val="Emphasis"/>
          <w:rFonts w:ascii="Times New Roman" w:hAnsi="Times New Roman"/>
          <w:caps w:val="false"/>
          <w:smallCaps w:val="false"/>
          <w:sz w:val="20"/>
        </w:rPr>
        <w:t>2031</w:t>
      </w:r>
      <w:r>
        <w:rPr>
          <w:rFonts w:ascii="Times New Roman" w:hAnsi="Times New Roman"/>
          <w:caps w:val="false"/>
          <w:smallCaps w:val="false"/>
          <w:sz w:val="20"/>
        </w:rPr>
        <w:t> Convertible Notes was $2.8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Financial instruments with off-balance-sheet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balance of unfunded commitments to extend credit was $136.1 million and $104.0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respectively. Commitments to extend credit consist principally of the unused portions of commitments that obligate the Company to extend credit, often subject to financial or non-financial milestones and other conditions to borrow that must be achieved before the commitment can be drawn. In addition, the commitments generally have fixed expiration dates or other termination clauses. Since commitments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expire without being drawn upon, the total commitment amounts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represent future cash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provides the Company’s unfunded commitments by portfolio company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3425"/>
        <w:gridCol w:w="60"/>
        <w:gridCol w:w="165"/>
        <w:gridCol w:w="920"/>
        <w:gridCol w:w="64"/>
        <w:gridCol w:w="64"/>
        <w:gridCol w:w="234"/>
        <w:gridCol w:w="910"/>
        <w:gridCol w:w="60"/>
        <w:gridCol w:w="60"/>
        <w:gridCol w:w="165"/>
        <w:gridCol w:w="920"/>
        <w:gridCol w:w="69"/>
        <w:gridCol w:w="69"/>
        <w:gridCol w:w="310"/>
        <w:gridCol w:w="834"/>
        <w:gridCol w:w="60"/>
      </w:tblGrid>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center"/>
            </w:pPr>
            <w:r>
              <w:rPr>
                <w:rStyle w:val="Emphasis"/>
              </w:rPr>
              <w:t> </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Fair Value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center"/>
            </w:pPr>
            <w:r>
              <w:rPr>
                <w:rStyle w:val="Emphasis"/>
              </w:rPr>
              <w:t> </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Fair Value of</w:t>
            </w:r>
          </w:p>
        </w:tc>
        <w:tc>
          <w:tcPr>
            <w:tcW w:w="60" w:type="dxa"/>
            <w:tcBorders/>
            <w:shd w:fill="FFFF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center"/>
            </w:pPr>
            <w:r>
              <w:rPr>
                <w:rStyle w:val="Emphasis"/>
              </w:rPr>
              <w:t> </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Unfunded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center"/>
            </w:pPr>
            <w:r>
              <w:rPr>
                <w:rStyle w:val="Emphasis"/>
              </w:rPr>
              <w:t> </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Unfunded</w:t>
            </w:r>
          </w:p>
        </w:tc>
        <w:tc>
          <w:tcPr>
            <w:tcW w:w="60" w:type="dxa"/>
            <w:tcBorders/>
            <w:shd w:fill="FFFF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Commitment</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Commitment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Commitment</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Commitment</w:t>
            </w:r>
          </w:p>
        </w:tc>
        <w:tc>
          <w:tcPr>
            <w:tcW w:w="60" w:type="dxa"/>
            <w:tcBorders/>
            <w:shd w:fill="FFFF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Liability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Liability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5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6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Bastille Buyer,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2,727</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jc w:val="right"/>
            </w:pPr>
            <w:r>
              <w:t>—</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Bioness Medical, Inc.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Britecore Holdings,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Ceribell, Inc.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pPr>
            <w:r>
              <w:t>—</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ind w:left="0" w:right="0" w:hanging="0"/>
              <w:jc w:val="left"/>
            </w:pPr>
            <w:r>
              <w:t> </w:t>
            </w:r>
          </w:p>
        </w:tc>
        <w:tc>
          <w:tcPr>
            <w:tcW w:w="91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ind w:left="0" w:right="0" w:hanging="0"/>
              <w:jc w:val="left"/>
            </w:pPr>
            <w: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Crafty Holdings,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ESO Solutions, Inc.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2,880</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Medical Technologies,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HiveMQ Inc.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Hyperfine,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Infobionic, Inc.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Grove Pharmaceuticals LLC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MasteryPrep, LLC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MML US,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ind w:left="0" w:right="0" w:hanging="0"/>
              <w:jc w:val="left"/>
            </w:pPr>
            <w: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ind w:left="0" w:right="0" w:hanging="0"/>
              <w:jc w:val="left"/>
            </w:pPr>
            <w: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Onkos</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Pelthos Therapeutics,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Phigenics Holdings, Inc.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Samba TV,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Sonex Health, Inc.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6,666</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SparkCharge,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StarCompliance Midco, LLC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920" w:type="dxa"/>
            <w:tcBorders/>
            <w:shd w:fill="FFFFFF" w:val="clear"/>
            <w:vAlign w:val="center"/>
          </w:tcPr>
          <w:p>
            <w:pPr>
              <w:pStyle w:val="TableContents"/>
              <w:bidi w:val="0"/>
              <w:spacing w:before="0" w:after="283"/>
              <w:jc w:val="right"/>
            </w:pPr>
            <w:r>
              <w:t>—</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jc w:val="left"/>
            </w:pPr>
            <w:r>
              <w:t> </w:t>
            </w:r>
          </w:p>
        </w:tc>
        <w:tc>
          <w:tcPr>
            <w:tcW w:w="834"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Stellar Cyber,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Supply Network Visibility Holdings, LLC</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pPr>
            <w:r>
              <w:t>—</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ind w:left="0" w:right="0" w:hanging="0"/>
              <w:jc w:val="left"/>
            </w:pPr>
            <w:r>
              <w:t> </w:t>
            </w:r>
          </w:p>
        </w:tc>
        <w:tc>
          <w:tcPr>
            <w:tcW w:w="91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9"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310" w:type="dxa"/>
            <w:tcBorders/>
            <w:shd w:fill="FFFFFF" w:val="clear"/>
            <w:vAlign w:val="center"/>
          </w:tcPr>
          <w:p>
            <w:pPr>
              <w:pStyle w:val="TableContents"/>
              <w:bidi w:val="0"/>
              <w:spacing w:before="0" w:after="283"/>
              <w:ind w:left="0" w:right="0" w:hanging="0"/>
              <w:jc w:val="left"/>
            </w:pPr>
            <w: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Volt Bidco, Inc.</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6,899</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920" w:type="dxa"/>
            <w:tcBorders/>
            <w:shd w:fill="CCEEFF" w:val="clear"/>
            <w:vAlign w:val="center"/>
          </w:tcPr>
          <w:p>
            <w:pPr>
              <w:pStyle w:val="TableContents"/>
              <w:bidi w:val="0"/>
              <w:spacing w:before="0" w:after="283"/>
              <w:jc w:val="right"/>
            </w:pPr>
            <w:r>
              <w:t>—</w:t>
            </w:r>
          </w:p>
        </w:tc>
        <w:tc>
          <w:tcPr>
            <w:tcW w:w="69"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31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16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136,056</w:t>
            </w:r>
          </w:p>
        </w:tc>
        <w:tc>
          <w:tcPr>
            <w:tcW w:w="6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23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104,000</w:t>
            </w:r>
          </w:p>
        </w:tc>
        <w:tc>
          <w:tcPr>
            <w:tcW w:w="6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ind w:left="0" w:right="0" w:hanging="0"/>
              <w:jc w:val="left"/>
            </w:pPr>
            <w:r>
              <w:t> </w:t>
            </w:r>
          </w:p>
        </w:tc>
        <w:tc>
          <w:tcPr>
            <w:tcW w:w="31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 table above also provides the fair value of the Company’s unfunded commitment liability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which totaled $1.3 million and $0.8 million, respectively.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total investments at fair value on the Company’s consolidated statement of assets and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Company’s debt investments consist primarily of loans to development-stage companies at various stages of development in the technology, life science, healthcare information and services and sustainability industries. Many of these companies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relatively limited operating histories and also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Company’s largest debt investments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vary from period to period as new debt investments are recorded and existing debt investments are repaid. The Company’s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largest debt investments at cost represented 24% and 26% of total debt investments outstanding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respectively. The Company’s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largest debt investments at fair value represented 27% and 26% of total debt investments outstanding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respectively.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single debt investment represented more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total debt investments at cost or fair value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Investment income, consisting of interest and fees, can fluctuate significantly upon repayment of large debt investments. Interest income from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largest debt investments at cost accounted for 26% and 17% of total interest and fee income on investments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Interest income from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largest debt investments at fair value accounted for 26% and 21% of total interest and fee income on investments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Investment income, consisting of interest and fees, can fluctuate significantly upon repayment of large debt investments. Interest income from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largest debt investments at cost accounted for 25% and 17% of total interest and fee income on investments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Interest income from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largest debt investments at fair value accounted for 25% and 20% of total interest and fee income on investments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Prior to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Company recorded distributions to common stockholders on the date the distribution was declared by the Board. On and after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Company records distributions to common stockholders on the ex-dividend date for such distribution. The following table summarizes the Company’s distribution activity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7"/>
        <w:gridCol w:w="60"/>
        <w:gridCol w:w="1539"/>
        <w:gridCol w:w="60"/>
        <w:gridCol w:w="1539"/>
        <w:gridCol w:w="60"/>
        <w:gridCol w:w="219"/>
        <w:gridCol w:w="667"/>
        <w:gridCol w:w="65"/>
        <w:gridCol w:w="65"/>
        <w:gridCol w:w="195"/>
        <w:gridCol w:w="924"/>
        <w:gridCol w:w="65"/>
        <w:gridCol w:w="65"/>
        <w:gridCol w:w="65"/>
        <w:gridCol w:w="759"/>
        <w:gridCol w:w="65"/>
        <w:gridCol w:w="65"/>
        <w:gridCol w:w="136"/>
        <w:gridCol w:w="530"/>
        <w:gridCol w:w="65"/>
      </w:tblGrid>
      <w:tr>
        <w:tc>
          <w:tcPr>
            <w:tcW w:w="299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9"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539"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jc w:val="left"/>
            </w:pPr>
            <w:r>
              <w:t> </w:t>
            </w:r>
          </w:p>
        </w:tc>
        <w:tc>
          <w:tcPr>
            <w:tcW w:w="667" w:type="dxa"/>
            <w:tcBorders/>
            <w:shd w:fill="FFFFFF" w:val="clear"/>
            <w:vAlign w:val="center"/>
          </w:tcPr>
          <w:p>
            <w:pPr>
              <w:pStyle w:val="TableContents"/>
              <w:bidi w:val="0"/>
              <w:spacing w:before="0" w:after="283"/>
              <w:jc w:val="center"/>
            </w:pPr>
            <w:r>
              <w:rPr>
                <w:rStyle w:val="Emphasis"/>
              </w:rP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924" w:type="dxa"/>
            <w:tcBorders/>
            <w:shd w:fill="FFFFFF" w:val="clear"/>
            <w:vAlign w:val="center"/>
          </w:tcPr>
          <w:p>
            <w:pPr>
              <w:pStyle w:val="TableContents"/>
              <w:bidi w:val="0"/>
              <w:spacing w:before="0" w:after="283"/>
              <w:jc w:val="center"/>
            </w:pPr>
            <w:r>
              <w:rPr>
                <w:rStyle w:val="Emphasis"/>
              </w:rP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82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DRIP</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66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DRIP</w:t>
            </w:r>
          </w:p>
        </w:tc>
        <w:tc>
          <w:tcPr>
            <w:tcW w:w="65" w:type="dxa"/>
            <w:tcBorders/>
            <w:shd w:fill="FFFF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shd w:fill="FFFFFF" w:val="clear"/>
            <w:vAlign w:val="center"/>
          </w:tcPr>
          <w:p>
            <w:pPr>
              <w:pStyle w:val="TableContents"/>
              <w:bidi w:val="0"/>
              <w:spacing w:before="0" w:after="283"/>
              <w:jc w:val="left"/>
            </w:pPr>
            <w:r>
              <w:t> </w:t>
            </w:r>
          </w:p>
        </w:tc>
        <w:tc>
          <w:tcPr>
            <w:tcW w:w="1539"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539"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ind w:left="0" w:right="0" w:hanging="0"/>
              <w:jc w:val="left"/>
            </w:pPr>
            <w:r>
              <w:t> </w:t>
            </w:r>
          </w:p>
        </w:tc>
        <w:tc>
          <w:tcPr>
            <w:tcW w:w="88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11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Cash</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82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Shares</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66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Share</w:t>
            </w:r>
          </w:p>
        </w:tc>
        <w:tc>
          <w:tcPr>
            <w:tcW w:w="65" w:type="dxa"/>
            <w:tcBorders/>
            <w:shd w:fill="FFFFFF" w:val="clear"/>
            <w:vAlign w:val="center"/>
          </w:tcPr>
          <w:p>
            <w:pPr>
              <w:pStyle w:val="TableContents"/>
              <w:bidi w:val="0"/>
              <w:spacing w:before="0" w:after="283"/>
              <w:jc w:val="left"/>
            </w:pPr>
            <w:r>
              <w:t> </w:t>
            </w:r>
          </w:p>
        </w:tc>
      </w:tr>
      <w:tr>
        <w:tc>
          <w:tcPr>
            <w:tcW w:w="29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Declared</w:t>
            </w:r>
          </w:p>
        </w:tc>
        <w:tc>
          <w:tcPr>
            <w:tcW w:w="60" w:type="dxa"/>
            <w:tcBorders/>
            <w:shd w:fill="FFFFFF" w:val="clear"/>
            <w:vAlign w:val="center"/>
          </w:tcPr>
          <w:p>
            <w:pPr>
              <w:pStyle w:val="TableContents"/>
              <w:bidi w:val="0"/>
              <w:spacing w:before="0" w:after="283"/>
              <w:ind w:left="0" w:right="0" w:hanging="0"/>
              <w:jc w:val="center"/>
            </w:pPr>
            <w:r>
              <w:t> </w:t>
            </w:r>
          </w:p>
        </w:tc>
        <w:tc>
          <w:tcPr>
            <w:tcW w:w="153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Record Date</w:t>
            </w:r>
          </w:p>
        </w:tc>
        <w:tc>
          <w:tcPr>
            <w:tcW w:w="60" w:type="dxa"/>
            <w:tcBorders/>
            <w:shd w:fill="FFFFFF" w:val="clear"/>
            <w:vAlign w:val="center"/>
          </w:tcPr>
          <w:p>
            <w:pPr>
              <w:pStyle w:val="TableContents"/>
              <w:bidi w:val="0"/>
              <w:spacing w:before="0" w:after="283"/>
              <w:ind w:left="0" w:right="0" w:hanging="0"/>
              <w:jc w:val="center"/>
            </w:pPr>
            <w:r>
              <w:t> </w:t>
            </w:r>
          </w:p>
        </w:tc>
        <w:tc>
          <w:tcPr>
            <w:tcW w:w="153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Payment Date</w:t>
            </w:r>
          </w:p>
        </w:tc>
        <w:tc>
          <w:tcPr>
            <w:tcW w:w="60" w:type="dxa"/>
            <w:tcBorders/>
            <w:shd w:fill="FFFFFF" w:val="clear"/>
            <w:vAlign w:val="center"/>
          </w:tcPr>
          <w:p>
            <w:pPr>
              <w:pStyle w:val="TableContents"/>
              <w:bidi w:val="0"/>
              <w:spacing w:before="0" w:after="283"/>
              <w:ind w:left="0" w:right="0" w:hanging="0"/>
              <w:jc w:val="left"/>
            </w:pPr>
            <w:r>
              <w:t> </w:t>
            </w:r>
          </w:p>
        </w:tc>
        <w:tc>
          <w:tcPr>
            <w:tcW w:w="8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Per Share</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1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Distribution</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8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Issued</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6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Value</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8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share and per share data)</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 2026</w:t>
            </w:r>
          </w:p>
        </w:tc>
        <w:tc>
          <w:tcPr>
            <w:tcW w:w="60" w:type="dxa"/>
            <w:tcBorders/>
            <w:shd w:fill="CCEEFF" w:val="clear"/>
            <w:vAlign w:val="center"/>
          </w:tcPr>
          <w:p>
            <w:pPr>
              <w:pStyle w:val="TableContents"/>
              <w:bidi w:val="0"/>
              <w:spacing w:before="0" w:after="283"/>
              <w:jc w:val="left"/>
            </w:pPr>
            <w:r>
              <w:t> </w:t>
            </w:r>
          </w:p>
        </w:tc>
        <w:tc>
          <w:tcPr>
            <w:tcW w:w="153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759"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530"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November 17,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December 15, 2026</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4" w:type="dxa"/>
            <w:tcBorders/>
            <w:shd w:fill="FFFFFF" w:val="clear"/>
            <w:vAlign w:val="center"/>
          </w:tcPr>
          <w:p>
            <w:pPr>
              <w:pStyle w:val="TableContents"/>
              <w:bidi w:val="0"/>
              <w:spacing w:before="0" w:after="283"/>
              <w:jc w:val="right"/>
            </w:pPr>
            <w:r>
              <w:t>—</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pPr>
            <w:r>
              <w:t>—</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0" w:type="dxa"/>
            <w:tcBorders/>
            <w:shd w:fill="FFFFFF" w:val="clear"/>
            <w:vAlign w:val="center"/>
          </w:tcPr>
          <w:p>
            <w:pPr>
              <w:pStyle w:val="TableContents"/>
              <w:bidi w:val="0"/>
              <w:spacing w:before="0" w:after="283"/>
              <w:jc w:val="right"/>
            </w:pPr>
            <w:r>
              <w:t>—</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November 17,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December 15, 2026</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pPr>
            <w:r>
              <w:t>—</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759" w:type="dxa"/>
            <w:tcBorders/>
            <w:shd w:fill="CCEEFF" w:val="clear"/>
            <w:vAlign w:val="center"/>
          </w:tcPr>
          <w:p>
            <w:pPr>
              <w:pStyle w:val="TableContents"/>
              <w:bidi w:val="0"/>
              <w:spacing w:before="0" w:after="283"/>
              <w:jc w:val="right"/>
            </w:pPr>
            <w:r>
              <w:t>—</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530" w:type="dxa"/>
            <w:tcBorders/>
            <w:shd w:fill="CCEEFF" w:val="clear"/>
            <w:vAlign w:val="center"/>
          </w:tcPr>
          <w:p>
            <w:pPr>
              <w:pStyle w:val="TableContents"/>
              <w:bidi w:val="0"/>
              <w:spacing w:before="0" w:after="283"/>
              <w:jc w:val="right"/>
            </w:pPr>
            <w:r>
              <w:t>—</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October 16,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November 16, 2026</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jc w:val="left"/>
            </w:pPr>
            <w: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924" w:type="dxa"/>
            <w:tcBorders/>
            <w:shd w:fill="FFFFFF" w:val="clear"/>
            <w:vAlign w:val="center"/>
          </w:tcPr>
          <w:p>
            <w:pPr>
              <w:pStyle w:val="TableContents"/>
              <w:bidi w:val="0"/>
              <w:spacing w:before="0" w:after="283"/>
              <w:jc w:val="right"/>
            </w:pPr>
            <w:r>
              <w:t>—</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pPr>
            <w:r>
              <w:t>—</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pPr>
            <w:r>
              <w:t> </w:t>
            </w:r>
          </w:p>
        </w:tc>
        <w:tc>
          <w:tcPr>
            <w:tcW w:w="530" w:type="dxa"/>
            <w:tcBorders/>
            <w:shd w:fill="FFFFFF" w:val="clear"/>
            <w:vAlign w:val="center"/>
          </w:tcPr>
          <w:p>
            <w:pPr>
              <w:pStyle w:val="TableContents"/>
              <w:bidi w:val="0"/>
              <w:spacing w:before="0" w:after="283"/>
              <w:jc w:val="right"/>
            </w:pPr>
            <w:r>
              <w:t>—</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October 16,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November 16, 2026</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pPr>
            <w:r>
              <w:t>—</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759" w:type="dxa"/>
            <w:tcBorders/>
            <w:shd w:fill="CCEEFF" w:val="clear"/>
            <w:vAlign w:val="center"/>
          </w:tcPr>
          <w:p>
            <w:pPr>
              <w:pStyle w:val="TableContents"/>
              <w:bidi w:val="0"/>
              <w:spacing w:before="0" w:after="283"/>
              <w:jc w:val="right"/>
            </w:pPr>
            <w:r>
              <w:t>—</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530" w:type="dxa"/>
            <w:tcBorders/>
            <w:shd w:fill="CCEEFF" w:val="clear"/>
            <w:vAlign w:val="center"/>
          </w:tcPr>
          <w:p>
            <w:pPr>
              <w:pStyle w:val="TableContents"/>
              <w:bidi w:val="0"/>
              <w:spacing w:before="0" w:after="283"/>
              <w:jc w:val="right"/>
            </w:pPr>
            <w:r>
              <w:t>—</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16,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October 15, 2026</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jc w:val="left"/>
            </w:pPr>
            <w: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9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1,908</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10,626</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pPr>
            <w:r>
              <w:t> </w:t>
            </w:r>
          </w:p>
        </w:tc>
        <w:tc>
          <w:tcPr>
            <w:tcW w:w="5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16,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October 15, 2026</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3,817</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21,252</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5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1,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17,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15, 2026</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jc w:val="left"/>
            </w:pPr>
            <w: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9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18,872</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pPr>
            <w:r>
              <w:t> </w:t>
            </w:r>
          </w:p>
        </w:tc>
        <w:tc>
          <w:tcPr>
            <w:tcW w:w="5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1,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17,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15, 2026</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37,744</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5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July 16,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August 14, 2026</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jc w:val="left"/>
            </w:pPr>
            <w: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9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15,358</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pPr>
            <w:r>
              <w:t> </w:t>
            </w:r>
          </w:p>
        </w:tc>
        <w:tc>
          <w:tcPr>
            <w:tcW w:w="5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July 16,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August 14, 2026</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30,717</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5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17,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July 15, 2026</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jc w:val="left"/>
            </w:pPr>
            <w: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9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18,347</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pPr>
            <w:r>
              <w:t> </w:t>
            </w:r>
          </w:p>
        </w:tc>
        <w:tc>
          <w:tcPr>
            <w:tcW w:w="5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17,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July 15, 2026</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36,697</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5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18, 2026</w:t>
            </w:r>
          </w:p>
        </w:tc>
        <w:tc>
          <w:tcPr>
            <w:tcW w:w="60" w:type="dxa"/>
            <w:tcBorders/>
            <w:shd w:fill="FFFFFF" w:val="clear"/>
            <w:vAlign w:val="center"/>
          </w:tcPr>
          <w:p>
            <w:pPr>
              <w:pStyle w:val="TableContents"/>
              <w:bidi w:val="0"/>
              <w:spacing w:before="0" w:after="283"/>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16, 2026</w:t>
            </w:r>
          </w:p>
        </w:tc>
        <w:tc>
          <w:tcPr>
            <w:tcW w:w="60" w:type="dxa"/>
            <w:tcBorders/>
            <w:shd w:fill="FFFFFF" w:val="clear"/>
            <w:vAlign w:val="center"/>
          </w:tcPr>
          <w:p>
            <w:pPr>
              <w:pStyle w:val="TableContents"/>
              <w:bidi w:val="0"/>
              <w:spacing w:before="0" w:after="283"/>
              <w:ind w:left="0" w:right="0" w:hanging="0"/>
              <w:jc w:val="left"/>
            </w:pPr>
            <w:r>
              <w:t> </w:t>
            </w:r>
          </w:p>
        </w:tc>
        <w:tc>
          <w:tcPr>
            <w:tcW w:w="219" w:type="dxa"/>
            <w:tcBorders/>
            <w:shd w:fill="FFFFFF" w:val="clear"/>
            <w:vAlign w:val="center"/>
          </w:tcPr>
          <w:p>
            <w:pPr>
              <w:pStyle w:val="TableContents"/>
              <w:bidi w:val="0"/>
              <w:spacing w:before="0" w:after="0"/>
              <w:jc w:val="left"/>
            </w:pPr>
            <w: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9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3,916</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40,289</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pPr>
            <w:r>
              <w:t> </w:t>
            </w:r>
          </w:p>
        </w:tc>
        <w:tc>
          <w:tcPr>
            <w:tcW w:w="5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16, 2026</w:t>
            </w:r>
          </w:p>
        </w:tc>
        <w:tc>
          <w:tcPr>
            <w:tcW w:w="60" w:type="dxa"/>
            <w:tcBorders/>
            <w:shd w:fill="CCEEFF" w:val="clear"/>
            <w:vAlign w:val="center"/>
          </w:tcPr>
          <w:p>
            <w:pPr>
              <w:pStyle w:val="TableContents"/>
              <w:bidi w:val="0"/>
              <w:spacing w:before="0" w:after="283"/>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15, 2026</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3,910</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42,687</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5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w:t>
            </w:r>
          </w:p>
        </w:tc>
        <w:tc>
          <w:tcPr>
            <w:tcW w:w="65" w:type="dxa"/>
            <w:tcBorders/>
            <w:shd w:fill="CCEEFF" w:val="clear"/>
            <w:vAlign w:val="center"/>
          </w:tcPr>
          <w:p>
            <w:pPr>
              <w:pStyle w:val="TableContents"/>
              <w:bidi w:val="0"/>
              <w:spacing w:before="0" w:after="283"/>
              <w:ind w:left="0" w:right="0" w:hanging="0"/>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2026</w:t>
            </w:r>
          </w:p>
        </w:tc>
        <w:tc>
          <w:tcPr>
            <w:tcW w:w="60" w:type="dxa"/>
            <w:tcBorders/>
            <w:shd w:fill="FFFFFF" w:val="clear"/>
            <w:vAlign w:val="center"/>
          </w:tcPr>
          <w:p>
            <w:pPr>
              <w:pStyle w:val="TableContents"/>
              <w:bidi w:val="0"/>
              <w:spacing w:before="0" w:after="0"/>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March 16, 2026</w:t>
            </w:r>
          </w:p>
        </w:tc>
        <w:tc>
          <w:tcPr>
            <w:tcW w:w="60" w:type="dxa"/>
            <w:tcBorders/>
            <w:shd w:fill="FFFFFF" w:val="clear"/>
            <w:vAlign w:val="center"/>
          </w:tcPr>
          <w:p>
            <w:pPr>
              <w:pStyle w:val="TableContents"/>
              <w:bidi w:val="0"/>
              <w:spacing w:before="0" w:after="0"/>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15, 2026</w:t>
            </w:r>
          </w:p>
        </w:tc>
        <w:tc>
          <w:tcPr>
            <w:tcW w:w="60" w:type="dxa"/>
            <w:tcBorders/>
            <w:shd w:fill="FFFFFF" w:val="clear"/>
            <w:vAlign w:val="center"/>
          </w:tcPr>
          <w:p>
            <w:pPr>
              <w:pStyle w:val="TableContents"/>
              <w:bidi w:val="0"/>
              <w:spacing w:before="0" w:after="0"/>
              <w:ind w:left="0" w:right="0" w:hanging="0"/>
              <w:jc w:val="left"/>
            </w:pPr>
            <w:r>
              <w:t> </w:t>
            </w:r>
          </w:p>
        </w:tc>
        <w:tc>
          <w:tcPr>
            <w:tcW w:w="219" w:type="dxa"/>
            <w:tcBorders/>
            <w:shd w:fill="FFFFFF" w:val="clear"/>
            <w:vAlign w:val="center"/>
          </w:tcPr>
          <w:p>
            <w:pPr>
              <w:pStyle w:val="TableContents"/>
              <w:bidi w:val="0"/>
              <w:spacing w:before="0" w:after="0"/>
              <w:ind w:left="0" w:right="0" w:hanging="0"/>
              <w:jc w:val="left"/>
            </w:pPr>
            <w:r>
              <w:t> </w:t>
            </w:r>
          </w:p>
        </w:tc>
        <w:tc>
          <w:tcPr>
            <w:tcW w:w="66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65" w:type="dxa"/>
            <w:tcBorders/>
            <w:shd w:fill="FFFFFF" w:val="clear"/>
            <w:vAlign w:val="center"/>
          </w:tcPr>
          <w:p>
            <w:pPr>
              <w:pStyle w:val="TableContents"/>
              <w:bidi w:val="0"/>
              <w:spacing w:before="0" w:after="0"/>
              <w:ind w:left="0" w:right="0" w:hanging="0"/>
              <w:jc w:val="left"/>
            </w:pPr>
            <w:r>
              <w:t> </w:t>
            </w:r>
          </w:p>
        </w:tc>
        <w:tc>
          <w:tcPr>
            <w:tcW w:w="65" w:type="dxa"/>
            <w:tcBorders/>
            <w:shd w:fill="FFFFFF" w:val="clear"/>
            <w:vAlign w:val="center"/>
          </w:tcPr>
          <w:p>
            <w:pPr>
              <w:pStyle w:val="TableContents"/>
              <w:bidi w:val="0"/>
              <w:spacing w:before="0" w:after="0"/>
              <w:ind w:left="0" w:right="0" w:hanging="0"/>
              <w:jc w:val="left"/>
            </w:pPr>
            <w:r>
              <w:t> </w:t>
            </w:r>
          </w:p>
        </w:tc>
        <w:tc>
          <w:tcPr>
            <w:tcW w:w="195" w:type="dxa"/>
            <w:tcBorders/>
            <w:shd w:fill="FFFFFF" w:val="clear"/>
            <w:vAlign w:val="center"/>
          </w:tcPr>
          <w:p>
            <w:pPr>
              <w:pStyle w:val="TableContents"/>
              <w:bidi w:val="0"/>
              <w:spacing w:before="0" w:after="0"/>
              <w:ind w:left="0" w:right="0" w:hanging="0"/>
              <w:jc w:val="left"/>
            </w:pPr>
            <w:r>
              <w:t> </w:t>
            </w:r>
          </w:p>
        </w:tc>
        <w:tc>
          <w:tcPr>
            <w:tcW w:w="92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w:t>
            </w:r>
          </w:p>
        </w:tc>
        <w:tc>
          <w:tcPr>
            <w:tcW w:w="65" w:type="dxa"/>
            <w:tcBorders/>
            <w:shd w:fill="FFFFFF" w:val="clear"/>
            <w:vAlign w:val="center"/>
          </w:tcPr>
          <w:p>
            <w:pPr>
              <w:pStyle w:val="TableContents"/>
              <w:bidi w:val="0"/>
              <w:spacing w:before="0" w:after="0"/>
              <w:ind w:left="0" w:right="0" w:hanging="0"/>
              <w:jc w:val="left"/>
            </w:pPr>
            <w:r>
              <w:t> </w:t>
            </w:r>
          </w:p>
        </w:tc>
        <w:tc>
          <w:tcPr>
            <w:tcW w:w="65" w:type="dxa"/>
            <w:tcBorders/>
            <w:shd w:fill="FFFFFF" w:val="clear"/>
            <w:vAlign w:val="center"/>
          </w:tcPr>
          <w:p>
            <w:pPr>
              <w:pStyle w:val="TableContents"/>
              <w:bidi w:val="0"/>
              <w:spacing w:before="0" w:after="0"/>
              <w:ind w:left="0" w:right="0" w:hanging="0"/>
              <w:jc w:val="left"/>
            </w:pPr>
            <w:r>
              <w:t> </w:t>
            </w:r>
          </w:p>
        </w:tc>
        <w:tc>
          <w:tcPr>
            <w:tcW w:w="65" w:type="dxa"/>
            <w:tcBorders/>
            <w:shd w:fill="FFFFFF" w:val="clear"/>
            <w:vAlign w:val="center"/>
          </w:tcPr>
          <w:p>
            <w:pPr>
              <w:pStyle w:val="TableContents"/>
              <w:bidi w:val="0"/>
              <w:spacing w:before="0" w:after="0"/>
              <w:ind w:left="0" w:right="0" w:hanging="0"/>
              <w:jc w:val="left"/>
            </w:pPr>
            <w:r>
              <w:t> </w:t>
            </w:r>
          </w:p>
        </w:tc>
        <w:tc>
          <w:tcPr>
            <w:tcW w:w="75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30,460</w:t>
            </w:r>
          </w:p>
        </w:tc>
        <w:tc>
          <w:tcPr>
            <w:tcW w:w="65" w:type="dxa"/>
            <w:tcBorders/>
            <w:shd w:fill="FFFFFF" w:val="clear"/>
            <w:vAlign w:val="center"/>
          </w:tcPr>
          <w:p>
            <w:pPr>
              <w:pStyle w:val="TableContents"/>
              <w:bidi w:val="0"/>
              <w:spacing w:before="0" w:after="0"/>
              <w:ind w:left="0" w:right="0" w:hanging="0"/>
              <w:jc w:val="left"/>
            </w:pPr>
            <w:r>
              <w:t> </w:t>
            </w:r>
          </w:p>
        </w:tc>
        <w:tc>
          <w:tcPr>
            <w:tcW w:w="65" w:type="dxa"/>
            <w:tcBorders/>
            <w:shd w:fill="FFFFFF" w:val="clear"/>
            <w:vAlign w:val="center"/>
          </w:tcPr>
          <w:p>
            <w:pPr>
              <w:pStyle w:val="TableContents"/>
              <w:bidi w:val="0"/>
              <w:spacing w:before="0" w:after="0"/>
              <w:ind w:left="0" w:right="0" w:hanging="0"/>
              <w:jc w:val="left"/>
            </w:pPr>
            <w:r>
              <w:t> </w:t>
            </w:r>
          </w:p>
        </w:tc>
        <w:tc>
          <w:tcPr>
            <w:tcW w:w="136" w:type="dxa"/>
            <w:tcBorders/>
            <w:shd w:fill="FFFFFF" w:val="clear"/>
            <w:vAlign w:val="center"/>
          </w:tcPr>
          <w:p>
            <w:pPr>
              <w:pStyle w:val="TableContents"/>
              <w:bidi w:val="0"/>
              <w:spacing w:before="0" w:after="0"/>
              <w:ind w:left="0" w:right="0" w:hanging="0"/>
              <w:jc w:val="left"/>
            </w:pPr>
            <w:r>
              <w:t> </w:t>
            </w:r>
          </w:p>
        </w:tc>
        <w:tc>
          <w:tcPr>
            <w:tcW w:w="53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65" w:type="dxa"/>
            <w:tcBorders/>
            <w:shd w:fill="FFFFFF" w:val="clear"/>
            <w:vAlign w:val="center"/>
          </w:tcPr>
          <w:p>
            <w:pPr>
              <w:pStyle w:val="TableContents"/>
              <w:bidi w:val="0"/>
              <w:spacing w:before="0" w:after="0"/>
              <w:jc w:val="left"/>
            </w:pPr>
            <w:r>
              <w:t> </w:t>
            </w:r>
          </w:p>
        </w:tc>
      </w:tr>
      <w:tr>
        <w:tc>
          <w:tcPr>
            <w:tcW w:w="299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9"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1539"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ind w:left="0" w:right="0" w:hanging="0"/>
              <w:jc w:val="left"/>
            </w:pPr>
            <w:r>
              <w:t> </w:t>
            </w:r>
          </w:p>
        </w:tc>
        <w:tc>
          <w:tcPr>
            <w:tcW w:w="21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33,555</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75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303,049</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1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 2025</w:t>
            </w:r>
          </w:p>
        </w:tc>
        <w:tc>
          <w:tcPr>
            <w:tcW w:w="60" w:type="dxa"/>
            <w:tcBorders/>
            <w:shd w:fill="FFFFFF" w:val="clear"/>
            <w:vAlign w:val="center"/>
          </w:tcPr>
          <w:p>
            <w:pPr>
              <w:pStyle w:val="TableContents"/>
              <w:bidi w:val="0"/>
              <w:spacing w:before="0" w:after="283"/>
              <w:jc w:val="left"/>
            </w:pPr>
            <w:r>
              <w:t> </w:t>
            </w:r>
          </w:p>
        </w:tc>
        <w:tc>
          <w:tcPr>
            <w:tcW w:w="153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jc w:val="left"/>
            </w:pPr>
            <w:r>
              <w:t> </w:t>
            </w:r>
          </w:p>
        </w:tc>
        <w:tc>
          <w:tcPr>
            <w:tcW w:w="667"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924"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pPr>
            <w:r>
              <w:t> </w:t>
            </w:r>
          </w:p>
        </w:tc>
        <w:tc>
          <w:tcPr>
            <w:tcW w:w="530"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22,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17, 2026</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13, 2026</w:t>
            </w:r>
          </w:p>
        </w:tc>
        <w:tc>
          <w:tcPr>
            <w:tcW w:w="60" w:type="dxa"/>
            <w:tcBorders/>
            <w:shd w:fill="CCEEFF" w:val="clear"/>
            <w:vAlign w:val="center"/>
          </w:tcPr>
          <w:p>
            <w:pPr>
              <w:pStyle w:val="TableContents"/>
              <w:bidi w:val="0"/>
              <w:spacing w:before="0" w:after="283"/>
              <w:ind w:left="0" w:right="0" w:hanging="0"/>
              <w:jc w:val="left"/>
            </w:pPr>
            <w: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5,020</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55,295</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22,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16, 2026</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13, 2026</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ind w:left="0" w:right="0" w:hanging="0"/>
              <w:jc w:val="left"/>
            </w:pPr>
            <w: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38,126</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ind w:left="0" w:right="0" w:hanging="0"/>
              <w:jc w:val="left"/>
            </w:pPr>
            <w:r>
              <w:t> </w:t>
            </w:r>
          </w:p>
        </w:tc>
        <w:tc>
          <w:tcPr>
            <w:tcW w:w="5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22,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17,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15, 2026</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ind w:left="0" w:right="0" w:hanging="0"/>
              <w:jc w:val="left"/>
            </w:pPr>
            <w: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34,520</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ind w:left="0" w:right="0" w:hanging="0"/>
              <w:jc w:val="left"/>
            </w:pPr>
            <w:r>
              <w:t> </w:t>
            </w:r>
          </w:p>
        </w:tc>
        <w:tc>
          <w:tcPr>
            <w:tcW w:w="5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23,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17,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16, 2025</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ind w:left="0" w:right="0" w:hanging="0"/>
              <w:jc w:val="left"/>
            </w:pPr>
            <w: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4,660</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37,723</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ind w:left="0" w:right="0" w:hanging="0"/>
              <w:jc w:val="left"/>
            </w:pPr>
            <w:r>
              <w:t> </w:t>
            </w:r>
          </w:p>
        </w:tc>
        <w:tc>
          <w:tcPr>
            <w:tcW w:w="5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23,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14, 2025</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ind w:left="0" w:right="0" w:hanging="0"/>
              <w:jc w:val="left"/>
            </w:pPr>
            <w: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32,582</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ind w:left="0" w:right="0" w:hanging="0"/>
              <w:jc w:val="left"/>
            </w:pPr>
            <w:r>
              <w:t> </w:t>
            </w:r>
          </w:p>
        </w:tc>
        <w:tc>
          <w:tcPr>
            <w:tcW w:w="5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23,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17,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15, 2025</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ind w:left="0" w:right="0" w:hanging="0"/>
              <w:jc w:val="left"/>
            </w:pPr>
            <w: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4,685</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31,217</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ind w:left="0" w:right="0" w:hanging="0"/>
              <w:jc w:val="left"/>
            </w:pPr>
            <w:r>
              <w:t> </w:t>
            </w:r>
          </w:p>
        </w:tc>
        <w:tc>
          <w:tcPr>
            <w:tcW w:w="5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25,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18,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16, 2025</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ind w:left="0" w:right="0" w:hanging="0"/>
              <w:jc w:val="left"/>
            </w:pPr>
            <w: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26,782</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ind w:left="0" w:right="0" w:hanging="0"/>
              <w:jc w:val="left"/>
            </w:pPr>
            <w:r>
              <w:t> </w:t>
            </w:r>
          </w:p>
        </w:tc>
        <w:tc>
          <w:tcPr>
            <w:tcW w:w="5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25,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July 16,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15, 2025</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ind w:left="0" w:right="0" w:hanging="0"/>
              <w:jc w:val="left"/>
            </w:pPr>
            <w: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4,498</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25,469</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ind w:left="0" w:right="0" w:hanging="0"/>
              <w:jc w:val="left"/>
            </w:pPr>
            <w:r>
              <w:t> </w:t>
            </w:r>
          </w:p>
        </w:tc>
        <w:tc>
          <w:tcPr>
            <w:tcW w:w="5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25,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June 16,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July 15, 2025</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ind w:left="0" w:right="0" w:hanging="0"/>
              <w:jc w:val="left"/>
            </w:pPr>
            <w: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ind w:left="0" w:right="0" w:hanging="0"/>
              <w:jc w:val="left"/>
            </w:pPr>
            <w:r>
              <w:t> </w:t>
            </w:r>
          </w:p>
        </w:tc>
        <w:tc>
          <w:tcPr>
            <w:tcW w:w="5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May 16,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June 13, 2025</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ind w:left="0" w:right="0" w:hanging="0"/>
              <w:jc w:val="left"/>
            </w:pPr>
            <w: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4,387</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27,006</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ind w:left="0" w:right="0" w:hanging="0"/>
              <w:jc w:val="left"/>
            </w:pPr>
            <w:r>
              <w:t> </w:t>
            </w:r>
          </w:p>
        </w:tc>
        <w:tc>
          <w:tcPr>
            <w:tcW w:w="5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April 16, 2025</w:t>
            </w:r>
          </w:p>
        </w:tc>
        <w:tc>
          <w:tcPr>
            <w:tcW w:w="60" w:type="dxa"/>
            <w:tcBorders/>
            <w:shd w:fill="CCEEFF" w:val="clear"/>
            <w:vAlign w:val="center"/>
          </w:tcPr>
          <w:p>
            <w:pPr>
              <w:pStyle w:val="TableContents"/>
              <w:bidi w:val="0"/>
              <w:spacing w:before="0" w:after="283"/>
              <w:ind w:left="0" w:right="0" w:hanging="0"/>
              <w:jc w:val="right"/>
            </w:pPr>
            <w:r>
              <w:t> </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May 15, 2025</w:t>
            </w:r>
          </w:p>
        </w:tc>
        <w:tc>
          <w:tcPr>
            <w:tcW w:w="60" w:type="dxa"/>
            <w:tcBorders/>
            <w:shd w:fill="CCEEFF" w:val="clear"/>
            <w:vAlign w:val="center"/>
          </w:tcPr>
          <w:p>
            <w:pPr>
              <w:pStyle w:val="TableContents"/>
              <w:bidi w:val="0"/>
              <w:spacing w:before="0" w:after="283"/>
              <w:jc w:val="left"/>
            </w:pPr>
            <w:r>
              <w:t> </w:t>
            </w:r>
          </w:p>
        </w:tc>
        <w:tc>
          <w:tcPr>
            <w:tcW w:w="219" w:type="dxa"/>
            <w:tcBorders/>
            <w:shd w:fill="CCEEFF" w:val="clear"/>
            <w:vAlign w:val="center"/>
          </w:tcPr>
          <w:p>
            <w:pPr>
              <w:pStyle w:val="TableContents"/>
              <w:bidi w:val="0"/>
              <w:spacing w:before="0" w:after="283"/>
              <w:ind w:left="0" w:right="0" w:hanging="0"/>
              <w:jc w:val="left"/>
            </w:pPr>
            <w: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24,095</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ind w:left="0" w:right="0" w:hanging="0"/>
              <w:jc w:val="left"/>
            </w:pPr>
            <w:r>
              <w:t> </w:t>
            </w:r>
          </w:p>
        </w:tc>
        <w:tc>
          <w:tcPr>
            <w:tcW w:w="5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5" w:type="dxa"/>
            <w:tcBorders/>
            <w:shd w:fill="CCEEFF" w:val="clear"/>
            <w:vAlign w:val="center"/>
          </w:tcPr>
          <w:p>
            <w:pPr>
              <w:pStyle w:val="TableContents"/>
              <w:bidi w:val="0"/>
              <w:spacing w:before="0" w:after="283"/>
              <w:jc w:val="left"/>
            </w:pPr>
            <w:r>
              <w:t> </w:t>
            </w:r>
          </w:p>
        </w:tc>
      </w:tr>
      <w:tr>
        <w:tc>
          <w:tcPr>
            <w:tcW w:w="2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17, 2025</w:t>
            </w:r>
          </w:p>
        </w:tc>
        <w:tc>
          <w:tcPr>
            <w:tcW w:w="60" w:type="dxa"/>
            <w:tcBorders/>
            <w:shd w:fill="FFFFFF" w:val="clear"/>
            <w:vAlign w:val="center"/>
          </w:tcPr>
          <w:p>
            <w:pPr>
              <w:pStyle w:val="TableContents"/>
              <w:bidi w:val="0"/>
              <w:spacing w:before="0" w:after="283"/>
              <w:ind w:left="0" w:right="0" w:hanging="0"/>
              <w:jc w:val="right"/>
            </w:pPr>
            <w: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April 15, 2025</w:t>
            </w:r>
          </w:p>
        </w:tc>
        <w:tc>
          <w:tcPr>
            <w:tcW w:w="60" w:type="dxa"/>
            <w:tcBorders/>
            <w:shd w:fill="FFFFFF" w:val="clear"/>
            <w:vAlign w:val="center"/>
          </w:tcPr>
          <w:p>
            <w:pPr>
              <w:pStyle w:val="TableContents"/>
              <w:bidi w:val="0"/>
              <w:spacing w:before="0" w:after="283"/>
              <w:jc w:val="left"/>
            </w:pPr>
            <w:r>
              <w:t> </w:t>
            </w:r>
          </w:p>
        </w:tc>
        <w:tc>
          <w:tcPr>
            <w:tcW w:w="219" w:type="dxa"/>
            <w:tcBorders/>
            <w:shd w:fill="FFFFFF" w:val="clear"/>
            <w:vAlign w:val="center"/>
          </w:tcPr>
          <w:p>
            <w:pPr>
              <w:pStyle w:val="TableContents"/>
              <w:bidi w:val="0"/>
              <w:spacing w:before="0" w:after="283"/>
              <w:ind w:left="0" w:right="0" w:hanging="0"/>
              <w:jc w:val="left"/>
            </w:pPr>
            <w: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ind w:left="0" w:right="0" w:hanging="0"/>
              <w:jc w:val="left"/>
            </w:pPr>
            <w:r>
              <w:t> </w:t>
            </w:r>
          </w:p>
        </w:tc>
        <w:tc>
          <w:tcPr>
            <w:tcW w:w="5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5" w:type="dxa"/>
            <w:tcBorders/>
            <w:shd w:fill="FFFFFF" w:val="clear"/>
            <w:vAlign w:val="center"/>
          </w:tcPr>
          <w:p>
            <w:pPr>
              <w:pStyle w:val="TableContents"/>
              <w:bidi w:val="0"/>
              <w:spacing w:before="0" w:after="283"/>
              <w:jc w:val="left"/>
            </w:pPr>
            <w:r>
              <w:t> </w:t>
            </w:r>
          </w:p>
        </w:tc>
      </w:tr>
      <w:tr>
        <w:tc>
          <w:tcPr>
            <w:tcW w:w="299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9"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1539"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ind w:left="0" w:right="0" w:hanging="0"/>
              <w:jc w:val="left"/>
            </w:pPr>
            <w:r>
              <w:t> </w:t>
            </w:r>
          </w:p>
        </w:tc>
        <w:tc>
          <w:tcPr>
            <w:tcW w:w="21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1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55,043</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75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377,712</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1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the Board declared monthly cash distributions per share, payable as set forth in the following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Monthly distributions</w:t>
      </w:r>
    </w:p>
    <w:p>
      <w:pPr>
        <w:pStyle w:val="TextBody"/>
        <w:bidi w:val="0"/>
        <w:spacing w:before="0" w:after="0"/>
        <w:ind w:left="0" w:right="0" w:hanging="0"/>
        <w:jc w:val="left"/>
        <w:rPr>
          <w:caps w:val="false"/>
          <w:smallCaps w:val="false"/>
        </w:rPr>
      </w:pPr>
      <w:r>
        <w:rPr>
          <w:caps w:val="false"/>
          <w:smallCaps w:val="false"/>
        </w:rPr>
        <w:t> </w:t>
      </w:r>
    </w:p>
    <w:tbl>
      <w:tblPr>
        <w:tblW w:w="6829" w:type="dxa"/>
        <w:jc w:val="left"/>
        <w:tblInd w:w="0" w:type="dxa"/>
        <w:tblLayout w:type="fixed"/>
        <w:tblCellMar>
          <w:top w:w="0" w:type="dxa"/>
          <w:left w:w="0" w:type="dxa"/>
          <w:bottom w:w="28" w:type="dxa"/>
          <w:right w:w="0" w:type="dxa"/>
        </w:tblCellMar>
      </w:tblPr>
      <w:tblGrid>
        <w:gridCol w:w="1595"/>
        <w:gridCol w:w="60"/>
        <w:gridCol w:w="1595"/>
        <w:gridCol w:w="60"/>
        <w:gridCol w:w="1505"/>
        <w:gridCol w:w="60"/>
        <w:gridCol w:w="468"/>
        <w:gridCol w:w="1426"/>
        <w:gridCol w:w="60"/>
      </w:tblGrid>
      <w:t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Ex-Dividend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595" w:type="dxa"/>
            <w:tcBorders>
              <w:bottom w:val="single" w:sz="2" w:space="0" w:color="000000"/>
            </w:tcBorders>
            <w:shd w:fill="FFFFFF" w:val="clear"/>
            <w:vAlign w:val="center"/>
          </w:tcPr>
          <w:p>
            <w:pPr>
              <w:pStyle w:val="TableContents"/>
              <w:bidi w:val="0"/>
              <w:spacing w:before="0" w:after="0"/>
              <w:ind w:left="0" w:right="0" w:hanging="0"/>
              <w:jc w:val="left"/>
            </w:pPr>
            <w:r>
              <w:rPr>
                <w:rStyle w:val="Emphasis"/>
                <w:rFonts w:ascii="Times New Roman" w:hAnsi="Times New Roman"/>
                <w:b/>
                <w:caps w:val="false"/>
                <w:smallCaps w:val="false"/>
                <w:sz w:val="20"/>
              </w:rPr>
              <w:t>Record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505" w:type="dxa"/>
            <w:tcBorders>
              <w:bottom w:val="single" w:sz="2" w:space="0" w:color="000000"/>
            </w:tcBorders>
            <w:shd w:fill="FFFFFF" w:val="clear"/>
            <w:vAlign w:val="center"/>
          </w:tcPr>
          <w:p>
            <w:pPr>
              <w:pStyle w:val="TableContents"/>
              <w:bidi w:val="0"/>
              <w:spacing w:before="0" w:after="0"/>
              <w:ind w:left="0" w:right="0" w:hanging="0"/>
              <w:jc w:val="left"/>
            </w:pPr>
            <w:r>
              <w:rPr>
                <w:rStyle w:val="Emphasis"/>
                <w:rFonts w:ascii="Times New Roman" w:hAnsi="Times New Roman"/>
                <w:b/>
                <w:caps w:val="false"/>
                <w:smallCaps w:val="false"/>
                <w:sz w:val="20"/>
              </w:rPr>
              <w:t>Payment Date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894"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Distributions Declared</w:t>
            </w:r>
          </w:p>
        </w:tc>
        <w:tc>
          <w:tcPr>
            <w:tcW w:w="60" w:type="dxa"/>
            <w:tcBorders>
              <w:bottom w:val="single" w:sz="2" w:space="0" w:color="000000"/>
            </w:tcBorders>
            <w:shd w:fill="FFFFFF" w:val="clear"/>
            <w:vAlign w:val="center"/>
          </w:tcPr>
          <w:p>
            <w:pPr>
              <w:pStyle w:val="TableContents"/>
              <w:bidi w:val="0"/>
              <w:spacing w:before="0" w:after="283"/>
              <w:jc w:val="left"/>
            </w:pPr>
            <w:r>
              <w:t> </w:t>
            </w:r>
          </w:p>
        </w:tc>
      </w:tr>
      <w:tr>
        <w:tc>
          <w:tcPr>
            <w:tcW w:w="15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16, 2026</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5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16, 2026</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5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January 15, 2027</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468"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0.06</w:t>
            </w:r>
          </w:p>
        </w:tc>
        <w:tc>
          <w:tcPr>
            <w:tcW w:w="60" w:type="dxa"/>
            <w:tcBorders/>
            <w:shd w:fill="CCEEFF" w:val="clear"/>
            <w:tcMar>
              <w:bottom w:w="0" w:type="dxa"/>
            </w:tcMar>
            <w:vAlign w:val="center"/>
          </w:tcPr>
          <w:p>
            <w:pPr>
              <w:pStyle w:val="TableContents"/>
              <w:bidi w:val="0"/>
              <w:spacing w:before="0" w:after="283"/>
              <w:jc w:val="left"/>
            </w:pPr>
            <w:r>
              <w:t> </w:t>
            </w:r>
          </w:p>
        </w:tc>
      </w:tr>
      <w:tr>
        <w:tc>
          <w:tcPr>
            <w:tcW w:w="15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January 19, 2027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5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January 19, 2027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5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17, 2027</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68"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0.06</w:t>
            </w:r>
          </w:p>
        </w:tc>
        <w:tc>
          <w:tcPr>
            <w:tcW w:w="60" w:type="dxa"/>
            <w:tcBorders/>
            <w:shd w:fill="FFFFFF" w:val="clear"/>
            <w:tcMar>
              <w:bottom w:w="0" w:type="dxa"/>
            </w:tcMar>
            <w:vAlign w:val="center"/>
          </w:tcPr>
          <w:p>
            <w:pPr>
              <w:pStyle w:val="TableContents"/>
              <w:bidi w:val="0"/>
              <w:spacing w:before="0" w:after="283"/>
              <w:jc w:val="left"/>
            </w:pPr>
            <w:r>
              <w:t> </w:t>
            </w:r>
          </w:p>
        </w:tc>
      </w:tr>
      <w:tr>
        <w:tc>
          <w:tcPr>
            <w:tcW w:w="15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18, 2027</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5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18, 2027</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5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16, 2027</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468"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0.06</w:t>
            </w:r>
          </w:p>
        </w:tc>
        <w:tc>
          <w:tcPr>
            <w:tcW w:w="60"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After paying distributions of $0.27 per share and earning net investment income of $0.19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the Company’s per share undistributed spillover income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was $0.24. Spillover income includes any ordinary income and net capital gains from the preceding tax years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distributed during such tax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Board sets the level of distributions for each quarter based on its results of operations, spillover income and longer-term outlook.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The following table sets forth the computation of the basic and diluted earnings per common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7"/>
        <w:gridCol w:w="60"/>
        <w:gridCol w:w="146"/>
        <w:gridCol w:w="1113"/>
        <w:gridCol w:w="93"/>
        <w:gridCol w:w="69"/>
        <w:gridCol w:w="146"/>
        <w:gridCol w:w="1113"/>
        <w:gridCol w:w="60"/>
        <w:gridCol w:w="60"/>
        <w:gridCol w:w="143"/>
        <w:gridCol w:w="1089"/>
        <w:gridCol w:w="91"/>
        <w:gridCol w:w="68"/>
        <w:gridCol w:w="143"/>
        <w:gridCol w:w="1089"/>
        <w:gridCol w:w="85"/>
      </w:tblGrid>
      <w:tr>
        <w:tc>
          <w:tcPr>
            <w:tcW w:w="46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ind w:left="0" w:right="0" w:hanging="0"/>
              <w:jc w:val="left"/>
            </w:pPr>
            <w: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12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2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share and per share data)</w:t>
            </w:r>
          </w:p>
        </w:tc>
        <w:tc>
          <w:tcPr>
            <w:tcW w:w="85" w:type="dxa"/>
            <w:tcBorders/>
            <w:shd w:fill="FFFFFF" w:val="clear"/>
            <w:vAlign w:val="center"/>
          </w:tcPr>
          <w:p>
            <w:pPr>
              <w:pStyle w:val="TableContents"/>
              <w:bidi w:val="0"/>
              <w:spacing w:before="0" w:after="283"/>
              <w:jc w:val="left"/>
            </w:pPr>
            <w:r>
              <w:t> </w:t>
            </w:r>
          </w:p>
        </w:tc>
      </w:tr>
      <w:t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common share - basic</w:t>
            </w:r>
          </w:p>
        </w:tc>
        <w:tc>
          <w:tcPr>
            <w:tcW w:w="60"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11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11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3" w:type="dxa"/>
            <w:tcBorders/>
            <w:shd w:fill="CCEEFF" w:val="clear"/>
            <w:vAlign w:val="center"/>
          </w:tcPr>
          <w:p>
            <w:pPr>
              <w:pStyle w:val="TableContents"/>
              <w:bidi w:val="0"/>
              <w:spacing w:before="0" w:after="283"/>
              <w:jc w:val="left"/>
            </w:pPr>
            <w:r>
              <w:t> </w:t>
            </w:r>
          </w:p>
        </w:tc>
        <w:tc>
          <w:tcPr>
            <w:tcW w:w="1089" w:type="dxa"/>
            <w:tcBorders/>
            <w:shd w:fill="CCEEFF" w:val="clear"/>
            <w:vAlign w:val="center"/>
          </w:tcPr>
          <w:p>
            <w:pPr>
              <w:pStyle w:val="TableContents"/>
              <w:bidi w:val="0"/>
              <w:spacing w:before="0" w:after="283"/>
              <w:jc w:val="left"/>
            </w:pPr>
            <w:r>
              <w:t> </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3" w:type="dxa"/>
            <w:tcBorders/>
            <w:shd w:fill="CCEEFF" w:val="clear"/>
            <w:vAlign w:val="center"/>
          </w:tcPr>
          <w:p>
            <w:pPr>
              <w:pStyle w:val="TableContents"/>
              <w:bidi w:val="0"/>
              <w:spacing w:before="0" w:after="283"/>
              <w:jc w:val="left"/>
            </w:pPr>
            <w:r>
              <w:t> </w:t>
            </w:r>
          </w:p>
        </w:tc>
        <w:tc>
          <w:tcPr>
            <w:tcW w:w="1089"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r>
      <w:t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(decrease) increase in net assets per share</w:t>
            </w:r>
          </w:p>
        </w:tc>
        <w:tc>
          <w:tcPr>
            <w:tcW w:w="60" w:type="dxa"/>
            <w:tcBorders/>
            <w:shd w:fill="FFFFFF" w:val="clear"/>
            <w:vAlign w:val="center"/>
          </w:tcPr>
          <w:p>
            <w:pPr>
              <w:pStyle w:val="TableContents"/>
              <w:bidi w:val="0"/>
              <w:spacing w:before="0" w:after="283"/>
              <w:ind w:left="0" w:right="0" w:hanging="0"/>
              <w:jc w:val="left"/>
            </w:pPr>
            <w:r>
              <w:t> </w:t>
            </w:r>
          </w:p>
        </w:tc>
        <w:tc>
          <w:tcPr>
            <w:tcW w:w="146" w:type="dxa"/>
            <w:tcBorders/>
            <w:shd w:fill="FFFFFF" w:val="clear"/>
            <w:vAlign w:val="center"/>
          </w:tcPr>
          <w:p>
            <w:pPr>
              <w:pStyle w:val="TableContents"/>
              <w:bidi w:val="0"/>
              <w:spacing w:before="0" w:after="283"/>
              <w:ind w:left="0" w:right="0" w:hanging="0"/>
              <w:jc w:val="left"/>
              <w:rPr>
                <w:sz w:val="20"/>
              </w:rPr>
            </w:pPr>
            <w:r>
              <w:rPr>
                <w:sz w:val="20"/>
              </w:rPr>
              <w:t>$</w:t>
            </w:r>
          </w:p>
        </w:tc>
        <w:tc>
          <w:tcPr>
            <w:tcW w:w="1113" w:type="dxa"/>
            <w:tcBorders/>
            <w:shd w:fill="FFFFFF" w:val="clear"/>
            <w:vAlign w:val="center"/>
          </w:tcPr>
          <w:p>
            <w:pPr>
              <w:pStyle w:val="TableContents"/>
              <w:bidi w:val="0"/>
              <w:spacing w:before="0" w:after="283"/>
              <w:ind w:left="0" w:right="0" w:hanging="0"/>
              <w:jc w:val="right"/>
              <w:rPr>
                <w:sz w:val="20"/>
              </w:rPr>
            </w:pPr>
            <w:r>
              <w:rPr>
                <w:sz w:val="20"/>
              </w:rPr>
              <w:t>(28,236</w:t>
            </w:r>
          </w:p>
        </w:tc>
        <w:tc>
          <w:tcPr>
            <w:tcW w:w="93" w:type="dxa"/>
            <w:tcBorders/>
            <w:shd w:fill="FFFFFF" w:val="clear"/>
            <w:vAlign w:val="center"/>
          </w:tcPr>
          <w:p>
            <w:pPr>
              <w:pStyle w:val="TableContents"/>
              <w:bidi w:val="0"/>
              <w:spacing w:before="0" w:after="283"/>
              <w:jc w:val="left"/>
              <w:rPr>
                <w:sz w:val="20"/>
              </w:rPr>
            </w:pPr>
            <w:r>
              <w:rPr>
                <w:sz w:val="20"/>
              </w:rPr>
              <w:t>)</w:t>
            </w:r>
          </w:p>
        </w:tc>
        <w:tc>
          <w:tcPr>
            <w:tcW w:w="69" w:type="dxa"/>
            <w:tcBorders/>
            <w:shd w:fill="FFFFFF" w:val="clear"/>
            <w:vAlign w:val="center"/>
          </w:tcPr>
          <w:p>
            <w:pPr>
              <w:pStyle w:val="TableContents"/>
              <w:bidi w:val="0"/>
              <w:spacing w:before="0" w:after="283"/>
              <w:ind w:left="0" w:right="0" w:hanging="0"/>
              <w:jc w:val="left"/>
            </w:pPr>
            <w:r>
              <w:t> </w:t>
            </w:r>
          </w:p>
        </w:tc>
        <w:tc>
          <w:tcPr>
            <w:tcW w:w="146" w:type="dxa"/>
            <w:tcBorders/>
            <w:shd w:fill="FFFFFF" w:val="clear"/>
            <w:vAlign w:val="center"/>
          </w:tcPr>
          <w:p>
            <w:pPr>
              <w:pStyle w:val="TableContents"/>
              <w:bidi w:val="0"/>
              <w:spacing w:before="0" w:after="283"/>
              <w:ind w:left="0" w:right="0" w:hanging="0"/>
              <w:jc w:val="left"/>
              <w:rPr>
                <w:sz w:val="20"/>
              </w:rPr>
            </w:pPr>
            <w:r>
              <w:rPr>
                <w:sz w:val="20"/>
              </w:rPr>
              <w:t>$</w:t>
            </w:r>
          </w:p>
        </w:tc>
        <w:tc>
          <w:tcPr>
            <w:tcW w:w="1113" w:type="dxa"/>
            <w:tcBorders/>
            <w:shd w:fill="FFFFFF" w:val="clear"/>
            <w:vAlign w:val="center"/>
          </w:tcPr>
          <w:p>
            <w:pPr>
              <w:pStyle w:val="TableContents"/>
              <w:bidi w:val="0"/>
              <w:spacing w:before="0" w:after="283"/>
              <w:ind w:left="0" w:right="0" w:hanging="0"/>
              <w:jc w:val="right"/>
              <w:rPr>
                <w:sz w:val="20"/>
              </w:rPr>
            </w:pPr>
            <w:r>
              <w:rPr>
                <w:sz w:val="20"/>
              </w:rPr>
              <w:t>30,722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3" w:type="dxa"/>
            <w:tcBorders/>
            <w:shd w:fill="FFFFFF" w:val="clear"/>
            <w:vAlign w:val="center"/>
          </w:tcPr>
          <w:p>
            <w:pPr>
              <w:pStyle w:val="TableContents"/>
              <w:bidi w:val="0"/>
              <w:spacing w:before="0" w:after="283"/>
              <w:ind w:left="0" w:right="0" w:hanging="0"/>
              <w:jc w:val="left"/>
              <w:rPr>
                <w:sz w:val="20"/>
              </w:rPr>
            </w:pPr>
            <w:r>
              <w:rPr>
                <w:sz w:val="20"/>
              </w:rPr>
              <w:t>$</w:t>
            </w:r>
          </w:p>
        </w:tc>
        <w:tc>
          <w:tcPr>
            <w:tcW w:w="1089" w:type="dxa"/>
            <w:tcBorders/>
            <w:shd w:fill="FFFFFF" w:val="clear"/>
            <w:vAlign w:val="center"/>
          </w:tcPr>
          <w:p>
            <w:pPr>
              <w:pStyle w:val="TableContents"/>
              <w:bidi w:val="0"/>
              <w:spacing w:before="0" w:after="283"/>
              <w:ind w:left="0" w:right="0" w:hanging="0"/>
              <w:jc w:val="right"/>
              <w:rPr>
                <w:sz w:val="20"/>
              </w:rPr>
            </w:pPr>
            <w:r>
              <w:rPr>
                <w:sz w:val="20"/>
              </w:rPr>
              <w:t>(62,720</w:t>
            </w:r>
          </w:p>
        </w:tc>
        <w:tc>
          <w:tcPr>
            <w:tcW w:w="91" w:type="dxa"/>
            <w:tcBorders/>
            <w:shd w:fill="FFFFFF" w:val="clear"/>
            <w:vAlign w:val="center"/>
          </w:tcPr>
          <w:p>
            <w:pPr>
              <w:pStyle w:val="TableContents"/>
              <w:bidi w:val="0"/>
              <w:spacing w:before="0" w:after="283"/>
              <w:jc w:val="left"/>
              <w:rPr>
                <w:sz w:val="20"/>
              </w:rPr>
            </w:pPr>
            <w:r>
              <w:rPr>
                <w:sz w:val="20"/>
              </w:rPr>
              <w:t>)</w:t>
            </w:r>
          </w:p>
        </w:tc>
        <w:tc>
          <w:tcPr>
            <w:tcW w:w="68" w:type="dxa"/>
            <w:tcBorders/>
            <w:shd w:fill="FFFFFF" w:val="clear"/>
            <w:vAlign w:val="center"/>
          </w:tcPr>
          <w:p>
            <w:pPr>
              <w:pStyle w:val="TableContents"/>
              <w:bidi w:val="0"/>
              <w:spacing w:before="0" w:after="283"/>
              <w:ind w:left="0" w:right="0" w:hanging="0"/>
              <w:jc w:val="left"/>
            </w:pPr>
            <w:r>
              <w:t> </w:t>
            </w:r>
          </w:p>
        </w:tc>
        <w:tc>
          <w:tcPr>
            <w:tcW w:w="143" w:type="dxa"/>
            <w:tcBorders/>
            <w:shd w:fill="FFFFFF" w:val="clear"/>
            <w:vAlign w:val="center"/>
          </w:tcPr>
          <w:p>
            <w:pPr>
              <w:pStyle w:val="TableContents"/>
              <w:bidi w:val="0"/>
              <w:spacing w:before="0" w:after="283"/>
              <w:ind w:left="0" w:right="0" w:hanging="0"/>
              <w:jc w:val="left"/>
              <w:rPr>
                <w:sz w:val="20"/>
              </w:rPr>
            </w:pPr>
            <w:r>
              <w:rPr>
                <w:sz w:val="20"/>
              </w:rPr>
              <w:t>$</w:t>
            </w:r>
          </w:p>
        </w:tc>
        <w:tc>
          <w:tcPr>
            <w:tcW w:w="1089" w:type="dxa"/>
            <w:tcBorders/>
            <w:shd w:fill="FFFFFF" w:val="clear"/>
            <w:vAlign w:val="center"/>
          </w:tcPr>
          <w:p>
            <w:pPr>
              <w:pStyle w:val="TableContents"/>
              <w:bidi w:val="0"/>
              <w:spacing w:before="0" w:after="283"/>
              <w:ind w:left="0" w:right="0" w:hanging="0"/>
              <w:jc w:val="right"/>
              <w:rPr>
                <w:sz w:val="20"/>
              </w:rPr>
            </w:pPr>
            <w:r>
              <w:rPr>
                <w:sz w:val="20"/>
              </w:rPr>
              <w:t>(11,491</w:t>
            </w:r>
          </w:p>
        </w:tc>
        <w:tc>
          <w:tcPr>
            <w:tcW w:w="85" w:type="dxa"/>
            <w:tcBorders/>
            <w:shd w:fill="FFFFFF" w:val="clear"/>
            <w:vAlign w:val="center"/>
          </w:tcPr>
          <w:p>
            <w:pPr>
              <w:pStyle w:val="TableContents"/>
              <w:bidi w:val="0"/>
              <w:spacing w:before="0" w:after="283"/>
              <w:jc w:val="left"/>
              <w:rPr>
                <w:sz w:val="20"/>
              </w:rPr>
            </w:pPr>
            <w:r>
              <w:rPr>
                <w:sz w:val="20"/>
              </w:rPr>
              <w:t>)</w:t>
            </w:r>
          </w:p>
        </w:tc>
      </w:tr>
      <w:t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basic weighted average shares</w:t>
            </w:r>
          </w:p>
        </w:tc>
        <w:tc>
          <w:tcPr>
            <w:tcW w:w="60" w:type="dxa"/>
            <w:tcBorders/>
            <w:shd w:fill="CCEEFF" w:val="clear"/>
            <w:vAlign w:val="center"/>
          </w:tcPr>
          <w:p>
            <w:pPr>
              <w:pStyle w:val="TableContents"/>
              <w:bidi w:val="0"/>
              <w:spacing w:before="0" w:after="283"/>
              <w:jc w:val="left"/>
            </w:pPr>
            <w: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66,313,471</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43,101,307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59,604,481</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41,525,869</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earnings per common share - basic</w:t>
            </w:r>
          </w:p>
        </w:tc>
        <w:tc>
          <w:tcPr>
            <w:tcW w:w="60" w:type="dxa"/>
            <w:tcBorders/>
            <w:shd w:fill="FFFFFF" w:val="clear"/>
            <w:vAlign w:val="center"/>
          </w:tcPr>
          <w:p>
            <w:pPr>
              <w:pStyle w:val="TableContents"/>
              <w:bidi w:val="0"/>
              <w:spacing w:before="0" w:after="283"/>
              <w:ind w:left="0" w:right="0" w:hanging="0"/>
              <w:jc w:val="left"/>
            </w:pPr>
            <w: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(0.43</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 w:type="dxa"/>
            <w:tcBorders/>
            <w:shd w:fill="FFFFFF" w:val="clear"/>
            <w:vAlign w:val="center"/>
          </w:tcPr>
          <w:p>
            <w:pPr>
              <w:pStyle w:val="TableContents"/>
              <w:bidi w:val="0"/>
              <w:spacing w:before="0" w:after="283"/>
              <w:ind w:left="0" w:right="0" w:hanging="0"/>
              <w:jc w:val="left"/>
            </w:pPr>
            <w: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(1.05</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8" w:type="dxa"/>
            <w:tcBorders/>
            <w:shd w:fill="FFFFFF" w:val="clear"/>
            <w:vAlign w:val="center"/>
          </w:tcPr>
          <w:p>
            <w:pPr>
              <w:pStyle w:val="TableContents"/>
              <w:bidi w:val="0"/>
              <w:spacing w:before="0" w:after="283"/>
              <w:ind w:left="0" w:right="0" w:hanging="0"/>
              <w:jc w:val="left"/>
            </w:pPr>
            <w: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(0.28</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common share - diluted</w:t>
            </w:r>
          </w:p>
        </w:tc>
        <w:tc>
          <w:tcPr>
            <w:tcW w:w="60"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11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11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3" w:type="dxa"/>
            <w:tcBorders/>
            <w:shd w:fill="CCEEFF" w:val="clear"/>
            <w:vAlign w:val="center"/>
          </w:tcPr>
          <w:p>
            <w:pPr>
              <w:pStyle w:val="TableContents"/>
              <w:bidi w:val="0"/>
              <w:spacing w:before="0" w:after="283"/>
              <w:jc w:val="left"/>
            </w:pPr>
            <w:r>
              <w:t> </w:t>
            </w:r>
          </w:p>
        </w:tc>
        <w:tc>
          <w:tcPr>
            <w:tcW w:w="1089" w:type="dxa"/>
            <w:tcBorders/>
            <w:shd w:fill="CCEEFF" w:val="clear"/>
            <w:vAlign w:val="center"/>
          </w:tcPr>
          <w:p>
            <w:pPr>
              <w:pStyle w:val="TableContents"/>
              <w:bidi w:val="0"/>
              <w:spacing w:before="0" w:after="283"/>
              <w:jc w:val="left"/>
            </w:pPr>
            <w:r>
              <w:t> </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3" w:type="dxa"/>
            <w:tcBorders/>
            <w:shd w:fill="CCEEFF" w:val="clear"/>
            <w:vAlign w:val="center"/>
          </w:tcPr>
          <w:p>
            <w:pPr>
              <w:pStyle w:val="TableContents"/>
              <w:bidi w:val="0"/>
              <w:spacing w:before="0" w:after="283"/>
              <w:jc w:val="left"/>
            </w:pPr>
            <w:r>
              <w:t> </w:t>
            </w:r>
          </w:p>
        </w:tc>
        <w:tc>
          <w:tcPr>
            <w:tcW w:w="1089"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r>
      <w:t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(decrease) increase in net assets per share</w:t>
            </w:r>
          </w:p>
        </w:tc>
        <w:tc>
          <w:tcPr>
            <w:tcW w:w="60" w:type="dxa"/>
            <w:tcBorders/>
            <w:shd w:fill="FFFFFF" w:val="clear"/>
            <w:vAlign w:val="center"/>
          </w:tcPr>
          <w:p>
            <w:pPr>
              <w:pStyle w:val="TableContents"/>
              <w:bidi w:val="0"/>
              <w:spacing w:before="0" w:after="283"/>
              <w:ind w:left="0" w:right="0" w:hanging="0"/>
              <w:jc w:val="left"/>
            </w:pPr>
            <w:r>
              <w:t> </w:t>
            </w:r>
          </w:p>
        </w:tc>
        <w:tc>
          <w:tcPr>
            <w:tcW w:w="146" w:type="dxa"/>
            <w:tcBorders/>
            <w:shd w:fill="FFFFFF" w:val="clear"/>
            <w:vAlign w:val="center"/>
          </w:tcPr>
          <w:p>
            <w:pPr>
              <w:pStyle w:val="TableContents"/>
              <w:bidi w:val="0"/>
              <w:spacing w:before="0" w:after="283"/>
              <w:ind w:left="0" w:right="0" w:hanging="0"/>
              <w:jc w:val="left"/>
              <w:rPr>
                <w:sz w:val="20"/>
              </w:rPr>
            </w:pPr>
            <w:r>
              <w:rPr>
                <w:sz w:val="20"/>
              </w:rPr>
              <w:t>$</w:t>
            </w:r>
          </w:p>
        </w:tc>
        <w:tc>
          <w:tcPr>
            <w:tcW w:w="1113" w:type="dxa"/>
            <w:tcBorders/>
            <w:shd w:fill="FFFFFF" w:val="clear"/>
            <w:vAlign w:val="center"/>
          </w:tcPr>
          <w:p>
            <w:pPr>
              <w:pStyle w:val="TableContents"/>
              <w:bidi w:val="0"/>
              <w:spacing w:before="0" w:after="283"/>
              <w:ind w:left="0" w:right="0" w:hanging="0"/>
              <w:jc w:val="right"/>
              <w:rPr>
                <w:sz w:val="20"/>
              </w:rPr>
            </w:pPr>
            <w:r>
              <w:rPr>
                <w:sz w:val="20"/>
              </w:rPr>
              <w:t>(28,236</w:t>
            </w:r>
          </w:p>
        </w:tc>
        <w:tc>
          <w:tcPr>
            <w:tcW w:w="93" w:type="dxa"/>
            <w:tcBorders/>
            <w:shd w:fill="FFFFFF" w:val="clear"/>
            <w:vAlign w:val="center"/>
          </w:tcPr>
          <w:p>
            <w:pPr>
              <w:pStyle w:val="TableContents"/>
              <w:bidi w:val="0"/>
              <w:spacing w:before="0" w:after="283"/>
              <w:jc w:val="left"/>
              <w:rPr>
                <w:sz w:val="20"/>
              </w:rPr>
            </w:pPr>
            <w:r>
              <w:rPr>
                <w:sz w:val="20"/>
              </w:rPr>
              <w:t>)</w:t>
            </w:r>
          </w:p>
        </w:tc>
        <w:tc>
          <w:tcPr>
            <w:tcW w:w="69" w:type="dxa"/>
            <w:tcBorders/>
            <w:shd w:fill="FFFFFF" w:val="clear"/>
            <w:vAlign w:val="center"/>
          </w:tcPr>
          <w:p>
            <w:pPr>
              <w:pStyle w:val="TableContents"/>
              <w:bidi w:val="0"/>
              <w:spacing w:before="0" w:after="283"/>
              <w:ind w:left="0" w:right="0" w:hanging="0"/>
              <w:jc w:val="left"/>
            </w:pPr>
            <w:r>
              <w:t> </w:t>
            </w:r>
          </w:p>
        </w:tc>
        <w:tc>
          <w:tcPr>
            <w:tcW w:w="146" w:type="dxa"/>
            <w:tcBorders/>
            <w:shd w:fill="FFFFFF" w:val="clear"/>
            <w:vAlign w:val="center"/>
          </w:tcPr>
          <w:p>
            <w:pPr>
              <w:pStyle w:val="TableContents"/>
              <w:bidi w:val="0"/>
              <w:spacing w:before="0" w:after="283"/>
              <w:ind w:left="0" w:right="0" w:hanging="0"/>
              <w:jc w:val="left"/>
              <w:rPr>
                <w:sz w:val="20"/>
              </w:rPr>
            </w:pPr>
            <w:r>
              <w:rPr>
                <w:sz w:val="20"/>
              </w:rPr>
              <w:t>$</w:t>
            </w:r>
          </w:p>
        </w:tc>
        <w:tc>
          <w:tcPr>
            <w:tcW w:w="1113" w:type="dxa"/>
            <w:tcBorders/>
            <w:shd w:fill="FFFFFF" w:val="clear"/>
            <w:vAlign w:val="center"/>
          </w:tcPr>
          <w:p>
            <w:pPr>
              <w:pStyle w:val="TableContents"/>
              <w:bidi w:val="0"/>
              <w:spacing w:before="0" w:after="283"/>
              <w:ind w:left="0" w:right="0" w:hanging="0"/>
              <w:jc w:val="right"/>
              <w:rPr>
                <w:sz w:val="20"/>
              </w:rPr>
            </w:pPr>
            <w:r>
              <w:rPr>
                <w:sz w:val="20"/>
              </w:rPr>
              <w:t>30,722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3" w:type="dxa"/>
            <w:tcBorders/>
            <w:shd w:fill="FFFFFF" w:val="clear"/>
            <w:vAlign w:val="center"/>
          </w:tcPr>
          <w:p>
            <w:pPr>
              <w:pStyle w:val="TableContents"/>
              <w:bidi w:val="0"/>
              <w:spacing w:before="0" w:after="283"/>
              <w:ind w:left="0" w:right="0" w:hanging="0"/>
              <w:jc w:val="left"/>
              <w:rPr>
                <w:sz w:val="20"/>
              </w:rPr>
            </w:pPr>
            <w:r>
              <w:rPr>
                <w:sz w:val="20"/>
              </w:rPr>
              <w:t>$</w:t>
            </w:r>
          </w:p>
        </w:tc>
        <w:tc>
          <w:tcPr>
            <w:tcW w:w="1089" w:type="dxa"/>
            <w:tcBorders/>
            <w:shd w:fill="FFFFFF" w:val="clear"/>
            <w:vAlign w:val="center"/>
          </w:tcPr>
          <w:p>
            <w:pPr>
              <w:pStyle w:val="TableContents"/>
              <w:bidi w:val="0"/>
              <w:spacing w:before="0" w:after="283"/>
              <w:ind w:left="0" w:right="0" w:hanging="0"/>
              <w:jc w:val="right"/>
              <w:rPr>
                <w:sz w:val="20"/>
              </w:rPr>
            </w:pPr>
            <w:r>
              <w:rPr>
                <w:sz w:val="20"/>
              </w:rPr>
              <w:t>(62,720</w:t>
            </w:r>
          </w:p>
        </w:tc>
        <w:tc>
          <w:tcPr>
            <w:tcW w:w="91" w:type="dxa"/>
            <w:tcBorders/>
            <w:shd w:fill="FFFFFF" w:val="clear"/>
            <w:vAlign w:val="center"/>
          </w:tcPr>
          <w:p>
            <w:pPr>
              <w:pStyle w:val="TableContents"/>
              <w:bidi w:val="0"/>
              <w:spacing w:before="0" w:after="283"/>
              <w:jc w:val="left"/>
              <w:rPr>
                <w:sz w:val="20"/>
              </w:rPr>
            </w:pPr>
            <w:r>
              <w:rPr>
                <w:sz w:val="20"/>
              </w:rPr>
              <w:t>)</w:t>
            </w:r>
          </w:p>
        </w:tc>
        <w:tc>
          <w:tcPr>
            <w:tcW w:w="68" w:type="dxa"/>
            <w:tcBorders/>
            <w:shd w:fill="FFFFFF" w:val="clear"/>
            <w:vAlign w:val="center"/>
          </w:tcPr>
          <w:p>
            <w:pPr>
              <w:pStyle w:val="TableContents"/>
              <w:bidi w:val="0"/>
              <w:spacing w:before="0" w:after="283"/>
              <w:ind w:left="0" w:right="0" w:hanging="0"/>
              <w:jc w:val="left"/>
            </w:pPr>
            <w:r>
              <w:t> </w:t>
            </w:r>
          </w:p>
        </w:tc>
        <w:tc>
          <w:tcPr>
            <w:tcW w:w="143" w:type="dxa"/>
            <w:tcBorders/>
            <w:shd w:fill="FFFFFF" w:val="clear"/>
            <w:vAlign w:val="center"/>
          </w:tcPr>
          <w:p>
            <w:pPr>
              <w:pStyle w:val="TableContents"/>
              <w:bidi w:val="0"/>
              <w:spacing w:before="0" w:after="283"/>
              <w:ind w:left="0" w:right="0" w:hanging="0"/>
              <w:jc w:val="left"/>
              <w:rPr>
                <w:sz w:val="20"/>
              </w:rPr>
            </w:pPr>
            <w:r>
              <w:rPr>
                <w:sz w:val="20"/>
              </w:rPr>
              <w:t>$</w:t>
            </w:r>
          </w:p>
        </w:tc>
        <w:tc>
          <w:tcPr>
            <w:tcW w:w="1089" w:type="dxa"/>
            <w:tcBorders/>
            <w:shd w:fill="FFFFFF" w:val="clear"/>
            <w:vAlign w:val="center"/>
          </w:tcPr>
          <w:p>
            <w:pPr>
              <w:pStyle w:val="TableContents"/>
              <w:bidi w:val="0"/>
              <w:spacing w:before="0" w:after="283"/>
              <w:ind w:left="0" w:right="0" w:hanging="0"/>
              <w:jc w:val="right"/>
              <w:rPr>
                <w:sz w:val="20"/>
              </w:rPr>
            </w:pPr>
            <w:r>
              <w:rPr>
                <w:sz w:val="20"/>
              </w:rPr>
              <w:t>(11,491</w:t>
            </w:r>
          </w:p>
        </w:tc>
        <w:tc>
          <w:tcPr>
            <w:tcW w:w="85" w:type="dxa"/>
            <w:tcBorders/>
            <w:shd w:fill="FFFFFF" w:val="clear"/>
            <w:vAlign w:val="center"/>
          </w:tcPr>
          <w:p>
            <w:pPr>
              <w:pStyle w:val="TableContents"/>
              <w:bidi w:val="0"/>
              <w:spacing w:before="0" w:after="283"/>
              <w:jc w:val="left"/>
              <w:rPr>
                <w:sz w:val="20"/>
              </w:rPr>
            </w:pPr>
            <w:r>
              <w:rPr>
                <w:sz w:val="20"/>
              </w:rPr>
              <w:t>)</w:t>
            </w:r>
          </w:p>
        </w:tc>
      </w:tr>
      <w:tr>
        <w:tc>
          <w:tcPr>
            <w:tcW w:w="4637"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for interest expense and debt issuance costs on Convertible Notes (1)</w:t>
            </w:r>
          </w:p>
        </w:tc>
        <w:tc>
          <w:tcPr>
            <w:tcW w:w="60" w:type="dxa"/>
            <w:tcBorders/>
            <w:shd w:fill="CCEEFF" w:val="clear"/>
            <w:vAlign w:val="center"/>
          </w:tcPr>
          <w:p>
            <w:pPr>
              <w:pStyle w:val="TableContents"/>
              <w:bidi w:val="0"/>
              <w:spacing w:before="0" w:after="283"/>
              <w:ind w:left="0" w:right="0" w:hanging="0"/>
              <w:jc w:val="left"/>
            </w:pPr>
            <w:r>
              <w:t> </w:t>
            </w:r>
          </w:p>
        </w:tc>
        <w:tc>
          <w:tcPr>
            <w:tcW w:w="146" w:type="dxa"/>
            <w:tcBorders/>
            <w:shd w:fill="CCEEFF" w:val="clear"/>
            <w:vAlign w:val="center"/>
          </w:tcPr>
          <w:p>
            <w:pPr>
              <w:pStyle w:val="TableContents"/>
              <w:bidi w:val="0"/>
              <w:spacing w:before="0" w:after="283"/>
              <w:ind w:left="0" w:right="0" w:hanging="0"/>
              <w:jc w:val="left"/>
              <w:rPr>
                <w:sz w:val="20"/>
              </w:rPr>
            </w:pPr>
            <w:r>
              <w:rPr>
                <w:sz w:val="20"/>
              </w:rPr>
              <w:t>$</w:t>
            </w:r>
          </w:p>
        </w:tc>
        <w:tc>
          <w:tcPr>
            <w:tcW w:w="1113" w:type="dxa"/>
            <w:tcBorders/>
            <w:shd w:fill="CCEEFF" w:val="clear"/>
            <w:vAlign w:val="center"/>
          </w:tcPr>
          <w:p>
            <w:pPr>
              <w:pStyle w:val="TableContents"/>
              <w:bidi w:val="0"/>
              <w:spacing w:before="0" w:after="283"/>
              <w:ind w:left="0" w:right="0" w:hanging="0"/>
              <w:jc w:val="right"/>
              <w:rPr>
                <w:sz w:val="20"/>
              </w:rPr>
            </w:pPr>
            <w:r>
              <w:rPr>
                <w:sz w:val="20"/>
              </w:rPr>
              <w:t>376</w:t>
            </w:r>
          </w:p>
        </w:tc>
        <w:tc>
          <w:tcPr>
            <w:tcW w:w="93"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ind w:left="0" w:right="0" w:hanging="0"/>
              <w:jc w:val="left"/>
            </w:pPr>
            <w:r>
              <w:t> </w:t>
            </w:r>
          </w:p>
        </w:tc>
        <w:tc>
          <w:tcPr>
            <w:tcW w:w="146" w:type="dxa"/>
            <w:tcBorders/>
            <w:shd w:fill="CCEEFF" w:val="clear"/>
            <w:vAlign w:val="center"/>
          </w:tcPr>
          <w:p>
            <w:pPr>
              <w:pStyle w:val="TableContents"/>
              <w:bidi w:val="0"/>
              <w:spacing w:before="0" w:after="283"/>
              <w:ind w:left="0" w:right="0" w:hanging="0"/>
              <w:jc w:val="left"/>
              <w:rPr>
                <w:sz w:val="20"/>
              </w:rPr>
            </w:pPr>
            <w:r>
              <w:rPr>
                <w:sz w:val="20"/>
              </w:rPr>
              <w:t>$</w:t>
            </w:r>
          </w:p>
        </w:tc>
        <w:tc>
          <w:tcPr>
            <w:tcW w:w="1113" w:type="dxa"/>
            <w:tcBorders/>
            <w:shd w:fill="CCEEFF" w:val="clear"/>
            <w:vAlign w:val="center"/>
          </w:tcPr>
          <w:p>
            <w:pPr>
              <w:pStyle w:val="TableContents"/>
              <w:bidi w:val="0"/>
              <w:spacing w:before="0" w:after="283"/>
              <w:ind w:left="0" w:right="0" w:hanging="0"/>
              <w:jc w:val="right"/>
              <w:rPr>
                <w:sz w:val="20"/>
              </w:rPr>
            </w:pPr>
            <w:r>
              <w:rPr>
                <w:sz w:val="20"/>
              </w:rPr>
              <w:t>314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3" w:type="dxa"/>
            <w:tcBorders/>
            <w:shd w:fill="CCEEFF" w:val="clear"/>
            <w:vAlign w:val="center"/>
          </w:tcPr>
          <w:p>
            <w:pPr>
              <w:pStyle w:val="TableContents"/>
              <w:bidi w:val="0"/>
              <w:spacing w:before="0" w:after="283"/>
              <w:ind w:left="0" w:right="0" w:hanging="0"/>
              <w:jc w:val="left"/>
              <w:rPr>
                <w:sz w:val="20"/>
              </w:rPr>
            </w:pPr>
            <w:r>
              <w:rPr>
                <w:sz w:val="20"/>
              </w:rPr>
              <w:t>$</w:t>
            </w:r>
          </w:p>
        </w:tc>
        <w:tc>
          <w:tcPr>
            <w:tcW w:w="1089" w:type="dxa"/>
            <w:tcBorders/>
            <w:shd w:fill="CCEEFF" w:val="clear"/>
            <w:vAlign w:val="center"/>
          </w:tcPr>
          <w:p>
            <w:pPr>
              <w:pStyle w:val="TableContents"/>
              <w:bidi w:val="0"/>
              <w:spacing w:before="0" w:after="283"/>
              <w:ind w:left="0" w:right="0" w:hanging="0"/>
              <w:jc w:val="right"/>
              <w:rPr>
                <w:sz w:val="20"/>
              </w:rPr>
            </w:pPr>
            <w:r>
              <w:rPr>
                <w:sz w:val="20"/>
              </w:rPr>
              <w:t>1,176</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143" w:type="dxa"/>
            <w:tcBorders/>
            <w:shd w:fill="CCEEFF" w:val="clear"/>
            <w:vAlign w:val="center"/>
          </w:tcPr>
          <w:p>
            <w:pPr>
              <w:pStyle w:val="TableContents"/>
              <w:bidi w:val="0"/>
              <w:spacing w:before="0" w:after="283"/>
              <w:ind w:left="0" w:right="0" w:hanging="0"/>
              <w:jc w:val="left"/>
              <w:rPr>
                <w:sz w:val="20"/>
              </w:rPr>
            </w:pPr>
            <w:r>
              <w:rPr>
                <w:sz w:val="20"/>
              </w:rPr>
              <w:t>$</w:t>
            </w:r>
          </w:p>
        </w:tc>
        <w:tc>
          <w:tcPr>
            <w:tcW w:w="1089" w:type="dxa"/>
            <w:tcBorders/>
            <w:shd w:fill="CCEEFF" w:val="clear"/>
            <w:vAlign w:val="center"/>
          </w:tcPr>
          <w:p>
            <w:pPr>
              <w:pStyle w:val="TableContents"/>
              <w:bidi w:val="0"/>
              <w:spacing w:before="0" w:after="283"/>
              <w:ind w:left="0" w:right="0" w:hanging="0"/>
              <w:jc w:val="right"/>
            </w:pPr>
            <w:r>
              <w:t>—</w:t>
            </w:r>
          </w:p>
        </w:tc>
        <w:tc>
          <w:tcPr>
            <w:tcW w:w="85" w:type="dxa"/>
            <w:tcBorders/>
            <w:shd w:fill="CCEEFF" w:val="clear"/>
            <w:vAlign w:val="center"/>
          </w:tcPr>
          <w:p>
            <w:pPr>
              <w:pStyle w:val="TableContents"/>
              <w:bidi w:val="0"/>
              <w:spacing w:before="0" w:after="283"/>
              <w:jc w:val="left"/>
            </w:pPr>
            <w:r>
              <w:t> </w:t>
            </w:r>
          </w:p>
        </w:tc>
      </w:tr>
      <w:t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diluted earnings per share</w:t>
            </w:r>
          </w:p>
        </w:tc>
        <w:tc>
          <w:tcPr>
            <w:tcW w:w="60" w:type="dxa"/>
            <w:tcBorders/>
            <w:shd w:fill="FFFFFF" w:val="clear"/>
            <w:vAlign w:val="center"/>
          </w:tcPr>
          <w:p>
            <w:pPr>
              <w:pStyle w:val="TableContents"/>
              <w:bidi w:val="0"/>
              <w:spacing w:before="0" w:after="283"/>
              <w:ind w:left="0" w:right="0" w:hanging="0"/>
              <w:jc w:val="left"/>
            </w:pPr>
            <w:r>
              <w:t> </w:t>
            </w:r>
          </w:p>
        </w:tc>
        <w:tc>
          <w:tcPr>
            <w:tcW w:w="146" w:type="dxa"/>
            <w:tcBorders/>
            <w:shd w:fill="FFFFFF" w:val="clear"/>
            <w:vAlign w:val="center"/>
          </w:tcPr>
          <w:p>
            <w:pPr>
              <w:pStyle w:val="TableContents"/>
              <w:bidi w:val="0"/>
              <w:spacing w:before="0" w:after="283"/>
              <w:ind w:left="0" w:right="0" w:hanging="0"/>
              <w:jc w:val="left"/>
              <w:rPr>
                <w:sz w:val="20"/>
              </w:rPr>
            </w:pPr>
            <w:r>
              <w:rPr>
                <w:sz w:val="20"/>
              </w:rPr>
              <w:t>$</w:t>
            </w:r>
          </w:p>
        </w:tc>
        <w:tc>
          <w:tcPr>
            <w:tcW w:w="1113" w:type="dxa"/>
            <w:tcBorders/>
            <w:shd w:fill="FFFFFF" w:val="clear"/>
            <w:vAlign w:val="center"/>
          </w:tcPr>
          <w:p>
            <w:pPr>
              <w:pStyle w:val="TableContents"/>
              <w:bidi w:val="0"/>
              <w:spacing w:before="0" w:after="283"/>
              <w:ind w:left="0" w:right="0" w:hanging="0"/>
              <w:jc w:val="right"/>
              <w:rPr>
                <w:sz w:val="20"/>
              </w:rPr>
            </w:pPr>
            <w:r>
              <w:rPr>
                <w:sz w:val="20"/>
              </w:rPr>
              <w:t>(27,860</w:t>
            </w:r>
          </w:p>
        </w:tc>
        <w:tc>
          <w:tcPr>
            <w:tcW w:w="93" w:type="dxa"/>
            <w:tcBorders/>
            <w:shd w:fill="FFFFFF" w:val="clear"/>
            <w:vAlign w:val="center"/>
          </w:tcPr>
          <w:p>
            <w:pPr>
              <w:pStyle w:val="TableContents"/>
              <w:bidi w:val="0"/>
              <w:spacing w:before="0" w:after="283"/>
              <w:jc w:val="left"/>
              <w:rPr>
                <w:sz w:val="20"/>
              </w:rPr>
            </w:pPr>
            <w:r>
              <w:rPr>
                <w:sz w:val="20"/>
              </w:rPr>
              <w:t>)</w:t>
            </w:r>
          </w:p>
        </w:tc>
        <w:tc>
          <w:tcPr>
            <w:tcW w:w="69" w:type="dxa"/>
            <w:tcBorders/>
            <w:shd w:fill="FFFFFF" w:val="clear"/>
            <w:vAlign w:val="center"/>
          </w:tcPr>
          <w:p>
            <w:pPr>
              <w:pStyle w:val="TableContents"/>
              <w:bidi w:val="0"/>
              <w:spacing w:before="0" w:after="283"/>
              <w:ind w:left="0" w:right="0" w:hanging="0"/>
              <w:jc w:val="left"/>
            </w:pPr>
            <w:r>
              <w:t> </w:t>
            </w:r>
          </w:p>
        </w:tc>
        <w:tc>
          <w:tcPr>
            <w:tcW w:w="146" w:type="dxa"/>
            <w:tcBorders/>
            <w:shd w:fill="FFFFFF" w:val="clear"/>
            <w:vAlign w:val="center"/>
          </w:tcPr>
          <w:p>
            <w:pPr>
              <w:pStyle w:val="TableContents"/>
              <w:bidi w:val="0"/>
              <w:spacing w:before="0" w:after="283"/>
              <w:ind w:left="0" w:right="0" w:hanging="0"/>
              <w:jc w:val="left"/>
              <w:rPr>
                <w:sz w:val="20"/>
              </w:rPr>
            </w:pPr>
            <w:r>
              <w:rPr>
                <w:sz w:val="20"/>
              </w:rPr>
              <w:t>$</w:t>
            </w:r>
          </w:p>
        </w:tc>
        <w:tc>
          <w:tcPr>
            <w:tcW w:w="1113" w:type="dxa"/>
            <w:tcBorders/>
            <w:shd w:fill="FFFFFF" w:val="clear"/>
            <w:vAlign w:val="center"/>
          </w:tcPr>
          <w:p>
            <w:pPr>
              <w:pStyle w:val="TableContents"/>
              <w:bidi w:val="0"/>
              <w:spacing w:before="0" w:after="283"/>
              <w:ind w:left="0" w:right="0" w:hanging="0"/>
              <w:jc w:val="right"/>
              <w:rPr>
                <w:sz w:val="20"/>
              </w:rPr>
            </w:pPr>
            <w:r>
              <w:rPr>
                <w:sz w:val="20"/>
              </w:rPr>
              <w:t>31,036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3" w:type="dxa"/>
            <w:tcBorders/>
            <w:shd w:fill="FFFFFF" w:val="clear"/>
            <w:vAlign w:val="center"/>
          </w:tcPr>
          <w:p>
            <w:pPr>
              <w:pStyle w:val="TableContents"/>
              <w:bidi w:val="0"/>
              <w:spacing w:before="0" w:after="283"/>
              <w:ind w:left="0" w:right="0" w:hanging="0"/>
              <w:jc w:val="left"/>
              <w:rPr>
                <w:sz w:val="20"/>
              </w:rPr>
            </w:pPr>
            <w:r>
              <w:rPr>
                <w:sz w:val="20"/>
              </w:rPr>
              <w:t>$</w:t>
            </w:r>
          </w:p>
        </w:tc>
        <w:tc>
          <w:tcPr>
            <w:tcW w:w="1089" w:type="dxa"/>
            <w:tcBorders/>
            <w:shd w:fill="FFFFFF" w:val="clear"/>
            <w:vAlign w:val="center"/>
          </w:tcPr>
          <w:p>
            <w:pPr>
              <w:pStyle w:val="TableContents"/>
              <w:bidi w:val="0"/>
              <w:spacing w:before="0" w:after="283"/>
              <w:ind w:left="0" w:right="0" w:hanging="0"/>
              <w:jc w:val="right"/>
              <w:rPr>
                <w:sz w:val="20"/>
              </w:rPr>
            </w:pPr>
            <w:r>
              <w:rPr>
                <w:sz w:val="20"/>
              </w:rPr>
              <w:t>(61,544</w:t>
            </w:r>
          </w:p>
        </w:tc>
        <w:tc>
          <w:tcPr>
            <w:tcW w:w="91" w:type="dxa"/>
            <w:tcBorders/>
            <w:shd w:fill="FFFFFF" w:val="clear"/>
            <w:vAlign w:val="center"/>
          </w:tcPr>
          <w:p>
            <w:pPr>
              <w:pStyle w:val="TableContents"/>
              <w:bidi w:val="0"/>
              <w:spacing w:before="0" w:after="283"/>
              <w:jc w:val="left"/>
              <w:rPr>
                <w:sz w:val="20"/>
              </w:rPr>
            </w:pPr>
            <w:r>
              <w:rPr>
                <w:sz w:val="20"/>
              </w:rPr>
              <w:t>)</w:t>
            </w:r>
          </w:p>
        </w:tc>
        <w:tc>
          <w:tcPr>
            <w:tcW w:w="68" w:type="dxa"/>
            <w:tcBorders/>
            <w:shd w:fill="FFFFFF" w:val="clear"/>
            <w:vAlign w:val="center"/>
          </w:tcPr>
          <w:p>
            <w:pPr>
              <w:pStyle w:val="TableContents"/>
              <w:bidi w:val="0"/>
              <w:spacing w:before="0" w:after="283"/>
              <w:ind w:left="0" w:right="0" w:hanging="0"/>
              <w:jc w:val="left"/>
            </w:pPr>
            <w:r>
              <w:t> </w:t>
            </w:r>
          </w:p>
        </w:tc>
        <w:tc>
          <w:tcPr>
            <w:tcW w:w="143" w:type="dxa"/>
            <w:tcBorders/>
            <w:shd w:fill="FFFFFF" w:val="clear"/>
            <w:vAlign w:val="center"/>
          </w:tcPr>
          <w:p>
            <w:pPr>
              <w:pStyle w:val="TableContents"/>
              <w:bidi w:val="0"/>
              <w:spacing w:before="0" w:after="283"/>
              <w:ind w:left="0" w:right="0" w:hanging="0"/>
              <w:jc w:val="left"/>
              <w:rPr>
                <w:sz w:val="20"/>
              </w:rPr>
            </w:pPr>
            <w:r>
              <w:rPr>
                <w:sz w:val="20"/>
              </w:rPr>
              <w:t>$</w:t>
            </w:r>
          </w:p>
        </w:tc>
        <w:tc>
          <w:tcPr>
            <w:tcW w:w="1089" w:type="dxa"/>
            <w:tcBorders/>
            <w:shd w:fill="FFFFFF" w:val="clear"/>
            <w:vAlign w:val="center"/>
          </w:tcPr>
          <w:p>
            <w:pPr>
              <w:pStyle w:val="TableContents"/>
              <w:bidi w:val="0"/>
              <w:spacing w:before="0" w:after="283"/>
              <w:ind w:left="0" w:right="0" w:hanging="0"/>
              <w:jc w:val="right"/>
              <w:rPr>
                <w:sz w:val="20"/>
              </w:rPr>
            </w:pPr>
            <w:r>
              <w:rPr>
                <w:sz w:val="20"/>
              </w:rPr>
              <w:t>(11,491</w:t>
            </w:r>
          </w:p>
        </w:tc>
        <w:tc>
          <w:tcPr>
            <w:tcW w:w="85" w:type="dxa"/>
            <w:tcBorders/>
            <w:shd w:fill="FFFFFF" w:val="clear"/>
            <w:vAlign w:val="center"/>
          </w:tcPr>
          <w:p>
            <w:pPr>
              <w:pStyle w:val="TableContents"/>
              <w:bidi w:val="0"/>
              <w:spacing w:before="0" w:after="283"/>
              <w:jc w:val="left"/>
              <w:rPr>
                <w:sz w:val="20"/>
              </w:rPr>
            </w:pPr>
            <w:r>
              <w:rPr>
                <w:sz w:val="20"/>
              </w:rPr>
              <w:t>)</w:t>
            </w:r>
          </w:p>
        </w:tc>
      </w:tr>
      <w:t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basic weighted average shares</w:t>
            </w:r>
          </w:p>
        </w:tc>
        <w:tc>
          <w:tcPr>
            <w:tcW w:w="60"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ind w:left="0" w:right="0" w:hanging="0"/>
              <w:jc w:val="left"/>
            </w:pPr>
            <w:r>
              <w:t> </w:t>
            </w:r>
          </w:p>
        </w:tc>
        <w:tc>
          <w:tcPr>
            <w:tcW w:w="1113" w:type="dxa"/>
            <w:tcBorders/>
            <w:shd w:fill="CCEEFF" w:val="clear"/>
            <w:vAlign w:val="center"/>
          </w:tcPr>
          <w:p>
            <w:pPr>
              <w:pStyle w:val="TableContents"/>
              <w:bidi w:val="0"/>
              <w:spacing w:before="0" w:after="283"/>
              <w:ind w:left="0" w:right="0" w:hanging="0"/>
              <w:jc w:val="right"/>
              <w:rPr>
                <w:sz w:val="20"/>
              </w:rPr>
            </w:pPr>
            <w:r>
              <w:rPr>
                <w:sz w:val="20"/>
              </w:rPr>
              <w:t>66,313,471</w:t>
            </w:r>
          </w:p>
        </w:tc>
        <w:tc>
          <w:tcPr>
            <w:tcW w:w="93"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ind w:left="0" w:right="0" w:hanging="0"/>
              <w:jc w:val="left"/>
            </w:pPr>
            <w:r>
              <w:t> </w:t>
            </w:r>
          </w:p>
        </w:tc>
        <w:tc>
          <w:tcPr>
            <w:tcW w:w="1113" w:type="dxa"/>
            <w:tcBorders/>
            <w:shd w:fill="CCEEFF" w:val="clear"/>
            <w:vAlign w:val="center"/>
          </w:tcPr>
          <w:p>
            <w:pPr>
              <w:pStyle w:val="TableContents"/>
              <w:bidi w:val="0"/>
              <w:spacing w:before="0" w:after="283"/>
              <w:ind w:left="0" w:right="0" w:hanging="0"/>
              <w:jc w:val="right"/>
              <w:rPr>
                <w:sz w:val="20"/>
              </w:rPr>
            </w:pPr>
            <w:r>
              <w:rPr>
                <w:sz w:val="20"/>
              </w:rPr>
              <w:t>43,101,307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3" w:type="dxa"/>
            <w:tcBorders/>
            <w:shd w:fill="CCEEFF" w:val="clear"/>
            <w:vAlign w:val="center"/>
          </w:tcPr>
          <w:p>
            <w:pPr>
              <w:pStyle w:val="TableContents"/>
              <w:bidi w:val="0"/>
              <w:spacing w:before="0" w:after="283"/>
              <w:ind w:left="0" w:right="0" w:hanging="0"/>
              <w:jc w:val="left"/>
            </w:pPr>
            <w:r>
              <w:t> </w:t>
            </w:r>
          </w:p>
        </w:tc>
        <w:tc>
          <w:tcPr>
            <w:tcW w:w="1089" w:type="dxa"/>
            <w:tcBorders/>
            <w:shd w:fill="CCEEFF" w:val="clear"/>
            <w:vAlign w:val="center"/>
          </w:tcPr>
          <w:p>
            <w:pPr>
              <w:pStyle w:val="TableContents"/>
              <w:bidi w:val="0"/>
              <w:spacing w:before="0" w:after="283"/>
              <w:ind w:left="0" w:right="0" w:hanging="0"/>
              <w:jc w:val="right"/>
              <w:rPr>
                <w:sz w:val="20"/>
              </w:rPr>
            </w:pPr>
            <w:r>
              <w:rPr>
                <w:sz w:val="20"/>
              </w:rPr>
              <w:t>59,604,481</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3" w:type="dxa"/>
            <w:tcBorders/>
            <w:shd w:fill="CCEEFF" w:val="clear"/>
            <w:vAlign w:val="center"/>
          </w:tcPr>
          <w:p>
            <w:pPr>
              <w:pStyle w:val="TableContents"/>
              <w:bidi w:val="0"/>
              <w:spacing w:before="0" w:after="283"/>
              <w:ind w:left="0" w:right="0" w:hanging="0"/>
              <w:jc w:val="left"/>
            </w:pPr>
            <w:r>
              <w:t> </w:t>
            </w:r>
          </w:p>
        </w:tc>
        <w:tc>
          <w:tcPr>
            <w:tcW w:w="1089" w:type="dxa"/>
            <w:tcBorders/>
            <w:shd w:fill="CCEEFF" w:val="clear"/>
            <w:vAlign w:val="center"/>
          </w:tcPr>
          <w:p>
            <w:pPr>
              <w:pStyle w:val="TableContents"/>
              <w:bidi w:val="0"/>
              <w:spacing w:before="0" w:after="283"/>
              <w:ind w:left="0" w:right="0" w:hanging="0"/>
              <w:jc w:val="right"/>
              <w:rPr>
                <w:sz w:val="20"/>
              </w:rPr>
            </w:pPr>
            <w:r>
              <w:rPr>
                <w:sz w:val="20"/>
              </w:rPr>
              <w:t>41,525,869</w:t>
            </w:r>
          </w:p>
        </w:tc>
        <w:tc>
          <w:tcPr>
            <w:tcW w:w="85" w:type="dxa"/>
            <w:tcBorders/>
            <w:shd w:fill="CCEEFF" w:val="clear"/>
            <w:vAlign w:val="center"/>
          </w:tcPr>
          <w:p>
            <w:pPr>
              <w:pStyle w:val="TableContents"/>
              <w:bidi w:val="0"/>
              <w:spacing w:before="0" w:after="283"/>
              <w:jc w:val="left"/>
            </w:pPr>
            <w:r>
              <w:t> </w:t>
            </w:r>
          </w:p>
        </w:tc>
      </w:tr>
      <w:tr>
        <w:tc>
          <w:tcPr>
            <w:tcW w:w="4637"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for dilutive effect of Convertible Notes (1)</w:t>
            </w:r>
          </w:p>
        </w:tc>
        <w:tc>
          <w:tcPr>
            <w:tcW w:w="60" w:type="dxa"/>
            <w:tcBorders/>
            <w:shd w:fill="FFFFFF" w:val="clear"/>
            <w:vAlign w:val="center"/>
          </w:tcPr>
          <w:p>
            <w:pPr>
              <w:pStyle w:val="TableContents"/>
              <w:bidi w:val="0"/>
              <w:spacing w:before="0" w:after="283"/>
              <w:jc w:val="left"/>
            </w:pPr>
            <w:r>
              <w:t> </w:t>
            </w:r>
          </w:p>
        </w:tc>
        <w:tc>
          <w:tcPr>
            <w:tcW w:w="146" w:type="dxa"/>
            <w:tcBorders/>
            <w:shd w:fill="FFFFFF" w:val="clear"/>
            <w:vAlign w:val="center"/>
          </w:tcPr>
          <w:p>
            <w:pPr>
              <w:pStyle w:val="TableContents"/>
              <w:bidi w:val="0"/>
              <w:spacing w:before="0" w:after="283"/>
              <w:ind w:left="0" w:right="0" w:hanging="0"/>
              <w:jc w:val="left"/>
            </w:pPr>
            <w:r>
              <w:t> </w:t>
            </w:r>
          </w:p>
        </w:tc>
        <w:tc>
          <w:tcPr>
            <w:tcW w:w="1113" w:type="dxa"/>
            <w:tcBorders/>
            <w:shd w:fill="FFFFFF" w:val="clear"/>
            <w:vAlign w:val="center"/>
          </w:tcPr>
          <w:p>
            <w:pPr>
              <w:pStyle w:val="TableContents"/>
              <w:bidi w:val="0"/>
              <w:spacing w:before="0" w:after="283"/>
              <w:ind w:left="0" w:right="0" w:hanging="0"/>
              <w:jc w:val="right"/>
            </w:pPr>
            <w:r>
              <w:t>—</w:t>
            </w:r>
          </w:p>
        </w:tc>
        <w:tc>
          <w:tcPr>
            <w:tcW w:w="93"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146" w:type="dxa"/>
            <w:tcBorders/>
            <w:shd w:fill="FFFFFF" w:val="clear"/>
            <w:vAlign w:val="center"/>
          </w:tcPr>
          <w:p>
            <w:pPr>
              <w:pStyle w:val="TableContents"/>
              <w:bidi w:val="0"/>
              <w:spacing w:before="0" w:after="283"/>
              <w:ind w:left="0" w:right="0" w:hanging="0"/>
              <w:jc w:val="left"/>
            </w:pPr>
            <w:r>
              <w:t> </w:t>
            </w:r>
          </w:p>
        </w:tc>
        <w:tc>
          <w:tcPr>
            <w:tcW w:w="1113" w:type="dxa"/>
            <w:tcBorders/>
            <w:shd w:fill="FFFFFF" w:val="clear"/>
            <w:vAlign w:val="center"/>
          </w:tcPr>
          <w:p>
            <w:pPr>
              <w:pStyle w:val="TableContents"/>
              <w:bidi w:val="0"/>
              <w:spacing w:before="0" w:after="283"/>
              <w:ind w:left="0" w:right="0" w:hanging="0"/>
              <w:jc w:val="right"/>
              <w:rPr>
                <w:sz w:val="20"/>
              </w:rPr>
            </w:pPr>
            <w:r>
              <w:rPr>
                <w:sz w:val="20"/>
              </w:rPr>
              <w:t>2,736,835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3" w:type="dxa"/>
            <w:tcBorders/>
            <w:shd w:fill="FFFFFF" w:val="clear"/>
            <w:vAlign w:val="center"/>
          </w:tcPr>
          <w:p>
            <w:pPr>
              <w:pStyle w:val="TableContents"/>
              <w:bidi w:val="0"/>
              <w:spacing w:before="0" w:after="283"/>
              <w:ind w:left="0" w:right="0" w:hanging="0"/>
              <w:jc w:val="left"/>
            </w:pPr>
            <w:r>
              <w:t> </w:t>
            </w:r>
          </w:p>
        </w:tc>
        <w:tc>
          <w:tcPr>
            <w:tcW w:w="1089" w:type="dxa"/>
            <w:tcBorders/>
            <w:shd w:fill="FFFFFF" w:val="clear"/>
            <w:vAlign w:val="center"/>
          </w:tcPr>
          <w:p>
            <w:pPr>
              <w:pStyle w:val="TableContents"/>
              <w:bidi w:val="0"/>
              <w:spacing w:before="0" w:after="283"/>
              <w:ind w:left="0" w:right="0" w:hanging="0"/>
              <w:jc w:val="right"/>
            </w:pPr>
            <w:r>
              <w:t>—</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3" w:type="dxa"/>
            <w:tcBorders/>
            <w:shd w:fill="FFFFFF" w:val="clear"/>
            <w:vAlign w:val="center"/>
          </w:tcPr>
          <w:p>
            <w:pPr>
              <w:pStyle w:val="TableContents"/>
              <w:bidi w:val="0"/>
              <w:spacing w:before="0" w:after="283"/>
              <w:ind w:left="0" w:right="0" w:hanging="0"/>
              <w:jc w:val="left"/>
            </w:pPr>
            <w:r>
              <w:t> </w:t>
            </w:r>
          </w:p>
        </w:tc>
        <w:tc>
          <w:tcPr>
            <w:tcW w:w="1089" w:type="dxa"/>
            <w:tcBorders/>
            <w:shd w:fill="FFFFFF" w:val="clear"/>
            <w:vAlign w:val="center"/>
          </w:tcPr>
          <w:p>
            <w:pPr>
              <w:pStyle w:val="TableContents"/>
              <w:bidi w:val="0"/>
              <w:spacing w:before="0" w:after="283"/>
              <w:ind w:left="0" w:right="0" w:hanging="0"/>
              <w:jc w:val="right"/>
            </w:pPr>
            <w:r>
              <w:t>—</w:t>
            </w:r>
          </w:p>
        </w:tc>
        <w:tc>
          <w:tcPr>
            <w:tcW w:w="85" w:type="dxa"/>
            <w:tcBorders/>
            <w:shd w:fill="FFFFFF" w:val="clear"/>
            <w:vAlign w:val="center"/>
          </w:tcPr>
          <w:p>
            <w:pPr>
              <w:pStyle w:val="TableContents"/>
              <w:bidi w:val="0"/>
              <w:spacing w:before="0" w:after="283"/>
              <w:jc w:val="left"/>
            </w:pPr>
            <w:r>
              <w:t> </w:t>
            </w:r>
          </w:p>
        </w:tc>
      </w:tr>
      <w:t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diluted weighted average shares</w:t>
            </w:r>
          </w:p>
        </w:tc>
        <w:tc>
          <w:tcPr>
            <w:tcW w:w="60" w:type="dxa"/>
            <w:tcBorders/>
            <w:shd w:fill="CCEEFF" w:val="clear"/>
            <w:vAlign w:val="center"/>
          </w:tcPr>
          <w:p>
            <w:pPr>
              <w:pStyle w:val="TableContents"/>
              <w:bidi w:val="0"/>
              <w:spacing w:before="0" w:after="283"/>
              <w:jc w:val="left"/>
            </w:pPr>
            <w: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66,313,471</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jc w:val="left"/>
            </w:pPr>
            <w: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45,838,142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59,604,481</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41,525,869</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earnings per common share - diluted</w:t>
            </w:r>
          </w:p>
        </w:tc>
        <w:tc>
          <w:tcPr>
            <w:tcW w:w="60" w:type="dxa"/>
            <w:tcBorders/>
            <w:shd w:fill="FFFFFF" w:val="clear"/>
            <w:vAlign w:val="center"/>
          </w:tcPr>
          <w:p>
            <w:pPr>
              <w:pStyle w:val="TableContents"/>
              <w:bidi w:val="0"/>
              <w:spacing w:before="0" w:after="283"/>
              <w:ind w:left="0" w:right="0" w:hanging="0"/>
              <w:jc w:val="left"/>
            </w:pPr>
            <w: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(0.43</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 w:type="dxa"/>
            <w:tcBorders/>
            <w:shd w:fill="FFFFFF" w:val="clear"/>
            <w:vAlign w:val="center"/>
          </w:tcPr>
          <w:p>
            <w:pPr>
              <w:pStyle w:val="TableContents"/>
              <w:bidi w:val="0"/>
              <w:spacing w:before="0" w:after="283"/>
              <w:ind w:left="0" w:right="0" w:hanging="0"/>
              <w:jc w:val="left"/>
            </w:pPr>
            <w: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(1.05</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8" w:type="dxa"/>
            <w:tcBorders/>
            <w:shd w:fill="FFFFFF" w:val="clear"/>
            <w:vAlign w:val="center"/>
          </w:tcPr>
          <w:p>
            <w:pPr>
              <w:pStyle w:val="TableContents"/>
              <w:bidi w:val="0"/>
              <w:spacing w:before="0" w:after="283"/>
              <w:ind w:left="0" w:right="0" w:hanging="0"/>
              <w:jc w:val="left"/>
            </w:pPr>
            <w: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(0.28</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191"/>
        <w:gridCol w:w="10014"/>
      </w:tblGrid>
      <w:tr>
        <w:tc>
          <w:tcPr>
            <w:tcW w:w="191"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14"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20"/>
              </w:rPr>
              <w:t>No adjustments for interest or incremental shares were included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 2026</w:t>
            </w:r>
            <w:r>
              <w:rPr>
                <w:rFonts w:ascii="Times New Roman;Times;serif" w:hAnsi="Times New Roman;Times;serif"/>
                <w:caps w:val="false"/>
                <w:smallCaps w:val="false"/>
                <w:sz w:val="20"/>
              </w:rPr>
              <w:t xml:space="preserve">  and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 2025</w:t>
            </w:r>
            <w:r>
              <w:rPr>
                <w:rFonts w:ascii="Times New Roman;Times;serif" w:hAnsi="Times New Roman;Times;serif"/>
                <w:caps w:val="false"/>
                <w:smallCaps w:val="false"/>
                <w:sz w:val="20"/>
              </w:rPr>
              <w:t> because the effect would be antidilutive.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certain circumstances, the Convertible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convertible into cash or shares of the Company’s common stock, which can be dilutive to common stockholders. Diluted earnings (loss) available to each share of common stock outstanding during the reporting period included any additional shares of common stock that would be issued if all potentially dilutive securities were exercised. In accordance with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the Company is required to disclose diluted EPS using the if-converted method that assumes conversion of convertible securities at the beginning of the reporting period or at the issuance date and is intended to show the maximum dilution effect to common stockholders regardless of how the conversion can occur. The Convertible Notes convert at the greater of (i) volume-weighted average closing sale price for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trading days immediately prior to the relevant conversion date, or (ii) the Company’s most recently reported NAV per share immediately prior to the date of exercise.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using the if-converted method, the Convertible Notes would convert at the Company’s most recently reported NAV per share immediately prior to the beginning of the period, or $6.98 per share and $7.12 per share,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using the if-converted method, the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Convertible Notes would convert at the volume-weighted average closing sale price for the five trading days immediately prior to the beginning of the period, or $7.21 per share and $8.94 per share,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using the if-converted method,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would convert at the volume-weighted average closing sale price for the five trading days immediately prior to the issuance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Convertible Notes, or $6.92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impact of the hypothetical conversion of the Convertible Notes would have been antidilutive because interest net of tax and nondiscretionary adjustments per common share obtainable on conversion exceeded basic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financial highlights for the Company:</w:t>
      </w:r>
    </w:p>
    <w:p>
      <w:pPr>
        <w:pStyle w:val="TextBody"/>
        <w:bidi w:val="0"/>
        <w:spacing w:before="0" w:after="0"/>
        <w:ind w:left="0" w:right="0" w:hanging="0"/>
        <w:jc w:val="left"/>
        <w:rPr>
          <w:caps w:val="false"/>
          <w:smallCaps w:val="false"/>
        </w:rPr>
      </w:pPr>
      <w:r>
        <w:rPr>
          <w:caps w:val="false"/>
          <w:smallCaps w:val="false"/>
        </w:rPr>
        <w:t> </w:t>
      </w:r>
    </w:p>
    <w:tbl>
      <w:tblPr>
        <w:tblW w:w="8656" w:type="dxa"/>
        <w:jc w:val="left"/>
        <w:tblInd w:w="0" w:type="dxa"/>
        <w:tblLayout w:type="fixed"/>
        <w:tblCellMar>
          <w:top w:w="0" w:type="dxa"/>
          <w:left w:w="0" w:type="dxa"/>
          <w:bottom w:w="0" w:type="dxa"/>
          <w:right w:w="0" w:type="dxa"/>
        </w:tblCellMar>
      </w:tblPr>
      <w:tblGrid>
        <w:gridCol w:w="4145"/>
        <w:gridCol w:w="60"/>
        <w:gridCol w:w="183"/>
        <w:gridCol w:w="1396"/>
        <w:gridCol w:w="358"/>
        <w:gridCol w:w="358"/>
        <w:gridCol w:w="87"/>
        <w:gridCol w:w="183"/>
        <w:gridCol w:w="1396"/>
        <w:gridCol w:w="245"/>
        <w:gridCol w:w="245"/>
      </w:tblGrid>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961"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center"/>
            </w:pPr>
            <w:r>
              <w:rPr>
                <w:rStyle w:val="Emphasis"/>
              </w:rP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35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center"/>
            </w:pPr>
            <w:r>
              <w:rPr>
                <w:rStyle w:val="Emphasis"/>
              </w:rPr>
              <w:t> </w:t>
            </w:r>
          </w:p>
        </w:tc>
        <w:tc>
          <w:tcPr>
            <w:tcW w:w="87" w:type="dxa"/>
            <w:tcBorders/>
            <w:shd w:fill="FFFFFF" w:val="clear"/>
            <w:vAlign w:val="center"/>
          </w:tcPr>
          <w:p>
            <w:pPr>
              <w:pStyle w:val="TableContents"/>
              <w:bidi w:val="0"/>
              <w:spacing w:before="0" w:after="283"/>
              <w:ind w:left="0" w:right="0" w:hanging="0"/>
              <w:jc w:val="left"/>
            </w:pPr>
            <w:r>
              <w:t> </w:t>
            </w:r>
          </w:p>
        </w:tc>
        <w:tc>
          <w:tcPr>
            <w:tcW w:w="1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center"/>
            </w:pPr>
            <w:r>
              <w:rPr>
                <w:rStyle w:val="Emphasis"/>
              </w:rP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961" w:type="dxa"/>
            <w:gridSpan w:val="7"/>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share and per share data)</w:t>
            </w:r>
          </w:p>
        </w:tc>
        <w:tc>
          <w:tcPr>
            <w:tcW w:w="245"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center"/>
            </w:pPr>
            <w: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 data:</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1396"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1396"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 value at beginning of period</w:t>
            </w:r>
          </w:p>
        </w:tc>
        <w:tc>
          <w:tcPr>
            <w:tcW w:w="60" w:type="dxa"/>
            <w:tcBorders/>
            <w:shd w:fill="FFFFFF" w:val="clear"/>
            <w:vAlign w:val="center"/>
          </w:tcPr>
          <w:p>
            <w:pPr>
              <w:pStyle w:val="TableContents"/>
              <w:bidi w:val="0"/>
              <w:spacing w:before="0" w:after="283"/>
              <w:ind w:left="0" w:right="0" w:hanging="0"/>
              <w:jc w:val="left"/>
            </w:pPr>
            <w: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358"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ind w:left="0" w:right="0" w:hanging="0"/>
              <w:jc w:val="left"/>
            </w:pPr>
            <w: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245"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p>
        </w:tc>
        <w:tc>
          <w:tcPr>
            <w:tcW w:w="358"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0.87</w:t>
            </w:r>
          </w:p>
        </w:tc>
        <w:tc>
          <w:tcPr>
            <w:tcW w:w="245"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loss</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jc w:val="left"/>
            </w:pPr>
            <w:r>
              <w:t> </w:t>
            </w:r>
          </w:p>
        </w:tc>
        <w:tc>
          <w:tcPr>
            <w:tcW w:w="13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jc w:val="left"/>
            </w:pPr>
            <w:r>
              <w:t> </w:t>
            </w:r>
          </w:p>
        </w:tc>
        <w:tc>
          <w:tcPr>
            <w:tcW w:w="13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depreciation on investments</w:t>
            </w:r>
          </w:p>
        </w:tc>
        <w:tc>
          <w:tcPr>
            <w:tcW w:w="60" w:type="dxa"/>
            <w:tcBorders/>
            <w:shd w:fill="CCEEFF" w:val="clear"/>
            <w:vAlign w:val="center"/>
          </w:tcPr>
          <w:p>
            <w:pPr>
              <w:pStyle w:val="TableContents"/>
              <w:bidi w:val="0"/>
              <w:spacing w:before="0" w:after="283"/>
              <w:jc w:val="left"/>
            </w:pPr>
            <w: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35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net assets resulting from operations</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(1)</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From net investment income</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From net realized gain on investments</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pPr>
            <w:r>
              <w:t>—</w:t>
            </w:r>
          </w:p>
        </w:tc>
        <w:tc>
          <w:tcPr>
            <w:tcW w:w="358"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pPr>
            <w:r>
              <w:t>—</w:t>
            </w:r>
          </w:p>
        </w:tc>
        <w:tc>
          <w:tcPr>
            <w:tcW w:w="245"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rPr>
                <w:rStyle w:val="Emphasis"/>
              </w:rPr>
              <w:t> </w:t>
            </w:r>
          </w:p>
        </w:tc>
      </w:tr>
      <w:t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of capital</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pPr>
            <w:r>
              <w:t>—</w:t>
            </w:r>
          </w:p>
        </w:tc>
        <w:tc>
          <w:tcPr>
            <w:tcW w:w="358"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rPr>
                <w:rStyle w:val="Emphasis"/>
              </w:rP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pPr>
            <w:r>
              <w:t>—</w:t>
            </w:r>
          </w:p>
        </w:tc>
        <w:tc>
          <w:tcPr>
            <w:tcW w:w="245"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from repurchase of common stock</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13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w:t>
            </w:r>
          </w:p>
        </w:tc>
        <w:tc>
          <w:tcPr>
            <w:tcW w:w="358"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1396" w:type="dxa"/>
            <w:tcBorders/>
            <w:shd w:fill="CCEEFF" w:val="clear"/>
            <w:vAlign w:val="center"/>
          </w:tcPr>
          <w:p>
            <w:pPr>
              <w:pStyle w:val="TableContents"/>
              <w:bidi w:val="0"/>
              <w:spacing w:before="0" w:after="283"/>
              <w:jc w:val="right"/>
            </w:pPr>
            <w:r>
              <w:t>—</w:t>
            </w:r>
          </w:p>
        </w:tc>
        <w:tc>
          <w:tcPr>
            <w:tcW w:w="245"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(2)</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jc w:val="left"/>
            </w:pPr>
            <w:r>
              <w:t> </w:t>
            </w:r>
          </w:p>
        </w:tc>
        <w:tc>
          <w:tcPr>
            <w:tcW w:w="13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358"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jc w:val="left"/>
            </w:pPr>
            <w:r>
              <w:t> </w:t>
            </w:r>
          </w:p>
        </w:tc>
        <w:tc>
          <w:tcPr>
            <w:tcW w:w="13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 value at end of period</w:t>
            </w:r>
          </w:p>
        </w:tc>
        <w:tc>
          <w:tcPr>
            <w:tcW w:w="60" w:type="dxa"/>
            <w:tcBorders/>
            <w:shd w:fill="CCEEFF" w:val="clear"/>
            <w:vAlign w:val="center"/>
          </w:tcPr>
          <w:p>
            <w:pPr>
              <w:pStyle w:val="TableContents"/>
              <w:bidi w:val="0"/>
              <w:spacing w:before="0" w:after="283"/>
              <w:ind w:left="0" w:right="0" w:hanging="0"/>
              <w:jc w:val="left"/>
            </w:pPr>
            <w:r>
              <w:t> </w:t>
            </w:r>
          </w:p>
        </w:tc>
        <w:tc>
          <w:tcPr>
            <w:tcW w:w="18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35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ind w:left="0" w:right="0" w:hanging="0"/>
              <w:jc w:val="left"/>
            </w:pPr>
            <w:r>
              <w:t> </w:t>
            </w:r>
          </w:p>
        </w:tc>
        <w:tc>
          <w:tcPr>
            <w:tcW w:w="18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24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 market value, beginning of period</w:t>
            </w:r>
          </w:p>
        </w:tc>
        <w:tc>
          <w:tcPr>
            <w:tcW w:w="60" w:type="dxa"/>
            <w:tcBorders/>
            <w:shd w:fill="FFFFFF" w:val="clear"/>
            <w:vAlign w:val="center"/>
          </w:tcPr>
          <w:p>
            <w:pPr>
              <w:pStyle w:val="TableContents"/>
              <w:bidi w:val="0"/>
              <w:spacing w:before="0" w:after="283"/>
              <w:ind w:left="0" w:right="0" w:hanging="0"/>
              <w:jc w:val="left"/>
            </w:pPr>
            <w: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358"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ind w:left="0" w:right="0" w:hanging="0"/>
              <w:jc w:val="left"/>
            </w:pPr>
            <w: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245"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 market value, end of period</w:t>
            </w:r>
          </w:p>
        </w:tc>
        <w:tc>
          <w:tcPr>
            <w:tcW w:w="60" w:type="dxa"/>
            <w:tcBorders/>
            <w:shd w:fill="CCEEFF" w:val="clear"/>
            <w:vAlign w:val="center"/>
          </w:tcPr>
          <w:p>
            <w:pPr>
              <w:pStyle w:val="TableContents"/>
              <w:bidi w:val="0"/>
              <w:spacing w:before="0" w:after="283"/>
              <w:ind w:left="0" w:right="0" w:hanging="0"/>
              <w:jc w:val="left"/>
            </w:pPr>
            <w: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358"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ind w:left="0" w:right="0" w:hanging="0"/>
              <w:jc w:val="left"/>
            </w:pPr>
            <w: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245"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return based on a market value (3)</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outstanding at end of period</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65,102,609</w:t>
            </w:r>
          </w:p>
        </w:tc>
        <w:tc>
          <w:tcPr>
            <w:tcW w:w="358"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44,315,005</w:t>
            </w:r>
          </w:p>
        </w:tc>
        <w:tc>
          <w:tcPr>
            <w:tcW w:w="245"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Ratios to average net assets:</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jc w:val="left"/>
            </w:pPr>
            <w:r>
              <w:t> </w:t>
            </w:r>
          </w:p>
        </w:tc>
        <w:tc>
          <w:tcPr>
            <w:tcW w:w="1396"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jc w:val="left"/>
            </w:pPr>
            <w:r>
              <w:t> </w:t>
            </w:r>
          </w:p>
        </w:tc>
        <w:tc>
          <w:tcPr>
            <w:tcW w:w="1396"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414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without incentive fees (4)</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ind w:left="0" w:right="0" w:hanging="0"/>
              <w:jc w:val="right"/>
            </w:pPr>
            <w:r>
              <w:rPr>
                <w:rStyle w:val="Emphasis"/>
              </w:rPr>
              <w:t> </w:t>
            </w:r>
          </w:p>
        </w:tc>
      </w:tr>
      <w:tr>
        <w:tc>
          <w:tcPr>
            <w:tcW w:w="41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Incentive fees (4)</w:t>
            </w:r>
          </w:p>
        </w:tc>
        <w:tc>
          <w:tcPr>
            <w:tcW w:w="60" w:type="dxa"/>
            <w:tcBorders/>
            <w:shd w:fill="FFFFFF" w:val="clear"/>
            <w:vAlign w:val="center"/>
          </w:tcPr>
          <w:p>
            <w:pPr>
              <w:pStyle w:val="TableContents"/>
              <w:bidi w:val="0"/>
              <w:spacing w:before="0" w:after="0"/>
              <w:ind w:left="0" w:right="0" w:hanging="0"/>
              <w:jc w:val="left"/>
            </w:pPr>
            <w: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3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shd w:fill="FFFFFF" w:val="clear"/>
            <w:vAlign w:val="center"/>
          </w:tcPr>
          <w:p>
            <w:pPr>
              <w:pStyle w:val="TableContents"/>
              <w:bidi w:val="0"/>
              <w:spacing w:before="0" w:after="0"/>
              <w:ind w:left="0" w:right="0" w:hanging="0"/>
              <w:jc w:val="right"/>
            </w:pPr>
            <w:r>
              <w:rPr>
                <w:rStyle w:val="Emphasis"/>
              </w:rPr>
              <w:t> </w:t>
            </w:r>
          </w:p>
        </w:tc>
        <w:tc>
          <w:tcPr>
            <w:tcW w:w="87" w:type="dxa"/>
            <w:tcBorders/>
            <w:shd w:fill="FFFFFF" w:val="clear"/>
            <w:vAlign w:val="center"/>
          </w:tcPr>
          <w:p>
            <w:pPr>
              <w:pStyle w:val="TableContents"/>
              <w:bidi w:val="0"/>
              <w:spacing w:before="0" w:after="0"/>
              <w:ind w:left="0" w:right="0" w:hanging="0"/>
              <w:jc w:val="left"/>
            </w:pPr>
            <w: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3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0"/>
              <w:jc w:val="right"/>
            </w:pPr>
            <w:r>
              <w:rPr>
                <w:rStyle w:val="Emphasis"/>
              </w:rPr>
              <w:t> </w:t>
            </w:r>
          </w:p>
        </w:tc>
      </w:tr>
      <w:tr>
        <w:tc>
          <w:tcPr>
            <w:tcW w:w="414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expenses (4)</w:t>
            </w:r>
          </w:p>
        </w:tc>
        <w:tc>
          <w:tcPr>
            <w:tcW w:w="60" w:type="dxa"/>
            <w:tcBorders/>
            <w:shd w:fill="CCEEFF" w:val="clear"/>
            <w:vAlign w:val="center"/>
          </w:tcPr>
          <w:p>
            <w:pPr>
              <w:pStyle w:val="TableContents"/>
              <w:bidi w:val="0"/>
              <w:spacing w:before="0" w:after="283"/>
              <w:jc w:val="left"/>
            </w:pPr>
            <w: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3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 with incentive fees (4)</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ind w:left="0" w:right="0" w:hanging="0"/>
              <w:jc w:val="left"/>
            </w:pPr>
            <w: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Ratios, without waivers, to average net assets:</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1396"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1396"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without incentive fees (4)</w:t>
            </w:r>
          </w:p>
        </w:tc>
        <w:tc>
          <w:tcPr>
            <w:tcW w:w="60"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jc w:val="left"/>
            </w:pPr>
            <w:r>
              <w:t> </w:t>
            </w:r>
          </w:p>
        </w:tc>
        <w:tc>
          <w:tcPr>
            <w:tcW w:w="13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jc w:val="left"/>
            </w:pPr>
            <w:r>
              <w:t> </w:t>
            </w:r>
          </w:p>
        </w:tc>
        <w:tc>
          <w:tcPr>
            <w:tcW w:w="183" w:type="dxa"/>
            <w:tcBorders/>
            <w:shd w:fill="FFFFFF" w:val="clear"/>
            <w:vAlign w:val="center"/>
          </w:tcPr>
          <w:p>
            <w:pPr>
              <w:pStyle w:val="TableContents"/>
              <w:bidi w:val="0"/>
              <w:spacing w:before="0" w:after="283"/>
              <w:jc w:val="left"/>
            </w:pPr>
            <w:r>
              <w:t> </w:t>
            </w:r>
          </w:p>
        </w:tc>
        <w:tc>
          <w:tcPr>
            <w:tcW w:w="13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ind w:left="0" w:right="0" w:hanging="0"/>
              <w:jc w:val="right"/>
            </w:pPr>
            <w:r>
              <w:rPr>
                <w:rStyle w:val="Emphasis"/>
              </w:rPr>
              <w:t> </w:t>
            </w:r>
          </w:p>
        </w:tc>
      </w:tr>
      <w:tr>
        <w:tc>
          <w:tcPr>
            <w:tcW w:w="414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 fees (4)</w:t>
            </w:r>
          </w:p>
        </w:tc>
        <w:tc>
          <w:tcPr>
            <w:tcW w:w="60" w:type="dxa"/>
            <w:tcBorders/>
            <w:shd w:fill="CCEEFF" w:val="clear"/>
            <w:vAlign w:val="center"/>
          </w:tcPr>
          <w:p>
            <w:pPr>
              <w:pStyle w:val="TableContents"/>
              <w:bidi w:val="0"/>
              <w:spacing w:before="0" w:after="0"/>
              <w:ind w:left="0" w:right="0" w:hanging="0"/>
              <w:jc w:val="left"/>
            </w:pPr>
            <w: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0"/>
              <w:ind w:left="0" w:right="0" w:hanging="0"/>
              <w:jc w:val="right"/>
            </w:pPr>
            <w:r>
              <w:rPr>
                <w:rStyle w:val="Emphasis"/>
              </w:rPr>
              <w:t> </w:t>
            </w:r>
          </w:p>
        </w:tc>
        <w:tc>
          <w:tcPr>
            <w:tcW w:w="87" w:type="dxa"/>
            <w:tcBorders/>
            <w:shd w:fill="CCEEFF" w:val="clear"/>
            <w:vAlign w:val="center"/>
          </w:tcPr>
          <w:p>
            <w:pPr>
              <w:pStyle w:val="TableContents"/>
              <w:bidi w:val="0"/>
              <w:spacing w:before="0" w:after="0"/>
              <w:ind w:left="0" w:right="0" w:hanging="0"/>
              <w:jc w:val="left"/>
            </w:pPr>
            <w: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0"/>
              <w:ind w:left="0" w:right="0" w:hanging="0"/>
              <w:jc w:val="right"/>
            </w:pPr>
            <w:r>
              <w:rPr>
                <w:rStyle w:val="Emphasis"/>
              </w:rPr>
              <w:t> </w:t>
            </w:r>
          </w:p>
        </w:tc>
      </w:tr>
      <w:tr>
        <w:tc>
          <w:tcPr>
            <w:tcW w:w="41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expenses (4)</w:t>
            </w:r>
          </w:p>
        </w:tc>
        <w:tc>
          <w:tcPr>
            <w:tcW w:w="60" w:type="dxa"/>
            <w:tcBorders/>
            <w:shd w:fill="FFFFFF" w:val="clear"/>
            <w:vAlign w:val="center"/>
          </w:tcPr>
          <w:p>
            <w:pPr>
              <w:pStyle w:val="TableContents"/>
              <w:bidi w:val="0"/>
              <w:spacing w:before="0" w:after="0"/>
              <w:ind w:left="0" w:right="0" w:hanging="0"/>
              <w:jc w:val="left"/>
            </w:pPr>
            <w:r>
              <w:t> </w:t>
            </w:r>
          </w:p>
        </w:tc>
        <w:tc>
          <w:tcPr>
            <w:tcW w:w="1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13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58"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shd w:fill="FFFFFF" w:val="clear"/>
            <w:vAlign w:val="center"/>
          </w:tcPr>
          <w:p>
            <w:pPr>
              <w:pStyle w:val="TableContents"/>
              <w:bidi w:val="0"/>
              <w:spacing w:before="0" w:after="0"/>
              <w:ind w:left="0" w:right="0" w:hanging="0"/>
              <w:jc w:val="right"/>
            </w:pPr>
            <w:r>
              <w:rPr>
                <w:rStyle w:val="Emphasis"/>
              </w:rPr>
              <w:t> </w:t>
            </w:r>
          </w:p>
        </w:tc>
        <w:tc>
          <w:tcPr>
            <w:tcW w:w="87" w:type="dxa"/>
            <w:tcBorders/>
            <w:shd w:fill="FFFFFF" w:val="clear"/>
            <w:vAlign w:val="center"/>
          </w:tcPr>
          <w:p>
            <w:pPr>
              <w:pStyle w:val="TableContents"/>
              <w:bidi w:val="0"/>
              <w:spacing w:before="0" w:after="0"/>
              <w:ind w:left="0" w:right="0" w:hanging="0"/>
              <w:jc w:val="left"/>
            </w:pPr>
            <w:r>
              <w:t> </w:t>
            </w:r>
          </w:p>
        </w:tc>
        <w:tc>
          <w:tcPr>
            <w:tcW w:w="1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13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245"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0"/>
              <w:jc w:val="right"/>
            </w:pPr>
            <w:r>
              <w:rPr>
                <w:rStyle w:val="Emphasis"/>
              </w:rPr>
              <w:t> </w:t>
            </w:r>
          </w:p>
        </w:tc>
      </w:tr>
      <w:tr>
        <w:tc>
          <w:tcPr>
            <w:tcW w:w="414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 with incentive fees (4)</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13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13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at the end of the period</w:t>
            </w:r>
          </w:p>
        </w:tc>
        <w:tc>
          <w:tcPr>
            <w:tcW w:w="60" w:type="dxa"/>
            <w:tcBorders/>
            <w:shd w:fill="FFFFFF" w:val="clear"/>
            <w:vAlign w:val="center"/>
          </w:tcPr>
          <w:p>
            <w:pPr>
              <w:pStyle w:val="TableContents"/>
              <w:bidi w:val="0"/>
              <w:spacing w:before="0" w:after="283"/>
              <w:ind w:left="0" w:right="0" w:hanging="0"/>
              <w:jc w:val="left"/>
            </w:pPr>
            <w: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362,143</w:t>
            </w:r>
          </w:p>
        </w:tc>
        <w:tc>
          <w:tcPr>
            <w:tcW w:w="358"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ind w:left="0" w:right="0" w:hanging="0"/>
              <w:jc w:val="left"/>
            </w:pPr>
            <w: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315,701</w:t>
            </w:r>
          </w:p>
        </w:tc>
        <w:tc>
          <w:tcPr>
            <w:tcW w:w="245"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net asset value</w:t>
            </w:r>
          </w:p>
        </w:tc>
        <w:tc>
          <w:tcPr>
            <w:tcW w:w="60" w:type="dxa"/>
            <w:tcBorders/>
            <w:shd w:fill="CCEEFF" w:val="clear"/>
            <w:vAlign w:val="center"/>
          </w:tcPr>
          <w:p>
            <w:pPr>
              <w:pStyle w:val="TableContents"/>
              <w:bidi w:val="0"/>
              <w:spacing w:before="0" w:after="283"/>
              <w:ind w:left="0" w:right="0" w:hanging="0"/>
              <w:jc w:val="left"/>
            </w:pPr>
            <w: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358,002</w:t>
            </w:r>
          </w:p>
        </w:tc>
        <w:tc>
          <w:tcPr>
            <w:tcW w:w="358"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right"/>
            </w:pPr>
            <w:r>
              <w:rPr>
                <w:rStyle w:val="Emphasis"/>
              </w:rPr>
              <w:t> </w:t>
            </w:r>
          </w:p>
        </w:tc>
        <w:tc>
          <w:tcPr>
            <w:tcW w:w="87" w:type="dxa"/>
            <w:tcBorders/>
            <w:shd w:fill="CCEEFF" w:val="clear"/>
            <w:vAlign w:val="center"/>
          </w:tcPr>
          <w:p>
            <w:pPr>
              <w:pStyle w:val="TableContents"/>
              <w:bidi w:val="0"/>
              <w:spacing w:before="0" w:after="283"/>
              <w:ind w:left="0" w:right="0" w:hanging="0"/>
              <w:jc w:val="left"/>
            </w:pPr>
            <w: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310,284</w:t>
            </w:r>
          </w:p>
        </w:tc>
        <w:tc>
          <w:tcPr>
            <w:tcW w:w="245"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right"/>
            </w:pPr>
            <w:r>
              <w:rPr>
                <w:rStyle w:val="Emphasis"/>
              </w:rP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debt per share</w:t>
            </w:r>
          </w:p>
        </w:tc>
        <w:tc>
          <w:tcPr>
            <w:tcW w:w="60" w:type="dxa"/>
            <w:tcBorders/>
            <w:shd w:fill="FFFFFF" w:val="clear"/>
            <w:vAlign w:val="center"/>
          </w:tcPr>
          <w:p>
            <w:pPr>
              <w:pStyle w:val="TableContents"/>
              <w:bidi w:val="0"/>
              <w:spacing w:before="0" w:after="283"/>
              <w:ind w:left="0" w:right="0" w:hanging="0"/>
              <w:jc w:val="left"/>
            </w:pPr>
            <w: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358"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right"/>
            </w:pPr>
            <w:r>
              <w:rPr>
                <w:rStyle w:val="Emphasis"/>
              </w:rPr>
              <w:t> </w:t>
            </w:r>
          </w:p>
        </w:tc>
        <w:tc>
          <w:tcPr>
            <w:tcW w:w="87" w:type="dxa"/>
            <w:tcBorders/>
            <w:shd w:fill="FFFFFF" w:val="clear"/>
            <w:vAlign w:val="center"/>
          </w:tcPr>
          <w:p>
            <w:pPr>
              <w:pStyle w:val="TableContents"/>
              <w:bidi w:val="0"/>
              <w:spacing w:before="0" w:after="283"/>
              <w:ind w:left="0" w:right="0" w:hanging="0"/>
              <w:jc w:val="left"/>
            </w:pPr>
            <w: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245"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right"/>
            </w:pPr>
            <w:r>
              <w:rPr>
                <w:rStyle w:val="Emphasis"/>
              </w:rP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Portfolio turnover ratio</w:t>
            </w:r>
          </w:p>
        </w:tc>
        <w:tc>
          <w:tcPr>
            <w:tcW w:w="6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3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lineRule="auto" w:line="288" w:before="0" w:after="0"/>
              <w:ind w:left="0" w:right="0" w:hanging="0"/>
              <w:jc w:val="left"/>
            </w:pPr>
            <w:r>
              <w:rPr>
                <w:rStyle w:val="Emphasis"/>
                <w:rFonts w:ascii="Times New Roman;Times;serif" w:hAnsi="Times New Roman;Times;serif"/>
                <w:sz w:val="20"/>
              </w:rPr>
              <w:t>(5)</w:t>
            </w:r>
          </w:p>
        </w:tc>
        <w:tc>
          <w:tcPr>
            <w:tcW w:w="87"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ind w:left="0" w:right="0" w:hanging="0"/>
              <w:jc w:val="left"/>
            </w:pPr>
            <w: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lineRule="auto" w:line="288" w:before="0" w:after="0"/>
              <w:ind w:left="0" w:right="0" w:hanging="0"/>
              <w:jc w:val="left"/>
            </w:pPr>
            <w:r>
              <w:rPr>
                <w:rStyle w:val="Emphasis"/>
                <w:rFonts w:ascii="Times New Roman;Times;serif" w:hAnsi="Times New Roman;Times;serif"/>
                <w:sz w:val="20"/>
              </w:rPr>
              <w:t>(5)</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148"/>
        <w:gridCol w:w="10057"/>
      </w:tblGrid>
      <w:tr>
        <w:tc>
          <w:tcPr>
            <w:tcW w:w="148"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57" w:type="dxa"/>
            <w:tcBorders/>
            <w:vAlign w:val="center"/>
          </w:tcPr>
          <w:p>
            <w:pPr>
              <w:pStyle w:val="TableContents"/>
              <w:bidi w:val="0"/>
              <w:spacing w:before="0" w:after="0"/>
              <w:ind w:left="0" w:right="0" w:hanging="0"/>
              <w:jc w:val="both"/>
            </w:pPr>
            <w:r>
              <w:rPr>
                <w:rFonts w:ascii="Times New Roman;Times;serif" w:hAnsi="Times New Roman;Times;serif"/>
                <w:caps w:val="false"/>
                <w:smallCaps w:val="false"/>
                <w:sz w:val="20"/>
              </w:rPr>
              <w:t xml:space="preserve">Distributions are determined based on taxable income calculated in accordance with income tax regulations, which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41"/>
        <w:gridCol w:w="10064"/>
      </w:tblGrid>
      <w:tr>
        <w:tc>
          <w:tcPr>
            <w:tcW w:w="141"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10064" w:type="dxa"/>
            <w:tcBorders/>
            <w:vAlign w:val="center"/>
          </w:tcPr>
          <w:p>
            <w:pPr>
              <w:pStyle w:val="TableContents"/>
              <w:bidi w:val="0"/>
              <w:spacing w:before="0" w:after="283"/>
              <w:jc w:val="both"/>
              <w:rPr>
                <w:sz w:val="20"/>
              </w:rPr>
            </w:pPr>
            <w:r>
              <w:rPr>
                <w:sz w:val="20"/>
              </w:rPr>
              <w:t>Includes the impact of the different share amounts as a result of calculating per share data based on the weighted average basic shares outstanding during the period and certain per share data based on the shares outstanding as of a period end or transaction date. The issuance of common stock on a per share basis reflects the incremental net asset value changes as a result of the issuance of common stock pursuant to the Merger and the Company’s continuous public offering, pursuant to the Company’s distribution reinvestment plan and pursuant to the conversion of the Convertible Notes to common stock. The issuance of common stock at an offering price, net of sales commissions and dealer manager fees, that is greater than the net asset value per share results in an increase in net asset value per share.</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200"/>
        <w:gridCol w:w="10005"/>
      </w:tblGrid>
      <w:tr>
        <w:tc>
          <w:tcPr>
            <w:tcW w:w="200"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total return equals the change in the ending market value over the beginning of period price per share plus distributions paid per share during the period, divided by the beginning price.</w:t>
            </w:r>
          </w:p>
        </w:tc>
      </w:tr>
    </w:tbl>
    <w:p>
      <w:pPr>
        <w:pStyle w:val="TextBody"/>
        <w:bidi w:val="0"/>
        <w:spacing w:before="0" w:after="0"/>
        <w:ind w:left="0" w:right="0" w:hanging="0"/>
        <w:jc w:val="left"/>
      </w:pPr>
      <w:r>
        <w:t> </w:t>
      </w:r>
    </w:p>
    <w:tbl>
      <w:tblPr>
        <w:tblW w:w="1255" w:type="dxa"/>
        <w:jc w:val="left"/>
        <w:tblInd w:w="0" w:type="dxa"/>
        <w:tblLayout w:type="fixed"/>
        <w:tblCellMar>
          <w:top w:w="0" w:type="dxa"/>
          <w:left w:w="0" w:type="dxa"/>
          <w:bottom w:w="0" w:type="dxa"/>
          <w:right w:w="0" w:type="dxa"/>
        </w:tblCellMar>
      </w:tblPr>
      <w:tblGrid>
        <w:gridCol w:w="245"/>
        <w:gridCol w:w="1010"/>
      </w:tblGrid>
      <w:tr>
        <w:tc>
          <w:tcPr>
            <w:tcW w:w="245"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w:t>
            </w:r>
            <w:r>
              <w:rPr>
                <w:rFonts w:ascii="Times New Roman;Times;serif" w:hAnsi="Times New Roman;Times;serif"/>
                <w:caps w:val="false"/>
                <w:smallCaps w:val="false"/>
                <w:sz w:val="20"/>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Annualized.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68"/>
        <w:gridCol w:w="10037"/>
      </w:tblGrid>
      <w:tr>
        <w:tc>
          <w:tcPr>
            <w:tcW w:w="168" w:type="dxa"/>
            <w:tcBorders/>
            <w:vAlign w:val="center"/>
          </w:tcPr>
          <w:p>
            <w:pPr>
              <w:pStyle w:val="TableContents"/>
              <w:bidi w:val="0"/>
              <w:spacing w:before="0" w:after="0"/>
              <w:ind w:left="0" w:right="0" w:hanging="0"/>
              <w:jc w:val="left"/>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w:t>
            </w:r>
          </w:p>
        </w:tc>
        <w:tc>
          <w:tcPr>
            <w:tcW w:w="100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Calculated by dividing (i) the lesser of purchases or sales of portfolio securities for the fiscal year by (ii) the monthly average of the value of portfolio securities owned by the Company during the fiscal year, with certain securities excluded from the numerator and denominator pursuant to applicable federal securities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MRCC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14, 2026, </w:t>
      </w:r>
      <w:r>
        <w:rPr>
          <w:rFonts w:ascii="Times New Roman" w:hAnsi="Times New Roman"/>
          <w:caps w:val="false"/>
          <w:smallCaps w:val="false"/>
          <w:sz w:val="20"/>
        </w:rPr>
        <w:t>in connection with the closing of the Merger, the Company received approximately $141.3 million in cash and issued 20,370,645 shares of its common stock in the aggregate, or 0.9402 shares of its common stock for each share of MRCC common stock, to MRCC stockholders (and payment of cash in lieu of fractional shares). Former MRCC stockholders and legacy stockholders of the Company own 29.86% and 70.14% of the combined company, respectively, immediately following the closing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Merger was accounted for in accordance with the asset acquisition method of accounting as detailed in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The assets acquired from MRCC consisted of cash and cash equivalents, interest receivable and accrued expenses, which were recorded at fair value and equal to the purchase price.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gain or loss or premium or discount was recorded in connection with the Merger. Transaction costs directly attributable to the Merger of $4.5 million were recorded as an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Merger was considered a tax-free reorganization, and the Company elected to carry forward the historical cost basis of the MRCC investments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connection with the completion of the Mergers, the Company and the Advisor entered into the Letter Agreement, pursuant to which HRZN Advisor agreed to waive an aggregate of $4.0 million in base management fees and/or incentive fees (each as defined in the Investment Management Agreement) due and payable to the Advisor pursuant to the terms of the Investment Management Agreement at the rate of $1.0 million per fiscal quarter commencing with the quarter ending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The Fee Waiver is in effect until the end of the fiscal quarter ending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 xml:space="preserve">and, for each applicable fiscal quarter,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the total amount of Base Management Fees and Incentive Fees earned by the Advisor during such fiscal quarter. During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waived $1.0 million of base management fee in connection with the Fee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caps w:val="false"/>
          <w:smallCaps w:val="false"/>
          <w:sz w:val="20"/>
        </w:rPr>
        <w:t>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13, 2026, </w:t>
      </w:r>
      <w:r>
        <w:rPr>
          <w:rFonts w:ascii="Times New Roman" w:hAnsi="Times New Roman"/>
          <w:caps w:val="false"/>
          <w:smallCaps w:val="false"/>
          <w:sz w:val="20"/>
        </w:rPr>
        <w:t>Glass Routes, LLC prepaid its outstanding principal balance of $7.5 million on its venture loan, plus interest, and prepayment penalty.</w:t>
      </w:r>
    </w:p>
    <w:p>
      <w:pPr>
        <w:pStyle w:val="TextBody"/>
        <w:bidi w:val="0"/>
        <w:spacing w:before="0" w:after="0"/>
        <w:ind w:left="160" w:right="0" w:firstLine="180"/>
        <w:jc w:val="both"/>
        <w:rPr>
          <w:caps w:val="false"/>
          <w:smallCaps w:val="false"/>
        </w:rPr>
      </w:pPr>
      <w:r>
        <w:rPr>
          <w:caps w:val="false"/>
          <w:smallCaps w:val="false"/>
        </w:rPr>
        <w:t> </w:t>
      </w:r>
    </w:p>
    <w:p>
      <w:pPr>
        <w:pStyle w:val="TextBody"/>
        <w:bidi w:val="0"/>
        <w:spacing w:before="0" w:after="0"/>
        <w:ind w:left="160" w:right="0" w:firstLine="18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20, 2026, </w:t>
      </w:r>
      <w:r>
        <w:rPr>
          <w:rFonts w:ascii="Times New Roman" w:hAnsi="Times New Roman"/>
          <w:caps w:val="false"/>
          <w:smallCaps w:val="false"/>
          <w:sz w:val="20"/>
        </w:rPr>
        <w:t>Hometeam Technologies, Inc. repaid $3.5 million of the outstanding principal balance on its venture loan.</w:t>
      </w:r>
    </w:p>
    <w:p>
      <w:pPr>
        <w:pStyle w:val="TextBody"/>
        <w:bidi w:val="0"/>
        <w:spacing w:before="0" w:after="0"/>
        <w:ind w:left="160" w:right="0" w:firstLine="180"/>
        <w:jc w:val="both"/>
        <w:rPr>
          <w:caps w:val="false"/>
          <w:smallCaps w:val="false"/>
        </w:rPr>
      </w:pPr>
      <w:r>
        <w:rPr>
          <w:caps w:val="false"/>
          <w:smallCaps w:val="false"/>
        </w:rPr>
        <w:t> </w:t>
      </w:r>
    </w:p>
    <w:p>
      <w:pPr>
        <w:pStyle w:val="TextBody"/>
        <w:bidi w:val="0"/>
        <w:spacing w:before="0" w:after="0"/>
        <w:ind w:left="160" w:right="0" w:firstLine="18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30, 2026, </w:t>
      </w:r>
      <w:r>
        <w:rPr>
          <w:rFonts w:ascii="Times New Roman" w:hAnsi="Times New Roman"/>
          <w:caps w:val="false"/>
          <w:smallCaps w:val="false"/>
          <w:sz w:val="20"/>
        </w:rPr>
        <w:t>the Company funded a $10.0 million debt investment to an existing portfolio company, Pelthos Therapeutics, Inc.</w:t>
      </w:r>
    </w:p>
    <w:p>
      <w:pPr>
        <w:pStyle w:val="TextBody"/>
        <w:bidi w:val="0"/>
        <w:spacing w:before="0" w:after="0"/>
        <w:ind w:left="160" w:right="0" w:firstLine="180"/>
        <w:jc w:val="both"/>
        <w:rPr>
          <w:caps w:val="false"/>
          <w:smallCaps w:val="false"/>
        </w:rPr>
      </w:pPr>
      <w:r>
        <w:rPr>
          <w:caps w:val="false"/>
          <w:smallCaps w:val="false"/>
        </w:rPr>
        <w:t> </w:t>
      </w:r>
    </w:p>
    <w:p>
      <w:pPr>
        <w:pStyle w:val="TextBody"/>
        <w:bidi w:val="0"/>
        <w:spacing w:before="0" w:after="0"/>
        <w:ind w:left="160" w:right="0" w:firstLine="18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30, 2026, </w:t>
      </w:r>
      <w:r>
        <w:rPr>
          <w:rFonts w:ascii="Times New Roman" w:hAnsi="Times New Roman"/>
          <w:caps w:val="false"/>
          <w:smallCaps w:val="false"/>
          <w:sz w:val="20"/>
        </w:rPr>
        <w:t>the Company funded a $0.1 million debt investment to an existing portfolio company Volt Bidco, Inc.</w:t>
      </w:r>
    </w:p>
    <w:p>
      <w:pPr>
        <w:pStyle w:val="TextBody"/>
        <w:bidi w:val="0"/>
        <w:spacing w:before="0" w:after="0"/>
        <w:ind w:left="160" w:right="0" w:firstLine="18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caps w:val="false"/>
          <w:smallCaps w:val="false"/>
          <w:sz w:val="20"/>
        </w:rPr>
      </w:pPr>
      <w:bookmarkStart w:id="9" w:name="mda"/>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In this quarterly report on Form</w:t>
      </w:r>
      <w:r>
        <w:rPr>
          <w:rFonts w:ascii="Times New Roman" w:hAnsi="Times New Roman"/>
          <w:caps w:val="false"/>
          <w:smallCaps w:val="false"/>
          <w:sz w:val="20"/>
        </w:rPr>
        <w:t> </w:t>
      </w:r>
      <w:r>
        <w:rPr>
          <w:rFonts w:ascii="Times New Roman" w:hAnsi="Times New Roman"/>
          <w:i/>
          <w:caps w:val="false"/>
          <w:smallCaps w:val="false"/>
          <w:sz w:val="20"/>
        </w:rPr>
        <w:t>10</w:t>
      </w:r>
      <w:r>
        <w:rPr>
          <w:rFonts w:ascii="Times New Roman" w:hAnsi="Times New Roman"/>
          <w:caps w:val="false"/>
          <w:smallCaps w:val="false"/>
          <w:sz w:val="20"/>
        </w:rPr>
        <w:noBreakHyphen/>
      </w:r>
      <w:r>
        <w:rPr>
          <w:rFonts w:ascii="Times New Roman" w:hAnsi="Times New Roman"/>
          <w:i/>
          <w:caps w:val="false"/>
          <w:smallCaps w:val="false"/>
          <w:sz w:val="20"/>
        </w:rPr>
        <w:t xml:space="preserve">Q, except where the context suggests otherwise, the terms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Horizon Technology Finance</w:t>
      </w:r>
      <w:r>
        <w:rPr>
          <w:rFonts w:ascii="Times New Roman" w:hAnsi="Times New Roman"/>
          <w:caps w:val="false"/>
          <w:smallCaps w:val="false"/>
          <w:sz w:val="20"/>
        </w:rPr>
        <w:t xml:space="preserve">” </w:t>
      </w:r>
      <w:r>
        <w:rPr>
          <w:rFonts w:ascii="Times New Roman" w:hAnsi="Times New Roman"/>
          <w:i/>
          <w:caps w:val="false"/>
          <w:smallCaps w:val="false"/>
          <w:sz w:val="20"/>
        </w:rPr>
        <w:t>refer to Horizon Technology Finance Corporation and its consolidated subsidiaries. The information contained in this section should be read in conjunction with our consolidated financial statements and related notes thereto appearing elsewhere in this quarterly report on Form</w:t>
      </w:r>
      <w:r>
        <w:rPr>
          <w:rFonts w:ascii="Times New Roman" w:hAnsi="Times New Roman"/>
          <w:caps w:val="false"/>
          <w:smallCaps w:val="false"/>
          <w:sz w:val="20"/>
        </w:rPr>
        <w:t> </w:t>
      </w:r>
      <w:r>
        <w:rPr>
          <w:rFonts w:ascii="Times New Roman" w:hAnsi="Times New Roman"/>
          <w:i/>
          <w:caps w:val="false"/>
          <w:smallCaps w:val="false"/>
          <w:sz w:val="20"/>
        </w:rPr>
        <w:t>10</w:t>
      </w:r>
      <w:r>
        <w:rPr>
          <w:rFonts w:ascii="Times New Roman" w:hAnsi="Times New Roman"/>
          <w:caps w:val="false"/>
          <w:smallCaps w:val="false"/>
          <w:sz w:val="20"/>
        </w:rPr>
        <w:noBreakHyphen/>
      </w:r>
      <w:r>
        <w:rPr>
          <w:rFonts w:ascii="Times New Roman" w:hAnsi="Times New Roman"/>
          <w:i/>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quarterly report on Form 10</w:t>
        <w:noBreakHyphen/>
        <w:t>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w:t>
        <w:noBreakHyphen/>
        <w:t>Q involve risks and uncertainties, including statements as to:</w:t>
      </w:r>
    </w:p>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170"/>
        <w:gridCol w:w="975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operating results, including the performance of our existing debt investments, warrants and other investments;</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introduction, withdrawal, success and timing of business initiatives and strategies;</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economic and political trends and other external factors, including continuing supply chain disruptions, increased inflation, increased energy costs, tariffs and trade disputes with other countries and a general slowdown in economic activity;</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geopolitical turmoil, such as the conflicts between Russia and Ukraine, conflicts in the Middle East and Iran, and the potential for volatility in energy prices and disruptions to global supply chains resulting from such turmoil and its impact on the industries in which we invest;</w:t>
            </w:r>
          </w:p>
        </w:tc>
      </w:tr>
    </w:tbl>
    <w:p>
      <w:pPr>
        <w:pStyle w:val="TextBody"/>
        <w:bidi w:val="0"/>
        <w:spacing w:before="0" w:after="0"/>
        <w:ind w:left="0" w:right="0" w:hanging="0"/>
        <w:jc w:val="left"/>
      </w:pPr>
      <w:r>
        <w:t> </w:t>
      </w:r>
    </w:p>
    <w:tbl>
      <w:tblPr>
        <w:tblW w:w="5785" w:type="dxa"/>
        <w:jc w:val="left"/>
        <w:tblInd w:w="0" w:type="dxa"/>
        <w:tblLayout w:type="fixed"/>
        <w:tblCellMar>
          <w:top w:w="0" w:type="dxa"/>
          <w:left w:w="0" w:type="dxa"/>
          <w:bottom w:w="0" w:type="dxa"/>
          <w:right w:w="0" w:type="dxa"/>
        </w:tblCellMar>
      </w:tblPr>
      <w:tblGrid>
        <w:gridCol w:w="60"/>
        <w:gridCol w:w="170"/>
        <w:gridCol w:w="555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prospects and the prospects of our portfolio companies;</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pPr>
            <w:r>
              <w:t>the impact of changes in laws or regulations (including the interpretation thereof), including tax laws, governing our operations or the operations of our portfolio companies or the operations of our competitors;</w:t>
            </w:r>
          </w:p>
        </w:tc>
      </w:tr>
    </w:tbl>
    <w:p>
      <w:pPr>
        <w:pStyle w:val="TextBody"/>
        <w:bidi w:val="0"/>
        <w:spacing w:before="0" w:after="0"/>
        <w:ind w:left="0" w:right="0" w:hanging="0"/>
        <w:jc w:val="left"/>
      </w:pPr>
      <w:r>
        <w:t> </w:t>
      </w:r>
    </w:p>
    <w:tbl>
      <w:tblPr>
        <w:tblW w:w="6760" w:type="dxa"/>
        <w:jc w:val="left"/>
        <w:tblInd w:w="0" w:type="dxa"/>
        <w:tblLayout w:type="fixed"/>
        <w:tblCellMar>
          <w:top w:w="0" w:type="dxa"/>
          <w:left w:w="0" w:type="dxa"/>
          <w:bottom w:w="0" w:type="dxa"/>
          <w:right w:w="0" w:type="dxa"/>
        </w:tblCellMar>
      </w:tblPr>
      <w:tblGrid>
        <w:gridCol w:w="60"/>
        <w:gridCol w:w="170"/>
        <w:gridCol w:w="653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relative and absolute investment performance and operations of our Advisor;</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60"/>
        <w:gridCol w:w="170"/>
        <w:gridCol w:w="299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increased competition;</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70"/>
        <w:gridCol w:w="693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investments we intend to make and future acquisitions and divestitures;</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unfavorable resolution of legal proceedings;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pPr>
            <w:r>
              <w:t>political and regulatory conditions that contribute to uncertainty and market volatility, including legislative, regulatory, trade and policy changes;</w:t>
            </w:r>
          </w:p>
        </w:tc>
      </w:tr>
    </w:tbl>
    <w:p>
      <w:pPr>
        <w:pStyle w:val="TextBody"/>
        <w:bidi w:val="0"/>
        <w:spacing w:before="0" w:after="0"/>
        <w:ind w:left="0" w:right="0" w:hanging="0"/>
        <w:jc w:val="left"/>
      </w:pPr>
      <w: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pPr>
            <w:r>
              <w:t>the impact on our business of a U.S. government shutdown;</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70"/>
        <w:gridCol w:w="882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extent and timing of technological changes and the adequacy of intellectual property protection;</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70"/>
        <w:gridCol w:w="314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regulatory structure and tax status;</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60"/>
        <w:gridCol w:w="170"/>
        <w:gridCol w:w="396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general interest rate environment;</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qualify and maintain qualification as a RIC and as a BDC;</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70"/>
        <w:gridCol w:w="455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adequacy of our cash resources and working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any losses or operations disruptions caused by us, our Advisor or our portfolio companies holding cash balances at financial institutions that exceed federally insured limits or by disruptions in the financial services industry;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cash flows, if any, from the operations of our portfolio companies, and the resulting effect on our portfolio companies' decisions to make payment-in-kind (“PIK”) interest payments or ability to make end of term payments;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0"/>
        <w:gridCol w:w="410"/>
        <w:gridCol w:w="9335"/>
      </w:tblGrid>
      <w:tr>
        <w:tc>
          <w:tcPr>
            <w:tcW w:w="60" w:type="dxa"/>
            <w:tcBorders/>
            <w:vAlign w:val="center"/>
          </w:tcPr>
          <w:p>
            <w:pPr>
              <w:pStyle w:val="TableContents"/>
              <w:bidi w:val="0"/>
              <w:spacing w:before="0" w:after="283"/>
              <w:jc w:val="left"/>
            </w:pPr>
            <w:r>
              <w:t> </w:t>
            </w:r>
          </w:p>
        </w:tc>
        <w:tc>
          <w:tcPr>
            <w:tcW w:w="41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3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interest rate volatility on our results, particularly if we use leverage as part of our investment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tbl>
      <w:tblPr>
        <w:tblW w:w="5470" w:type="dxa"/>
        <w:jc w:val="left"/>
        <w:tblInd w:w="0" w:type="dxa"/>
        <w:tblLayout w:type="fixed"/>
        <w:tblCellMar>
          <w:top w:w="0" w:type="dxa"/>
          <w:left w:w="0" w:type="dxa"/>
          <w:bottom w:w="0" w:type="dxa"/>
          <w:right w:w="0" w:type="dxa"/>
        </w:tblCellMar>
      </w:tblPr>
      <w:tblGrid>
        <w:gridCol w:w="60"/>
        <w:gridCol w:w="170"/>
        <w:gridCol w:w="524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ability of our portfolio companies to achieve their objective;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legislative and regulatory actions and reforms and regulatory supervisory or enforcement actions of government agencies relating to us or our Advisor;</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70"/>
        <w:gridCol w:w="530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contractual arrangements and relationships with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access capital and any future financings by us;</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use of financial leverage;</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60"/>
        <w:gridCol w:w="170"/>
        <w:gridCol w:w="615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ability of our Advisor to attract and retain highly talented professionals;</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changes to tax legislation and, generally, our tax position;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fund unfunded commitments, including those of a new joint venture, RoHo Capital Opportunity Fund LLC f/k/a HRZN CRFH LLC (the “RoHo Joint Venture”) formed by us and CR Financial Holdings, Inc. (“CRFH”), to the extent approved by each member of the RoHo Joint Venture.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use words such as “anticipates,” “believes,” “expects,” “intends,” “seeks” and similar expressions to identify forward-looking statements. Undue influence should not be placed on the forward-looking statements as our actual results could differ materially from those projected in the forward-looking statements for any reason, including the factors in “Risk Factors” and elsewhere in our annual report on Form 10</w:t>
        <w:noBreakHyphen/>
        <w:t>K for the year ended December 31, 2025, and elsewhere in this quarterly report on Form 10</w:t>
        <w:noBreakHyphen/>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in this quarterly report on Form 10</w:t>
        <w:noBreakHyphen/>
        <w:t>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w:t>
        <w:noBreakHyphen/>
        <w:t>Q and Form 10</w:t>
        <w:noBreakHyphen/>
        <w:t>K and current reports on Form 8</w:t>
        <w:noBreakHyphen/>
        <w:t>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should understand that under Sections 27A(b)(2)(B) and (D) of the Securities Act and Sections 21E(b)(2)(B) and (D) of the Exchange Act, the “safe harbor” provisions of the Private Securities Litigation Reform Act of 1995 do not apply to statements made in connection with any annual or quarterly reports we file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 specialty finance company that lends to and invests in development-stage companies in the technology, life science, healthcare information and services and sustainability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and private equity backed companies and publicly traded companies in our Target Industries, which we refer to as “Venture Lending.” Our debt investments are typically secured by first liens or first liens behind a secured revolving line of credit, or collectively “Senior Term Loans.” Some of our debt investments may also be subordinated to term debt provided by third parties. As of September 30, 2026, 100.0%, or $621.2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amortization of the Venture Loan and (4) the lender’s receipt of warrants or other success fees with the making of the Venture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Code. As a BDC, we are required to comply with regulatory requirements, including limitations on our use of debt. We are permitted to, and expect to, finance our investments through borrowings subject to a 150% asset coverage test. In accordance with GAAP, any borrowings of the RoHo Joint Venture are not included in the asset coverage test. As defined in the 1940 Act, asset coverage of 150% means that for every $100 of net assets a BDC holds, it may raise up to $200 from borrowing and issuing senior securities.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were formed in March 2010 and completed an initial public offering in October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investment activities, and our day-to-day operations, are managed by our Advisor and supervised by our Board, of which a majority of the members are independent of us. Under the Investment Management Agreement, we have agreed to pay our Advisor a base management fee and an incentive fee for its advisory services to us. We have also entered into the Administration Agreement with our Advisor under which we have agreed to reimburse our Advisor for our allocable portion of overhead and other expenses incurred by our Advisor in performing its obligations under the Administration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April 14, 2026, the Company completed its previously announced merger with Monroe Capital Corporation (“MRCC”), HMMS, Inc. (“Merger Sub”), Monroe Capital BDC Advisors, LLC, and the Advisor, pursuant to the Agreement and Plan of Merger, dated as of August 7, 2025 (the “Merger Agreement”) (the “Merger”). Former MRCC stockholders and legacy stockholders own 29.86% and 70.14% of the combined company, respectively, immediately following the closing of the Merger.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Portfolio composition and investment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our portfolio by type of investment as of September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9458" w:type="dxa"/>
        <w:jc w:val="left"/>
        <w:tblInd w:w="0" w:type="dxa"/>
        <w:tblLayout w:type="fixed"/>
        <w:tblCellMar>
          <w:top w:w="0" w:type="dxa"/>
          <w:left w:w="0" w:type="dxa"/>
          <w:bottom w:w="0" w:type="dxa"/>
          <w:right w:w="0" w:type="dxa"/>
        </w:tblCellMar>
      </w:tblPr>
      <w:tblGrid>
        <w:gridCol w:w="2450"/>
        <w:gridCol w:w="60"/>
        <w:gridCol w:w="1025"/>
        <w:gridCol w:w="60"/>
        <w:gridCol w:w="60"/>
        <w:gridCol w:w="125"/>
        <w:gridCol w:w="695"/>
        <w:gridCol w:w="60"/>
        <w:gridCol w:w="60"/>
        <w:gridCol w:w="129"/>
        <w:gridCol w:w="1045"/>
        <w:gridCol w:w="185"/>
        <w:gridCol w:w="60"/>
        <w:gridCol w:w="1025"/>
        <w:gridCol w:w="60"/>
        <w:gridCol w:w="60"/>
        <w:gridCol w:w="125"/>
        <w:gridCol w:w="695"/>
        <w:gridCol w:w="60"/>
        <w:gridCol w:w="60"/>
        <w:gridCol w:w="129"/>
        <w:gridCol w:w="1045"/>
        <w:gridCol w:w="185"/>
      </w:tblGrid>
      <w:tr>
        <w:tc>
          <w:tcPr>
            <w:tcW w:w="24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259" w:type="dxa"/>
            <w:gridSpan w:val="9"/>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259" w:type="dxa"/>
            <w:gridSpan w:val="9"/>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4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02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02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of</w:t>
            </w:r>
          </w:p>
        </w:tc>
        <w:tc>
          <w:tcPr>
            <w:tcW w:w="185" w:type="dxa"/>
            <w:tcBorders/>
            <w:shd w:fill="FFFFFF" w:val="clear"/>
            <w:vAlign w:val="center"/>
          </w:tcPr>
          <w:p>
            <w:pPr>
              <w:pStyle w:val="TableContents"/>
              <w:bidi w:val="0"/>
              <w:spacing w:before="0" w:after="283"/>
              <w:jc w:val="left"/>
            </w:pPr>
            <w:r>
              <w:t> </w:t>
            </w:r>
          </w:p>
        </w:tc>
      </w:tr>
      <w:tr>
        <w:tc>
          <w:tcPr>
            <w:tcW w:w="24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185" w:type="dxa"/>
            <w:tcBorders/>
            <w:shd w:fill="FFFFFF" w:val="clear"/>
            <w:vAlign w:val="center"/>
          </w:tcPr>
          <w:p>
            <w:pPr>
              <w:pStyle w:val="TableContents"/>
              <w:bidi w:val="0"/>
              <w:spacing w:before="0" w:after="283"/>
              <w:jc w:val="left"/>
            </w:pPr>
            <w:r>
              <w:t> </w:t>
            </w:r>
          </w:p>
        </w:tc>
      </w:tr>
      <w:tr>
        <w:tc>
          <w:tcPr>
            <w:tcW w:w="24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4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763" w:type="dxa"/>
            <w:gridSpan w:val="2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185" w:type="dxa"/>
            <w:tcBorders/>
            <w:shd w:fill="FFFFFF" w:val="clear"/>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investments</w:t>
            </w:r>
          </w:p>
        </w:tc>
        <w:tc>
          <w:tcPr>
            <w:tcW w:w="60" w:type="dxa"/>
            <w:tcBorders/>
            <w:shd w:fill="CCEEFF" w:val="clear"/>
            <w:vAlign w:val="center"/>
          </w:tcPr>
          <w:p>
            <w:pPr>
              <w:pStyle w:val="TableContents"/>
              <w:bidi w:val="0"/>
              <w:spacing w:before="0" w:after="283"/>
              <w:ind w:left="0" w:right="0" w:hanging="0"/>
              <w:jc w:val="left"/>
            </w:pPr>
            <w:r>
              <w:t> </w:t>
            </w:r>
          </w:p>
        </w:tc>
        <w:tc>
          <w:tcPr>
            <w:tcW w:w="102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621,222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02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w:t>
            </w:r>
          </w:p>
        </w:tc>
        <w:tc>
          <w:tcPr>
            <w:tcW w:w="60" w:type="dxa"/>
            <w:tcBorders/>
            <w:shd w:fill="FFFFFF" w:val="clear"/>
            <w:vAlign w:val="center"/>
          </w:tcPr>
          <w:p>
            <w:pPr>
              <w:pStyle w:val="TableContents"/>
              <w:bidi w:val="0"/>
              <w:spacing w:before="0" w:after="283"/>
              <w:ind w:left="0" w:right="0" w:hanging="0"/>
              <w:jc w:val="left"/>
            </w:pPr>
            <w:r>
              <w:t> </w:t>
            </w:r>
          </w:p>
        </w:tc>
        <w:tc>
          <w:tcPr>
            <w:tcW w:w="102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16,648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185" w:type="dxa"/>
            <w:tcBorders/>
            <w:shd w:fill="FFFFFF" w:val="clear"/>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investments</w:t>
            </w:r>
          </w:p>
        </w:tc>
        <w:tc>
          <w:tcPr>
            <w:tcW w:w="60" w:type="dxa"/>
            <w:tcBorders/>
            <w:shd w:fill="CCEEFF" w:val="clear"/>
            <w:vAlign w:val="center"/>
          </w:tcPr>
          <w:p>
            <w:pPr>
              <w:pStyle w:val="TableContents"/>
              <w:bidi w:val="0"/>
              <w:spacing w:before="0" w:after="283"/>
              <w:ind w:left="0" w:right="0" w:hanging="0"/>
              <w:jc w:val="left"/>
            </w:pPr>
            <w:r>
              <w:t> </w:t>
            </w:r>
          </w:p>
        </w:tc>
        <w:tc>
          <w:tcPr>
            <w:tcW w:w="102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02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185" w:type="dxa"/>
            <w:tcBorders/>
            <w:shd w:fill="CCEEFF" w:val="clear"/>
            <w:vAlign w:val="center"/>
          </w:tcPr>
          <w:p>
            <w:pPr>
              <w:pStyle w:val="TableContents"/>
              <w:bidi w:val="0"/>
              <w:spacing w:before="0" w:after="283"/>
              <w:jc w:val="left"/>
            </w:pPr>
            <w:r>
              <w:t> </w:t>
            </w:r>
          </w:p>
        </w:tc>
      </w:tr>
      <w:t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w:t>
            </w:r>
          </w:p>
        </w:tc>
        <w:tc>
          <w:tcPr>
            <w:tcW w:w="60" w:type="dxa"/>
            <w:tcBorders/>
            <w:shd w:fill="FFFFFF" w:val="clear"/>
            <w:vAlign w:val="center"/>
          </w:tcPr>
          <w:p>
            <w:pPr>
              <w:pStyle w:val="TableContents"/>
              <w:bidi w:val="0"/>
              <w:spacing w:before="0" w:after="283"/>
              <w:ind w:left="0" w:right="0" w:hanging="0"/>
              <w:jc w:val="left"/>
            </w:pPr>
            <w:r>
              <w:t> </w:t>
            </w:r>
          </w:p>
        </w:tc>
        <w:tc>
          <w:tcPr>
            <w:tcW w:w="102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31,127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FFFFFF" w:val="clear"/>
            <w:vAlign w:val="center"/>
          </w:tcPr>
          <w:p>
            <w:pPr>
              <w:pStyle w:val="TableContents"/>
              <w:bidi w:val="0"/>
              <w:spacing w:before="0" w:after="283"/>
              <w:ind w:left="0" w:right="0" w:hanging="0"/>
              <w:jc w:val="left"/>
            </w:pPr>
            <w:r>
              <w:t> </w:t>
            </w:r>
          </w:p>
        </w:tc>
      </w:tr>
      <w:t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in RoHo Joint Venture</w:t>
            </w:r>
          </w:p>
        </w:tc>
        <w:tc>
          <w:tcPr>
            <w:tcW w:w="60" w:type="dxa"/>
            <w:tcBorders/>
            <w:shd w:fill="CCEEFF" w:val="clear"/>
            <w:vAlign w:val="center"/>
          </w:tcPr>
          <w:p>
            <w:pPr>
              <w:pStyle w:val="TableContents"/>
              <w:bidi w:val="0"/>
              <w:spacing w:before="0" w:after="0"/>
              <w:ind w:left="0" w:right="0" w:hanging="0"/>
              <w:jc w:val="left"/>
            </w:pPr>
            <w:r>
              <w:t> </w:t>
            </w:r>
          </w:p>
        </w:tc>
        <w:tc>
          <w:tcPr>
            <w:tcW w:w="10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025" w:type="dxa"/>
            <w:tcBorders/>
            <w:shd w:fill="CCEEFF" w:val="clear"/>
            <w:vAlign w:val="center"/>
          </w:tcPr>
          <w:p>
            <w:pPr>
              <w:pStyle w:val="TableContents"/>
              <w:bidi w:val="0"/>
              <w:spacing w:before="0" w:after="0"/>
              <w:ind w:left="0" w:right="0" w:hanging="0"/>
              <w:jc w:val="center"/>
            </w:pPr>
            <w:r>
              <w:t> </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1025"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650,323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pPr>
            <w:r>
              <w:t> </w:t>
            </w:r>
          </w:p>
        </w:tc>
        <w:tc>
          <w:tcPr>
            <w:tcW w:w="1025"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647,244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total portfolio investment activity as of and for the three and nine months ended September 30, 2026 and 2025:</w:t>
      </w:r>
    </w:p>
    <w:p>
      <w:pPr>
        <w:pStyle w:val="TextBody"/>
        <w:bidi w:val="0"/>
        <w:spacing w:before="0" w:after="0"/>
        <w:ind w:left="0" w:right="0" w:firstLine="360"/>
        <w:jc w:val="both"/>
        <w:rPr>
          <w:caps w:val="false"/>
          <w:smallCaps w:val="false"/>
        </w:rPr>
      </w:pPr>
      <w:r>
        <w:rPr>
          <w:caps w:val="false"/>
          <w:smallCaps w:val="false"/>
        </w:rPr>
        <w:t> </w:t>
      </w:r>
    </w:p>
    <w:tbl>
      <w:tblPr>
        <w:tblW w:w="9642" w:type="dxa"/>
        <w:jc w:val="left"/>
        <w:tblInd w:w="0" w:type="dxa"/>
        <w:tblLayout w:type="fixed"/>
        <w:tblCellMar>
          <w:top w:w="0" w:type="dxa"/>
          <w:left w:w="0" w:type="dxa"/>
          <w:bottom w:w="0" w:type="dxa"/>
          <w:right w:w="0" w:type="dxa"/>
        </w:tblCellMar>
      </w:tblPr>
      <w:tblGrid>
        <w:gridCol w:w="4730"/>
        <w:gridCol w:w="60"/>
        <w:gridCol w:w="128"/>
        <w:gridCol w:w="1203"/>
        <w:gridCol w:w="81"/>
        <w:gridCol w:w="61"/>
        <w:gridCol w:w="128"/>
        <w:gridCol w:w="711"/>
        <w:gridCol w:w="80"/>
        <w:gridCol w:w="60"/>
        <w:gridCol w:w="125"/>
        <w:gridCol w:w="1175"/>
        <w:gridCol w:w="80"/>
        <w:gridCol w:w="60"/>
        <w:gridCol w:w="125"/>
        <w:gridCol w:w="755"/>
        <w:gridCol w:w="80"/>
      </w:tblGrid>
      <w:tr>
        <w:tc>
          <w:tcPr>
            <w:tcW w:w="47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2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w:t>
            </w:r>
          </w:p>
        </w:tc>
        <w:tc>
          <w:tcPr>
            <w:tcW w:w="80" w:type="dxa"/>
            <w:tcBorders/>
            <w:shd w:fill="FFFFFF" w:val="clear"/>
            <w:vAlign w:val="center"/>
          </w:tcPr>
          <w:p>
            <w:pPr>
              <w:pStyle w:val="TableContents"/>
              <w:bidi w:val="0"/>
              <w:spacing w:before="0" w:after="283"/>
              <w:jc w:val="left"/>
            </w:pPr>
            <w:r>
              <w:t> </w:t>
            </w:r>
          </w:p>
        </w:tc>
      </w:tr>
      <w:tr>
        <w:tc>
          <w:tcPr>
            <w:tcW w:w="47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8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12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(In thousands)</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711"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(In thousands)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portfolio</w:t>
            </w:r>
          </w:p>
        </w:tc>
        <w:tc>
          <w:tcPr>
            <w:tcW w:w="60" w:type="dxa"/>
            <w:tcBorders/>
            <w:shd w:fill="CCEEFF" w:val="clear"/>
            <w:vAlign w:val="center"/>
          </w:tcPr>
          <w:p>
            <w:pPr>
              <w:pStyle w:val="TableContents"/>
              <w:bidi w:val="0"/>
              <w:spacing w:before="0" w:after="283"/>
              <w:ind w:left="0" w:right="0" w:hanging="0"/>
              <w:jc w:val="left"/>
            </w:pPr>
            <w: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676,711</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ind w:left="0" w:right="0" w:hanging="0"/>
              <w:jc w:val="left"/>
            </w:pPr>
            <w: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622,653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647,244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697,891</w:t>
            </w:r>
          </w:p>
        </w:tc>
        <w:tc>
          <w:tcPr>
            <w:tcW w:w="80" w:type="dxa"/>
            <w:tcBorders/>
            <w:shd w:fill="CCEEFF" w:val="clear"/>
            <w:vAlign w:val="center"/>
          </w:tcPr>
          <w:p>
            <w:pPr>
              <w:pStyle w:val="TableContents"/>
              <w:bidi w:val="0"/>
              <w:spacing w:before="0" w:after="283"/>
              <w:jc w:val="left"/>
            </w:pPr>
            <w:r>
              <w:t> </w:t>
            </w:r>
          </w:p>
        </w:tc>
      </w:tr>
      <w:t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debt and equity investments</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12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89,632</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282,398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200,055</w:t>
            </w:r>
          </w:p>
        </w:tc>
        <w:tc>
          <w:tcPr>
            <w:tcW w:w="80" w:type="dxa"/>
            <w:tcBorders/>
            <w:shd w:fill="FFFFFF" w:val="clear"/>
            <w:vAlign w:val="center"/>
          </w:tcPr>
          <w:p>
            <w:pPr>
              <w:pStyle w:val="TableContents"/>
              <w:bidi w:val="0"/>
              <w:spacing w:before="0" w:after="283"/>
              <w:jc w:val="left"/>
            </w:pPr>
            <w:r>
              <w:t> </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refinanced debt balances</w:t>
            </w:r>
          </w:p>
        </w:tc>
        <w:tc>
          <w:tcPr>
            <w:tcW w:w="60"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new debt and equity investments</w:t>
            </w:r>
          </w:p>
        </w:tc>
        <w:tc>
          <w:tcPr>
            <w:tcW w:w="60"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89,632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received on investments</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Early pay-offs and principal paydowns</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12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(80,861</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PIK interest on investments</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8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w:t>
            </w:r>
          </w:p>
        </w:tc>
        <w:tc>
          <w:tcPr>
            <w:tcW w:w="80" w:type="dxa"/>
            <w:tcBorders/>
            <w:shd w:fill="CCEEFF" w:val="clear"/>
            <w:vAlign w:val="center"/>
          </w:tcPr>
          <w:p>
            <w:pPr>
              <w:pStyle w:val="TableContents"/>
              <w:bidi w:val="0"/>
              <w:spacing w:before="0" w:after="283"/>
              <w:jc w:val="left"/>
            </w:pPr>
            <w:r>
              <w:t> </w:t>
            </w:r>
          </w:p>
        </w:tc>
      </w:tr>
      <w:t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debt investment fees</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12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4,487</w:t>
            </w:r>
          </w:p>
        </w:tc>
        <w:tc>
          <w:tcPr>
            <w:tcW w:w="80" w:type="dxa"/>
            <w:tcBorders/>
            <w:shd w:fill="FFFFFF" w:val="clear"/>
            <w:vAlign w:val="center"/>
          </w:tcPr>
          <w:p>
            <w:pPr>
              <w:pStyle w:val="TableContents"/>
              <w:bidi w:val="0"/>
              <w:spacing w:before="0" w:after="283"/>
              <w:jc w:val="left"/>
            </w:pPr>
            <w:r>
              <w:t> </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debt investment fees</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and warrants received in settlement of fee income</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12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w:t>
            </w:r>
          </w:p>
        </w:tc>
        <w:tc>
          <w:tcPr>
            <w:tcW w:w="80" w:type="dxa"/>
            <w:tcBorders/>
            <w:shd w:fill="FFFFFF" w:val="clear"/>
            <w:vAlign w:val="center"/>
          </w:tcPr>
          <w:p>
            <w:pPr>
              <w:pStyle w:val="TableContents"/>
              <w:bidi w:val="0"/>
              <w:spacing w:before="0" w:after="283"/>
              <w:jc w:val="left"/>
            </w:pPr>
            <w:r>
              <w:t> </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investments</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RoHo Joint Venture</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12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8,295</w:t>
            </w:r>
          </w:p>
        </w:tc>
        <w:tc>
          <w:tcPr>
            <w:tcW w:w="8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711"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loss from RoHo Joint Venture</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1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711"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r>
      <w:t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 on investments</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12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appreciation on investments</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portfolio</w:t>
            </w:r>
          </w:p>
        </w:tc>
        <w:tc>
          <w:tcPr>
            <w:tcW w:w="60" w:type="dxa"/>
            <w:tcBorders/>
            <w:shd w:fill="CCEE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650,323</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603,514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650,323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603,514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our debt investments by industry sector as of September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8534" w:type="dxa"/>
        <w:jc w:val="left"/>
        <w:tblInd w:w="0" w:type="dxa"/>
        <w:tblLayout w:type="fixed"/>
        <w:tblCellMar>
          <w:top w:w="0" w:type="dxa"/>
          <w:left w:w="0" w:type="dxa"/>
          <w:bottom w:w="0" w:type="dxa"/>
          <w:right w:w="0" w:type="dxa"/>
        </w:tblCellMar>
      </w:tblPr>
      <w:tblGrid>
        <w:gridCol w:w="2960"/>
        <w:gridCol w:w="60"/>
        <w:gridCol w:w="187"/>
        <w:gridCol w:w="1047"/>
        <w:gridCol w:w="68"/>
        <w:gridCol w:w="68"/>
        <w:gridCol w:w="129"/>
        <w:gridCol w:w="1045"/>
        <w:gridCol w:w="185"/>
        <w:gridCol w:w="60"/>
        <w:gridCol w:w="187"/>
        <w:gridCol w:w="1047"/>
        <w:gridCol w:w="66"/>
        <w:gridCol w:w="66"/>
        <w:gridCol w:w="129"/>
        <w:gridCol w:w="1045"/>
        <w:gridCol w:w="185"/>
      </w:tblGrid>
      <w:tr>
        <w:tc>
          <w:tcPr>
            <w:tcW w:w="29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4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of</w:t>
            </w:r>
          </w:p>
        </w:tc>
        <w:tc>
          <w:tcPr>
            <w:tcW w:w="185" w:type="dxa"/>
            <w:tcBorders/>
            <w:shd w:fill="FFFF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 at</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 at</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185" w:type="dxa"/>
            <w:tcBorders/>
            <w:shd w:fill="FFFF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29"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185" w:type="dxa"/>
            <w:tcBorders/>
            <w:shd w:fill="FFFFFF" w:val="clear"/>
            <w:vAlign w:val="center"/>
          </w:tcPr>
          <w:p>
            <w:pPr>
              <w:pStyle w:val="TableContents"/>
              <w:bidi w:val="0"/>
              <w:spacing w:before="0" w:after="283"/>
              <w:jc w:val="left"/>
            </w:pPr>
            <w:r>
              <w:t> </w:t>
            </w:r>
          </w:p>
        </w:tc>
      </w:tr>
      <w:tr>
        <w:tc>
          <w:tcPr>
            <w:tcW w:w="29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Life Science</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Biotechnology</w:t>
            </w:r>
          </w:p>
        </w:tc>
        <w:tc>
          <w:tcPr>
            <w:tcW w:w="60" w:type="dxa"/>
            <w:tcBorders/>
            <w:shd w:fill="FFFFFF" w:val="clear"/>
            <w:vAlign w:val="center"/>
          </w:tcPr>
          <w:p>
            <w:pPr>
              <w:pStyle w:val="TableContents"/>
              <w:bidi w:val="0"/>
              <w:spacing w:before="0" w:after="283"/>
              <w:ind w:left="0" w:right="0" w:hanging="0"/>
              <w:jc w:val="left"/>
            </w:pPr>
            <w: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65,699</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57,753</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c>
          <w:tcPr>
            <w:tcW w:w="29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Medical Device</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ind w:left="0" w:right="0" w:hanging="0"/>
              <w:jc w:val="left"/>
            </w:pPr>
            <w:r>
              <w:t> </w:t>
            </w:r>
          </w:p>
        </w:tc>
        <w:tc>
          <w:tcPr>
            <w:tcW w:w="10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237,011</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ind w:left="0" w:right="0" w:hanging="0"/>
              <w:jc w:val="left"/>
            </w:pPr>
            <w:r>
              <w:t> </w:t>
            </w:r>
          </w:p>
        </w:tc>
        <w:tc>
          <w:tcPr>
            <w:tcW w:w="10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213,523</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185" w:type="dxa"/>
            <w:tcBorders/>
            <w:shd w:fill="CCEE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jc w:val="left"/>
            </w:pPr>
            <w:r>
              <w:t> </w:t>
            </w:r>
          </w:p>
        </w:tc>
        <w:tc>
          <w:tcPr>
            <w:tcW w:w="1047"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1045"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jc w:val="left"/>
            </w:pPr>
            <w:r>
              <w:t> </w:t>
            </w:r>
          </w:p>
        </w:tc>
        <w:tc>
          <w:tcPr>
            <w:tcW w:w="1047"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1045"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r>
      <w:tr>
        <w:tc>
          <w:tcPr>
            <w:tcW w:w="296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Communications</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7,540</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right"/>
            </w:pPr>
            <w:r>
              <w:t>—</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Consumer-Related</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809</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17,263</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185" w:type="dxa"/>
            <w:tcBorders/>
            <w:shd w:fill="FFFFFF" w:val="clear"/>
            <w:vAlign w:val="center"/>
          </w:tcPr>
          <w:p>
            <w:pPr>
              <w:pStyle w:val="TableContents"/>
              <w:bidi w:val="0"/>
              <w:spacing w:before="0" w:after="283"/>
              <w:jc w:val="left"/>
            </w:pPr>
            <w:r>
              <w:t> </w:t>
            </w:r>
          </w:p>
        </w:tc>
      </w:tr>
      <w:tr>
        <w:tc>
          <w:tcPr>
            <w:tcW w:w="29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ind w:left="0" w:right="0" w:hanging="0"/>
              <w:jc w:val="left"/>
            </w:pPr>
            <w:r>
              <w:t> </w:t>
            </w:r>
          </w:p>
        </w:tc>
        <w:tc>
          <w:tcPr>
            <w:tcW w:w="10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236,576</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ind w:left="0" w:right="0" w:hanging="0"/>
              <w:jc w:val="left"/>
            </w:pPr>
            <w:r>
              <w:t> </w:t>
            </w:r>
          </w:p>
        </w:tc>
        <w:tc>
          <w:tcPr>
            <w:tcW w:w="10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185,534</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w:t>
            </w:r>
          </w:p>
        </w:tc>
        <w:tc>
          <w:tcPr>
            <w:tcW w:w="185" w:type="dxa"/>
            <w:tcBorders/>
            <w:shd w:fill="CCEE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Sustainability</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jc w:val="left"/>
            </w:pPr>
            <w:r>
              <w:t> </w:t>
            </w:r>
          </w:p>
        </w:tc>
        <w:tc>
          <w:tcPr>
            <w:tcW w:w="1047"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1045"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jc w:val="left"/>
            </w:pPr>
            <w:r>
              <w:t> </w:t>
            </w:r>
          </w:p>
        </w:tc>
        <w:tc>
          <w:tcPr>
            <w:tcW w:w="1047"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1045"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r>
      <w:tr>
        <w:tc>
          <w:tcPr>
            <w:tcW w:w="296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Alternative Energy</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8,728</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4,869</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0.8</w:t>
            </w:r>
          </w:p>
        </w:tc>
        <w:tc>
          <w:tcPr>
            <w:tcW w:w="185" w:type="dxa"/>
            <w:tcBorders/>
            <w:shd w:fill="CCEE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Sustainability</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15,831</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29,563</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vAlign w:val="center"/>
          </w:tcPr>
          <w:p>
            <w:pPr>
              <w:pStyle w:val="TableContents"/>
              <w:bidi w:val="0"/>
              <w:spacing w:before="0" w:after="283"/>
              <w:jc w:val="left"/>
            </w:pPr>
            <w:r>
              <w:t> </w:t>
            </w:r>
          </w:p>
        </w:tc>
      </w:tr>
      <w:tr>
        <w:tc>
          <w:tcPr>
            <w:tcW w:w="29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Healthcare Information and Services</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Diagnostics</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1047" w:type="dxa"/>
            <w:tcBorders/>
            <w:shd w:fill="FFFFFF" w:val="clear"/>
            <w:vAlign w:val="center"/>
          </w:tcPr>
          <w:p>
            <w:pPr>
              <w:pStyle w:val="TableContents"/>
              <w:bidi w:val="0"/>
              <w:spacing w:before="0" w:after="283"/>
              <w:ind w:left="0" w:right="0" w:hanging="0"/>
              <w:jc w:val="right"/>
            </w:pPr>
            <w:r>
              <w:t>—</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pPr>
            <w:r>
              <w:t>—</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6,605</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pPr>
            <w:r>
              <w:t> </w:t>
            </w:r>
          </w:p>
        </w:tc>
      </w:tr>
      <w:tr>
        <w:tc>
          <w:tcPr>
            <w:tcW w:w="296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Other Healthcare</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20,253</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34,469</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10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c>
          <w:tcPr>
            <w:tcW w:w="185" w:type="dxa"/>
            <w:tcBorders/>
            <w:shd w:fill="CCEEFF" w:val="clear"/>
            <w:vAlign w:val="center"/>
          </w:tcPr>
          <w:p>
            <w:pPr>
              <w:pStyle w:val="TableContents"/>
              <w:bidi w:val="0"/>
              <w:spacing w:before="0" w:after="283"/>
              <w:ind w:left="0" w:right="0" w:hanging="0"/>
              <w:jc w:val="left"/>
            </w:pPr>
            <w:r>
              <w:t> </w:t>
            </w:r>
          </w:p>
        </w:tc>
      </w:tr>
      <w:tr>
        <w:tc>
          <w:tcPr>
            <w:tcW w:w="29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Software</w:t>
            </w:r>
          </w:p>
        </w:tc>
        <w:tc>
          <w:tcPr>
            <w:tcW w:w="60" w:type="dxa"/>
            <w:tcBorders/>
            <w:shd w:fill="FFFFFF" w:val="clear"/>
            <w:vAlign w:val="center"/>
          </w:tcPr>
          <w:p>
            <w:pPr>
              <w:pStyle w:val="TableContents"/>
              <w:bidi w:val="0"/>
              <w:spacing w:before="0" w:after="0"/>
              <w:ind w:left="0" w:right="0" w:hanging="0"/>
              <w:jc w:val="left"/>
            </w:pPr>
            <w: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28,775</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8"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46,446</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6" w:type="dxa"/>
            <w:tcBorders/>
            <w:shd w:fill="FFFFFF" w:val="clear"/>
            <w:vAlign w:val="center"/>
          </w:tcPr>
          <w:p>
            <w:pPr>
              <w:pStyle w:val="TableContents"/>
              <w:bidi w:val="0"/>
              <w:spacing w:before="0" w:after="0"/>
              <w:ind w:left="0" w:right="0" w:hanging="0"/>
              <w:jc w:val="left"/>
            </w:pPr>
            <w: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w:t>
            </w:r>
          </w:p>
        </w:tc>
        <w:tc>
          <w:tcPr>
            <w:tcW w:w="185"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29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621,222</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596,025</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largest debt investments in our portfolio may vary from period to period as new debt investments are originated and existing debt investments are repaid. Our five largest debt investments at cost represented 24% and 26% of total debt investments outstanding as of September 30, 2026 and December 31, 2025, respectively. Our five largest debt investments at fair value represented 27% and 26% of total debt investments outstanding as of September 30, 2026 and December 31, 2025, respectively. No single debt investment at cost or fair value represented more than 10% of our total debt investments as of September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Debt investment asset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use an internal credit rating system to assess the credit risk of each debt investment in our portfolio. Our internal credit rating system is not a national credit rating system and is not intended to be comparable to ratings issued by any nationally recognized statistical rating organization. See “Item 1 — Business” in our Annual Report on Form 10-K for the year ended December 31, 2025, as updated below under “</w:t>
      </w:r>
      <w:r>
        <w:rPr>
          <w:rFonts w:ascii="Times New Roman" w:hAnsi="Times New Roman"/>
          <w:i/>
          <w:caps w:val="false"/>
          <w:smallCaps w:val="false"/>
          <w:sz w:val="20"/>
        </w:rPr>
        <w:t>Update to Internal Credit Rating Methodology</w:t>
      </w:r>
      <w:r>
        <w:rPr>
          <w:rFonts w:ascii="Times New Roman" w:hAnsi="Times New Roman"/>
          <w:caps w:val="false"/>
          <w:smallCaps w:val="false"/>
          <w:sz w:val="20"/>
        </w:rPr>
        <w:t>,” for a more detailed description of the internal credit rating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Effective June 30, 2026, we changed our internal credit rating scale to adopt the scale used by our affiliate Monroe Capital LLC, and its affiliates. We made this change in order to improve consistency and efficiency in portfolio risk assessment by the affiliated entities, with whom we have made, and we anticipate we will continue to make, co-investments. Accordingly, our internal credit rating methodology was changed from a 4-to-1 scale (on which a 4 represented the highest credit quality) to a 1-to-5 scale (on which a 1 represents the highest credit quality). For comparability, credit rating disclosures for prior periods presented herein have been recast to conform to the updated 1-to-5 scale. The recast was performed by our investment adviser by applying the revised rating definitions and criteria to the facts and circumstances of each portfolio company as they existed at each prior reporting date, using information available to the adviser at that time. The recast is a reclassification for presentation and comparability purposes only. It does not reflect any change in the underlying credit quality, fair value, cost basis, non-accrual status, income recognition, or financial condition of any portfolio company as of any prior reporting date, and it did not affect our previously reported net assets, net increase (decrease) in net assets resulting from operations, or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Credit rating information for periods prior to June 30, 2026, as originally reported on the prior 4-to-1 scale can be found in our Annual Report on Form 10-K for the year ended December 31, 2025 and in our Quarterly Reports on Form 10-Q for periods ending prior to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Update to internal credit rating methodology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updated methodology is administered by our investment adviser using the same portfolio management and reporting process described in "Item 1 — Business — Portfolio Management and Reporting" of our Annual Report on Form 10-K for the year ended December 31, 2025. That process is substantively unchanged, including without limitation; (i) at least quarterly, our Advisor contacts each portfolio company, no less than once a quarter, for operational and financial updates and performs reviews with portfolio companies that we deem to have greater credit risk on a monthly or more frequent basis; and (ii) our Advisor requires all private portfolio companies to provide financial statements, typically monthly, and relies on publicly reported quarterly financials for public portfolio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the updated credit scale system, each debt investment is rated on a 1 through 5 scale, with 2 representing the rating for an acceptable level of risk. A rating of 1 represents a portfolio company that is exhibiting the lowest level of risk and is exceeding expectations. Newly funded investments are typically assigned a rating of 2. A rating of 3 represents investments performing below expectations and indicates that the risk has increased somewhat since origination. A rating of 4 or 5 represents a deteriorating credit quality and an increased risk of loss of principal. Investment ratings are generated internally by our Advisor, and we cannot guarantee that others would assign the same ratings to our portfolio investments or similar portfolio investments. Our Advisor closely monitors portfolio companies rated a 4 or 5 for adverse developments. In addition, our Advisor maintains regular contact with the management, board of directors and major equity holders of these portfolio companies in order to discuss strategic initiatives to correct the deterioration of the portfolio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ratings under our updated internal credit rating system are defined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
        <w:gridCol w:w="60"/>
        <w:gridCol w:w="9555"/>
      </w:tblGrid>
      <w:tr>
        <w:tc>
          <w:tcPr>
            <w:tcW w:w="5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Rating</w:t>
            </w:r>
          </w:p>
        </w:tc>
        <w:tc>
          <w:tcPr>
            <w:tcW w:w="60" w:type="dxa"/>
            <w:tcBorders/>
            <w:vAlign w:val="center"/>
          </w:tcPr>
          <w:p>
            <w:pPr>
              <w:pStyle w:val="TableContents"/>
              <w:bidi w:val="0"/>
              <w:spacing w:before="0" w:after="283"/>
              <w:jc w:val="left"/>
            </w:pPr>
            <w:r>
              <w:t> </w:t>
            </w:r>
          </w:p>
        </w:tc>
        <w:tc>
          <w:tcPr>
            <w:tcW w:w="9555" w:type="dxa"/>
            <w:tcBorders/>
            <w:vAlign w:val="center"/>
          </w:tcPr>
          <w:p>
            <w:pPr>
              <w:pStyle w:val="TableContents"/>
              <w:bidi w:val="0"/>
              <w:spacing w:before="0" w:after="283"/>
              <w:jc w:val="left"/>
            </w:pPr>
            <w:r>
              <w:t> </w:t>
            </w:r>
          </w:p>
        </w:tc>
      </w:tr>
      <w:tr>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vAlign w:val="center"/>
          </w:tcPr>
          <w:p>
            <w:pPr>
              <w:pStyle w:val="TableContents"/>
              <w:bidi w:val="0"/>
              <w:spacing w:before="0" w:after="283"/>
              <w:jc w:val="left"/>
            </w:pPr>
            <w:r>
              <w:t> </w:t>
            </w:r>
          </w:p>
        </w:tc>
        <w:tc>
          <w:tcPr>
            <w:tcW w:w="9555" w:type="dxa"/>
            <w:tcBorders/>
            <w:vAlign w:val="center"/>
          </w:tcPr>
          <w:p>
            <w:pPr>
              <w:pStyle w:val="TableContents"/>
              <w:bidi w:val="0"/>
              <w:spacing w:before="0" w:after="283"/>
              <w:jc w:val="both"/>
            </w:pPr>
            <w:r>
              <w:t>Investments exhibiting the lowest level of risk. The portfolio company is generally significantly exceeding expectations or the company's operating trends and risk factors are generally positive. The company is generally expected to fully repay its loan in the near term as a result of strong performance.</w:t>
            </w:r>
          </w:p>
        </w:tc>
      </w:tr>
      <w:tr>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vAlign w:val="center"/>
          </w:tcPr>
          <w:p>
            <w:pPr>
              <w:pStyle w:val="TableContents"/>
              <w:bidi w:val="0"/>
              <w:spacing w:before="0" w:after="283"/>
              <w:jc w:val="left"/>
            </w:pPr>
            <w:r>
              <w:t> </w:t>
            </w:r>
          </w:p>
        </w:tc>
        <w:tc>
          <w:tcPr>
            <w:tcW w:w="9555" w:type="dxa"/>
            <w:tcBorders/>
            <w:vAlign w:val="center"/>
          </w:tcPr>
          <w:p>
            <w:pPr>
              <w:pStyle w:val="TableContents"/>
              <w:bidi w:val="0"/>
              <w:spacing w:before="0" w:after="283"/>
              <w:jc w:val="both"/>
            </w:pPr>
            <w:r>
              <w:t>Investments exhibiting an acceptable level of risk, typically the same level of risk at the time of the investment’s origination. The company is generally performing as expected or the risk factors are neutral to positive.</w:t>
            </w:r>
          </w:p>
        </w:tc>
      </w:tr>
      <w:tr>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vAlign w:val="center"/>
          </w:tcPr>
          <w:p>
            <w:pPr>
              <w:pStyle w:val="TableContents"/>
              <w:bidi w:val="0"/>
              <w:spacing w:before="0" w:after="283"/>
              <w:jc w:val="left"/>
            </w:pPr>
            <w:r>
              <w:t> </w:t>
            </w:r>
          </w:p>
        </w:tc>
        <w:tc>
          <w:tcPr>
            <w:tcW w:w="9555" w:type="dxa"/>
            <w:tcBorders/>
            <w:vAlign w:val="center"/>
          </w:tcPr>
          <w:p>
            <w:pPr>
              <w:pStyle w:val="TableContents"/>
              <w:bidi w:val="0"/>
              <w:spacing w:before="0" w:after="283"/>
              <w:jc w:val="both"/>
            </w:pPr>
            <w:r>
              <w:t>Investments performing below expectations and indicates that the investment’s risk has increased since origination, but not materially. The portfolio company may have underperforming operations results, with reduced enterprise value coverage, tightening liquidity or may face challenges raising capital; however, loan payments are generally current.</w:t>
            </w:r>
          </w:p>
        </w:tc>
      </w:tr>
      <w:tr>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vAlign w:val="center"/>
          </w:tcPr>
          <w:p>
            <w:pPr>
              <w:pStyle w:val="TableContents"/>
              <w:bidi w:val="0"/>
              <w:spacing w:before="0" w:after="283"/>
              <w:jc w:val="left"/>
            </w:pPr>
            <w:r>
              <w:t> </w:t>
            </w:r>
          </w:p>
        </w:tc>
        <w:tc>
          <w:tcPr>
            <w:tcW w:w="9555" w:type="dxa"/>
            <w:tcBorders/>
            <w:vAlign w:val="center"/>
          </w:tcPr>
          <w:p>
            <w:pPr>
              <w:pStyle w:val="TableContents"/>
              <w:bidi w:val="0"/>
              <w:spacing w:before="0" w:after="283"/>
              <w:jc w:val="both"/>
            </w:pPr>
            <w:r>
              <w:t>Investments performing materially below expectations and indicates that the portfolio company’s risk has increased materially since origination. The portfolio company may have limited liquidity, constrained access to capital, an enterprise value near or below the outstanding loan balance, may be out of compliance with covenants and/or past due on payments. For grade 4 investments, we typically increase the monitoring of the company.</w:t>
            </w:r>
          </w:p>
        </w:tc>
      </w:tr>
      <w:tr>
        <w:tc>
          <w:tcPr>
            <w:tcW w:w="590" w:type="dxa"/>
            <w:tcBorders/>
            <w:vAlign w:val="center"/>
          </w:tcPr>
          <w:p>
            <w:pPr>
              <w:pStyle w:val="TableContents"/>
              <w:bidi w:val="0"/>
              <w:spacing w:before="0" w:after="283"/>
              <w:jc w:val="left"/>
            </w:pPr>
            <w:r>
              <w:t>5</w:t>
            </w:r>
          </w:p>
        </w:tc>
        <w:tc>
          <w:tcPr>
            <w:tcW w:w="60" w:type="dxa"/>
            <w:tcBorders/>
            <w:vAlign w:val="center"/>
          </w:tcPr>
          <w:p>
            <w:pPr>
              <w:pStyle w:val="TableContents"/>
              <w:bidi w:val="0"/>
              <w:spacing w:before="0" w:after="283"/>
              <w:jc w:val="left"/>
            </w:pPr>
            <w:r>
              <w:t> </w:t>
            </w:r>
          </w:p>
        </w:tc>
        <w:tc>
          <w:tcPr>
            <w:tcW w:w="9555" w:type="dxa"/>
            <w:tcBorders/>
            <w:vAlign w:val="center"/>
          </w:tcPr>
          <w:p>
            <w:pPr>
              <w:pStyle w:val="TableContents"/>
              <w:bidi w:val="0"/>
              <w:spacing w:before="0" w:after="283"/>
              <w:jc w:val="both"/>
            </w:pPr>
            <w:r>
              <w:t>Investments performing substantially below expectations with severe deterioration in credit quality. The portfolio company typically has insufficient liquidity, enterprise value below the loan balance, limited access to capital, or maybe in payment default or restructuring. Investments graded 5 are not anticipated to be repaid in full, and we will reduce the estimate fair value of the loan to the amount we expect to recover.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Rating upon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second quarter of 2026, in connection with the adoption of the new 1-5 credit rating scale, our Advisor (i) rated all debt investments as of June 30, 2026 under the new 1-to-5 scale and (ii) recast the credit ratings of the debt investments for all of the prior periods presented in this Quarterly Report to the new 1-to-5 scale. The ratings and recast ratings in this Quarterly Report are made based on the same proprietary credit assessment process our Advisor regularly utilizes on a quarterly basis, as applied to the facts and circumstances existing at the applicable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the updated 1-to-5 scale, our debt investments had a weighted average credit rating of 2.3 as of September 30, 2026. On a recast basis, our debt investments had a weighted average credit rating of 2.4 as of December 31, 2025. Weighted average credit ratings previously reported on the 4-to-1 scale (2.9 as of December 31, 2025) are not directly comparable to ratings under the updated scale due to the change in credit rating methodology.</w:t>
      </w:r>
    </w:p>
    <w:p>
      <w:pPr>
        <w:pStyle w:val="TextBody"/>
        <w:bidi w:val="0"/>
        <w:spacing w:before="0" w:after="0"/>
        <w:ind w:left="160" w:right="0" w:hanging="0"/>
        <w:jc w:val="left"/>
        <w:rPr>
          <w:caps w:val="false"/>
          <w:smallCaps w:val="false"/>
        </w:rPr>
      </w:pPr>
      <w:r>
        <w:rPr>
          <w:caps w:val="false"/>
          <w:smallCaps w:val="false"/>
        </w:rPr>
        <w:t> </w:t>
      </w:r>
    </w:p>
    <w:p>
      <w:pPr>
        <w:pStyle w:val="TextBody"/>
        <w:bidi w:val="0"/>
        <w:ind w:left="0" w:right="0" w:firstLine="720"/>
        <w:jc w:val="both"/>
        <w:rPr>
          <w:sz w:val="20"/>
        </w:rPr>
      </w:pPr>
      <w:r>
        <w:rPr>
          <w:sz w:val="20"/>
        </w:rPr>
        <w:t xml:space="preserve">The following table shows the classification of our debt investment portfolio by internal credit rating, in each case presented under the updated 1-to-5 scale, as of  September 30, 2026 and  December 31, 2025 (recast): </w:t>
      </w:r>
    </w:p>
    <w:p>
      <w:pPr>
        <w:pStyle w:val="TextBody"/>
        <w:bidi w:val="0"/>
        <w:spacing w:before="0" w:after="0"/>
        <w:ind w:left="0" w:right="0" w:firstLine="360"/>
        <w:jc w:val="both"/>
        <w:rPr>
          <w:caps w:val="false"/>
          <w:smallCaps w:val="false"/>
        </w:rPr>
      </w:pPr>
      <w:r>
        <w:rPr>
          <w:caps w:val="false"/>
          <w:smallCaps w:val="false"/>
        </w:rPr>
        <w:t> </w:t>
      </w:r>
    </w:p>
    <w:tbl>
      <w:tblPr>
        <w:tblW w:w="8713" w:type="dxa"/>
        <w:jc w:val="left"/>
        <w:tblInd w:w="0" w:type="dxa"/>
        <w:tblLayout w:type="fixed"/>
        <w:tblCellMar>
          <w:top w:w="0" w:type="dxa"/>
          <w:left w:w="0" w:type="dxa"/>
          <w:bottom w:w="0" w:type="dxa"/>
          <w:right w:w="0" w:type="dxa"/>
        </w:tblCellMar>
      </w:tblPr>
      <w:tblGrid>
        <w:gridCol w:w="1175"/>
        <w:gridCol w:w="60"/>
        <w:gridCol w:w="192"/>
        <w:gridCol w:w="833"/>
        <w:gridCol w:w="60"/>
        <w:gridCol w:w="60"/>
        <w:gridCol w:w="187"/>
        <w:gridCol w:w="1047"/>
        <w:gridCol w:w="60"/>
        <w:gridCol w:w="60"/>
        <w:gridCol w:w="112"/>
        <w:gridCol w:w="913"/>
        <w:gridCol w:w="185"/>
        <w:gridCol w:w="60"/>
        <w:gridCol w:w="192"/>
        <w:gridCol w:w="833"/>
        <w:gridCol w:w="60"/>
        <w:gridCol w:w="60"/>
        <w:gridCol w:w="187"/>
        <w:gridCol w:w="1047"/>
        <w:gridCol w:w="60"/>
        <w:gridCol w:w="60"/>
        <w:gridCol w:w="112"/>
        <w:gridCol w:w="913"/>
        <w:gridCol w:w="185"/>
      </w:tblGrid>
      <w:tr>
        <w:tc>
          <w:tcPr>
            <w:tcW w:w="11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2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2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1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jc w:val="left"/>
            </w:pPr>
            <w:r>
              <w:t> </w:t>
            </w:r>
          </w:p>
        </w:tc>
        <w:tc>
          <w:tcPr>
            <w:tcW w:w="833"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jc w:val="left"/>
            </w:pPr>
            <w:r>
              <w:t> </w:t>
            </w:r>
          </w:p>
        </w:tc>
        <w:tc>
          <w:tcPr>
            <w:tcW w:w="833"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w:t>
            </w:r>
          </w:p>
        </w:tc>
        <w:tc>
          <w:tcPr>
            <w:tcW w:w="185" w:type="dxa"/>
            <w:tcBorders/>
            <w:shd w:fill="FFFFFF" w:val="clear"/>
            <w:vAlign w:val="center"/>
          </w:tcPr>
          <w:p>
            <w:pPr>
              <w:pStyle w:val="TableContents"/>
              <w:bidi w:val="0"/>
              <w:spacing w:before="0" w:after="283"/>
              <w:jc w:val="left"/>
            </w:pPr>
            <w:r>
              <w:t> </w:t>
            </w:r>
          </w:p>
        </w:tc>
      </w:tr>
      <w:tr>
        <w:tc>
          <w:tcPr>
            <w:tcW w:w="11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Debt</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 at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Debt</w:t>
            </w:r>
          </w:p>
        </w:tc>
        <w:tc>
          <w:tcPr>
            <w:tcW w:w="185" w:type="dxa"/>
            <w:tcBorders/>
            <w:shd w:fill="FFFFFF" w:val="clear"/>
            <w:vAlign w:val="center"/>
          </w:tcPr>
          <w:p>
            <w:pPr>
              <w:pStyle w:val="TableContents"/>
              <w:bidi w:val="0"/>
              <w:spacing w:before="0" w:after="283"/>
              <w:jc w:val="left"/>
            </w:pPr>
            <w:r>
              <w:t> </w:t>
            </w:r>
          </w:p>
        </w:tc>
      </w:tr>
      <w:tr>
        <w:tc>
          <w:tcPr>
            <w:tcW w:w="11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1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93"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185" w:type="dxa"/>
            <w:tcBorders/>
            <w:shd w:fill="FFFFFF" w:val="clear"/>
            <w:vAlign w:val="center"/>
          </w:tcPr>
          <w:p>
            <w:pPr>
              <w:pStyle w:val="TableContents"/>
              <w:bidi w:val="0"/>
              <w:spacing w:before="0" w:after="283"/>
              <w:jc w:val="left"/>
            </w:pPr>
            <w:r>
              <w:t> </w:t>
            </w:r>
          </w:p>
        </w:tc>
      </w:tr>
      <w:tr>
        <w:tc>
          <w:tcPr>
            <w:tcW w:w="11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Credit Rating</w:t>
            </w:r>
          </w:p>
        </w:tc>
        <w:tc>
          <w:tcPr>
            <w:tcW w:w="6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83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913"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83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913"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r>
      <w:tr>
        <w:tc>
          <w:tcPr>
            <w:tcW w:w="1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ind w:left="0" w:right="0" w:hanging="0"/>
              <w:jc w:val="left"/>
            </w:pPr>
            <w:r>
              <w:t> </w:t>
            </w:r>
          </w:p>
        </w:tc>
        <w:tc>
          <w:tcPr>
            <w:tcW w:w="833"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2" w:type="dxa"/>
            <w:tcBorders/>
            <w:shd w:fill="FFFFFF" w:val="clear"/>
            <w:vAlign w:val="center"/>
          </w:tcPr>
          <w:p>
            <w:pPr>
              <w:pStyle w:val="TableContents"/>
              <w:bidi w:val="0"/>
              <w:spacing w:before="0" w:after="283"/>
              <w:ind w:left="0" w:right="0" w:hanging="0"/>
              <w:jc w:val="left"/>
            </w:pPr>
            <w:r>
              <w:t> </w:t>
            </w:r>
          </w:p>
        </w:tc>
        <w:tc>
          <w:tcPr>
            <w:tcW w:w="913" w:type="dxa"/>
            <w:tcBorders/>
            <w:shd w:fill="FFFFFF" w:val="clear"/>
            <w:vAlign w:val="center"/>
          </w:tcPr>
          <w:p>
            <w:pPr>
              <w:pStyle w:val="TableContents"/>
              <w:bidi w:val="0"/>
              <w:spacing w:before="0" w:after="283"/>
              <w:ind w:left="0" w:right="0" w:hanging="0"/>
              <w:jc w:val="right"/>
            </w:pPr>
            <w:r>
              <w:t>—</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ind w:left="0" w:right="0" w:hanging="0"/>
              <w:jc w:val="left"/>
            </w:pPr>
            <w:r>
              <w:t> </w:t>
            </w:r>
          </w:p>
        </w:tc>
        <w:tc>
          <w:tcPr>
            <w:tcW w:w="833"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2" w:type="dxa"/>
            <w:tcBorders/>
            <w:shd w:fill="FFFFFF" w:val="clear"/>
            <w:vAlign w:val="center"/>
          </w:tcPr>
          <w:p>
            <w:pPr>
              <w:pStyle w:val="TableContents"/>
              <w:bidi w:val="0"/>
              <w:spacing w:before="0" w:after="283"/>
              <w:ind w:left="0" w:right="0" w:hanging="0"/>
              <w:jc w:val="left"/>
            </w:pPr>
            <w:r>
              <w:t> </w:t>
            </w:r>
          </w:p>
        </w:tc>
        <w:tc>
          <w:tcPr>
            <w:tcW w:w="913" w:type="dxa"/>
            <w:tcBorders/>
            <w:shd w:fill="FFFFFF" w:val="clear"/>
            <w:vAlign w:val="center"/>
          </w:tcPr>
          <w:p>
            <w:pPr>
              <w:pStyle w:val="TableContents"/>
              <w:bidi w:val="0"/>
              <w:spacing w:before="0" w:after="283"/>
              <w:ind w:left="0" w:right="0" w:hanging="0"/>
              <w:jc w:val="right"/>
            </w:pPr>
            <w:r>
              <w:t>—</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c>
          <w:tcPr>
            <w:tcW w:w="1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6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ind w:left="0" w:right="0" w:hanging="0"/>
              <w:jc w:val="left"/>
            </w:pPr>
            <w:r>
              <w:t> </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ind w:left="0" w:right="0" w:hanging="0"/>
              <w:jc w:val="left"/>
            </w:pPr>
            <w:r>
              <w:t> </w:t>
            </w:r>
          </w:p>
        </w:tc>
        <w:tc>
          <w:tcPr>
            <w:tcW w:w="10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532,675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ind w:left="0" w:right="0" w:hanging="0"/>
              <w:jc w:val="left"/>
            </w:pPr>
            <w: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ind w:left="0" w:right="0" w:hanging="0"/>
              <w:jc w:val="left"/>
            </w:pPr>
            <w:r>
              <w:t> </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ind w:left="0" w:right="0" w:hanging="0"/>
              <w:jc w:val="left"/>
            </w:pPr>
            <w:r>
              <w:t> </w:t>
            </w:r>
          </w:p>
        </w:tc>
        <w:tc>
          <w:tcPr>
            <w:tcW w:w="10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471,116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ind w:left="0" w:right="0" w:hanging="0"/>
              <w:jc w:val="left"/>
            </w:pPr>
            <w: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w:t>
            </w:r>
          </w:p>
        </w:tc>
        <w:tc>
          <w:tcPr>
            <w:tcW w:w="185" w:type="dxa"/>
            <w:tcBorders/>
            <w:shd w:fill="CCEEFF" w:val="clear"/>
            <w:vAlign w:val="center"/>
          </w:tcPr>
          <w:p>
            <w:pPr>
              <w:pStyle w:val="TableContents"/>
              <w:bidi w:val="0"/>
              <w:spacing w:before="0" w:after="283"/>
              <w:jc w:val="left"/>
            </w:pPr>
            <w:r>
              <w:t> </w:t>
            </w:r>
          </w:p>
        </w:tc>
      </w:tr>
      <w:tr>
        <w:tc>
          <w:tcPr>
            <w:tcW w:w="1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ind w:left="0" w:right="0" w:hanging="0"/>
              <w:jc w:val="left"/>
            </w:pPr>
            <w: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2" w:type="dxa"/>
            <w:tcBorders/>
            <w:shd w:fill="FFFFFF" w:val="clear"/>
            <w:vAlign w:val="center"/>
          </w:tcPr>
          <w:p>
            <w:pPr>
              <w:pStyle w:val="TableContents"/>
              <w:bidi w:val="0"/>
              <w:spacing w:before="0" w:after="283"/>
              <w:ind w:left="0" w:right="0" w:hanging="0"/>
              <w:jc w:val="left"/>
            </w:pPr>
            <w:r>
              <w:t> </w:t>
            </w:r>
          </w:p>
        </w:tc>
        <w:tc>
          <w:tcPr>
            <w:tcW w:w="9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ind w:left="0" w:right="0" w:hanging="0"/>
              <w:jc w:val="left"/>
            </w:pPr>
            <w: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46,887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2" w:type="dxa"/>
            <w:tcBorders/>
            <w:shd w:fill="FFFFFF" w:val="clear"/>
            <w:vAlign w:val="center"/>
          </w:tcPr>
          <w:p>
            <w:pPr>
              <w:pStyle w:val="TableContents"/>
              <w:bidi w:val="0"/>
              <w:spacing w:before="0" w:after="283"/>
              <w:ind w:left="0" w:right="0" w:hanging="0"/>
              <w:jc w:val="left"/>
            </w:pPr>
            <w:r>
              <w:t> </w:t>
            </w:r>
          </w:p>
        </w:tc>
        <w:tc>
          <w:tcPr>
            <w:tcW w:w="9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185" w:type="dxa"/>
            <w:tcBorders/>
            <w:shd w:fill="FFFFFF" w:val="clear"/>
            <w:vAlign w:val="center"/>
          </w:tcPr>
          <w:p>
            <w:pPr>
              <w:pStyle w:val="TableContents"/>
              <w:bidi w:val="0"/>
              <w:spacing w:before="0" w:after="283"/>
              <w:jc w:val="left"/>
            </w:pPr>
            <w:r>
              <w:t> </w:t>
            </w:r>
          </w:p>
        </w:tc>
      </w:tr>
      <w:tr>
        <w:tc>
          <w:tcPr>
            <w:tcW w:w="11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54,915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7" w:type="dxa"/>
            <w:tcBorders/>
            <w:shd w:fill="CCEEFF" w:val="clear"/>
            <w:vAlign w:val="center"/>
          </w:tcPr>
          <w:p>
            <w:pPr>
              <w:pStyle w:val="TableContents"/>
              <w:bidi w:val="0"/>
              <w:spacing w:before="0" w:after="283"/>
              <w:jc w:val="left"/>
            </w:pPr>
            <w:r>
              <w:t> </w:t>
            </w:r>
          </w:p>
        </w:tc>
        <w:tc>
          <w:tcPr>
            <w:tcW w:w="10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53,503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185" w:type="dxa"/>
            <w:tcBorders/>
            <w:shd w:fill="CCEEFF" w:val="clear"/>
            <w:vAlign w:val="center"/>
          </w:tcPr>
          <w:p>
            <w:pPr>
              <w:pStyle w:val="TableContents"/>
              <w:bidi w:val="0"/>
              <w:spacing w:before="0" w:after="283"/>
              <w:jc w:val="left"/>
            </w:pPr>
            <w:r>
              <w:t> </w:t>
            </w:r>
          </w:p>
        </w:tc>
      </w:tr>
      <w:tr>
        <w:tc>
          <w:tcPr>
            <w:tcW w:w="1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pPr>
            <w: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1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pPr>
            <w: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621,222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pPr>
            <w: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596,025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there were seven debt investments with an internal credit rating of 5, with an aggregate cost of $65.9 million and an aggregate fair value of $18.8 million and there were four debt investments with an internal credit rating of 4, with an aggregate cost of $77.3 million and an aggregate fair value of $54.9 million. On a recast basis as of December 31, 2025, there were four debt investments with an internal credit rating of 5 (previously reported as rating 1 on the prior 4-to-1 scale), with an aggregate cost of $33.8 million and an aggregate fair value of $24.5 million and there were four debt investments with an internal credit rating of 4 (previously reported as rating 2 on the prior 4-to-1 scale), with an aggregate cost of $56.8 million and an aggregate fair value of $53.5 million. The period-over-period change in investments with internal credit ratings of 4 or 5 was primarily a result of the increase in the risk of loss of principal caused by certain portfolio companies' low cash positions, the difficult equity fundraising market, and/or the underperformance of such portfolio companies. This period-over-period change reflects underlying credit developments and is not attributable to the methodology change described above.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RoHo Capital Opportunity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March 18, 2026, we and CRFH entered into an LLC Agreement to form the RoHo Joint Venture. The RoHo Joint Venture is intended to enhance our investment strategy by providing growth capital financing solutions to small and micro-cap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committed to invest up to $87.5 million in the RoHo Joint Venture and CRFH has committed to invest up to $12.5 million in the RoHo Joint Venture. Investments by each of us and CRFH in the RoHo Joint Venture will be made in the form of membership interests. As of September 30, 2026, $79.0 of our commitment was unfunded.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investments by the RoHo Joint Venture must be approved by the unanimous vote of the RoHo Joint Venture’s investment committee, which is comprised of an equal number of representatives designated by each of us and CRFH. Further, all other decisions regarding the management of the RoHo Joint Venture require the approval of the majority of the RoHo Joint Venture’s board of directors, which is comprised of an equal number of representatives from each us and CRFH.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RoHo Joint Venture is not consolidated by either us or CRFH for financial reporting purposes. Investments held by the RoHo Joint Venture are measured at fair value. As of September 30, 2026, the RoHo Joint Venture had total assets of $9.1 million. The RoHo Joint Venture’s portfolio consisted of a debt investment in one portfolio company as of September 30, 2026 with an aggregate principal amount was $10.0 million. As of September 30, 2026, The RoHo Joint Venture had no investments on non-accrual status. The RoHo Joint Venture invests in portfolio companies in the same industries in which we may directly invest.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2026 and for the period March 18, 2026 (the commencement of the RoHo Joint Venture’s operations) through September 30, 2026, there were no distributions from the RoHo Joint Venture.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a summary of the RoHo Joint Venture’s investment portfolio for the three months ended September 30, 2026 and for the period March 18, 2026 (the commencement of the RoHo Joint Venture’s operations) through September 30, 2026:</w:t>
      </w:r>
    </w:p>
    <w:p>
      <w:pPr>
        <w:pStyle w:val="TextBody"/>
        <w:bidi w:val="0"/>
        <w:spacing w:before="0" w:after="0"/>
        <w:ind w:left="0" w:right="0" w:firstLine="360"/>
        <w:jc w:val="both"/>
        <w:rPr>
          <w:caps w:val="false"/>
          <w:smallCaps w:val="false"/>
        </w:rPr>
      </w:pPr>
      <w:r>
        <w:rPr>
          <w:caps w:val="false"/>
          <w:smallCaps w:val="false"/>
        </w:rPr>
        <w:t> </w:t>
      </w:r>
    </w:p>
    <w:tbl>
      <w:tblPr>
        <w:tblW w:w="9788" w:type="dxa"/>
        <w:jc w:val="left"/>
        <w:tblInd w:w="0" w:type="dxa"/>
        <w:tblLayout w:type="fixed"/>
        <w:tblCellMar>
          <w:top w:w="0" w:type="dxa"/>
          <w:left w:w="0" w:type="dxa"/>
          <w:bottom w:w="0" w:type="dxa"/>
          <w:right w:w="0" w:type="dxa"/>
        </w:tblCellMar>
      </w:tblPr>
      <w:tblGrid>
        <w:gridCol w:w="5330"/>
        <w:gridCol w:w="60"/>
        <w:gridCol w:w="363"/>
        <w:gridCol w:w="1411"/>
        <w:gridCol w:w="185"/>
        <w:gridCol w:w="60"/>
        <w:gridCol w:w="449"/>
        <w:gridCol w:w="1745"/>
        <w:gridCol w:w="185"/>
      </w:tblGrid>
      <w:tr>
        <w:tc>
          <w:tcPr>
            <w:tcW w:w="53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1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period March 18, </w:t>
            </w:r>
          </w:p>
        </w:tc>
        <w:tc>
          <w:tcPr>
            <w:tcW w:w="185" w:type="dxa"/>
            <w:tcBorders/>
            <w:vAlign w:val="center"/>
          </w:tcPr>
          <w:p>
            <w:pPr>
              <w:pStyle w:val="TableContents"/>
              <w:bidi w:val="0"/>
              <w:spacing w:before="0" w:after="283"/>
              <w:jc w:val="left"/>
            </w:pPr>
            <w:r>
              <w:t> </w:t>
            </w:r>
          </w:p>
        </w:tc>
      </w:tr>
      <w:tr>
        <w:tc>
          <w:tcPr>
            <w:tcW w:w="53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1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through</w:t>
            </w:r>
          </w:p>
        </w:tc>
        <w:tc>
          <w:tcPr>
            <w:tcW w:w="185" w:type="dxa"/>
            <w:tcBorders/>
            <w:vAlign w:val="center"/>
          </w:tcPr>
          <w:p>
            <w:pPr>
              <w:pStyle w:val="TableContents"/>
              <w:bidi w:val="0"/>
              <w:spacing w:before="0" w:after="283"/>
              <w:jc w:val="left"/>
            </w:pPr>
            <w:r>
              <w:t> </w:t>
            </w:r>
          </w:p>
        </w:tc>
      </w:tr>
      <w:tr>
        <w:tc>
          <w:tcPr>
            <w:tcW w:w="53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42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2026</w:t>
            </w:r>
          </w:p>
        </w:tc>
        <w:tc>
          <w:tcPr>
            <w:tcW w:w="185" w:type="dxa"/>
            <w:tcBorders/>
            <w:vAlign w:val="center"/>
          </w:tcPr>
          <w:p>
            <w:pPr>
              <w:pStyle w:val="TableContents"/>
              <w:bidi w:val="0"/>
              <w:spacing w:before="0" w:after="283"/>
              <w:jc w:val="left"/>
            </w:pPr>
            <w:r>
              <w:t> </w:t>
            </w:r>
          </w:p>
        </w:tc>
      </w:tr>
      <w:tr>
        <w:tc>
          <w:tcPr>
            <w:tcW w:w="53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421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185" w:type="dxa"/>
            <w:tcBorders/>
            <w:vAlign w:val="center"/>
          </w:tcPr>
          <w:p>
            <w:pPr>
              <w:pStyle w:val="TableContents"/>
              <w:bidi w:val="0"/>
              <w:spacing w:before="0" w:after="283"/>
              <w:jc w:val="left"/>
            </w:pPr>
            <w:r>
              <w:t> </w:t>
            </w:r>
          </w:p>
        </w:tc>
      </w:tr>
      <w:t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investments at fair value</w:t>
            </w:r>
          </w:p>
        </w:tc>
        <w:tc>
          <w:tcPr>
            <w:tcW w:w="60" w:type="dxa"/>
            <w:tcBorders/>
            <w:shd w:fill="CCEEFF" w:val="clear"/>
            <w:vAlign w:val="center"/>
          </w:tcPr>
          <w:p>
            <w:pPr>
              <w:pStyle w:val="TableContents"/>
              <w:bidi w:val="0"/>
              <w:spacing w:before="0" w:after="283"/>
              <w:ind w:left="0" w:right="0" w:hanging="0"/>
              <w:jc w:val="left"/>
            </w:pPr>
            <w:r>
              <w:t> </w:t>
            </w:r>
          </w:p>
        </w:tc>
        <w:tc>
          <w:tcPr>
            <w:tcW w:w="3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185" w:type="dxa"/>
            <w:tcBorders/>
            <w:shd w:fill="CCEEFF" w:val="clear"/>
            <w:vAlign w:val="center"/>
          </w:tcPr>
          <w:p>
            <w:pPr>
              <w:pStyle w:val="TableContents"/>
              <w:bidi w:val="0"/>
              <w:spacing w:before="0" w:after="283"/>
              <w:jc w:val="left"/>
            </w:pPr>
            <w:r>
              <w:t> </w:t>
            </w:r>
          </w:p>
        </w:tc>
      </w:tr>
      <w:tr>
        <w:tc>
          <w:tcPr>
            <w:tcW w:w="533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Dollar-weighted annualized yield on average debt investments(1)</w:t>
            </w:r>
          </w:p>
        </w:tc>
        <w:tc>
          <w:tcPr>
            <w:tcW w:w="60" w:type="dxa"/>
            <w:tcBorders/>
            <w:shd w:fill="FFFFFF" w:val="clear"/>
            <w:vAlign w:val="center"/>
          </w:tcPr>
          <w:p>
            <w:pPr>
              <w:pStyle w:val="TableContents"/>
              <w:bidi w:val="0"/>
              <w:spacing w:before="0" w:after="283"/>
              <w:jc w:val="left"/>
            </w:pPr>
            <w:r>
              <w:t> </w:t>
            </w:r>
          </w:p>
        </w:tc>
        <w:tc>
          <w:tcPr>
            <w:tcW w:w="363" w:type="dxa"/>
            <w:tcBorders/>
            <w:shd w:fill="FFFFFF" w:val="clear"/>
            <w:vAlign w:val="center"/>
          </w:tcPr>
          <w:p>
            <w:pPr>
              <w:pStyle w:val="TableContents"/>
              <w:bidi w:val="0"/>
              <w:spacing w:before="0" w:after="283"/>
              <w:ind w:left="0" w:right="0" w:hanging="0"/>
              <w:jc w:val="left"/>
            </w:pPr>
            <w:r>
              <w:t> </w:t>
            </w:r>
          </w:p>
        </w:tc>
        <w:tc>
          <w:tcPr>
            <w:tcW w:w="14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449" w:type="dxa"/>
            <w:tcBorders/>
            <w:shd w:fill="FFFFFF" w:val="clear"/>
            <w:vAlign w:val="center"/>
          </w:tcPr>
          <w:p>
            <w:pPr>
              <w:pStyle w:val="TableContents"/>
              <w:bidi w:val="0"/>
              <w:spacing w:before="0" w:after="283"/>
              <w:ind w:left="0" w:right="0" w:hanging="0"/>
              <w:jc w:val="left"/>
            </w:pPr>
            <w:r>
              <w:t> </w:t>
            </w:r>
          </w:p>
        </w:tc>
        <w:tc>
          <w:tcPr>
            <w:tcW w:w="17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portfolio companies in HSLFI</w:t>
            </w:r>
          </w:p>
        </w:tc>
        <w:tc>
          <w:tcPr>
            <w:tcW w:w="60" w:type="dxa"/>
            <w:tcBorders/>
            <w:shd w:fill="CCEEFF" w:val="clear"/>
            <w:vAlign w:val="center"/>
          </w:tcPr>
          <w:p>
            <w:pPr>
              <w:pStyle w:val="TableContents"/>
              <w:bidi w:val="0"/>
              <w:spacing w:before="0" w:after="283"/>
              <w:jc w:val="left"/>
            </w:pPr>
            <w:r>
              <w:t> </w:t>
            </w:r>
          </w:p>
        </w:tc>
        <w:tc>
          <w:tcPr>
            <w:tcW w:w="363" w:type="dxa"/>
            <w:tcBorders/>
            <w:shd w:fill="CCEEFF" w:val="clear"/>
            <w:vAlign w:val="center"/>
          </w:tcPr>
          <w:p>
            <w:pPr>
              <w:pStyle w:val="TableContents"/>
              <w:bidi w:val="0"/>
              <w:spacing w:before="0" w:after="283"/>
              <w:ind w:left="0" w:right="0" w:hanging="0"/>
              <w:jc w:val="left"/>
            </w:pPr>
            <w:r>
              <w:t> </w:t>
            </w:r>
          </w:p>
        </w:tc>
        <w:tc>
          <w:tcPr>
            <w:tcW w:w="14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49" w:type="dxa"/>
            <w:tcBorders/>
            <w:shd w:fill="CCEEFF" w:val="clear"/>
            <w:vAlign w:val="center"/>
          </w:tcPr>
          <w:p>
            <w:pPr>
              <w:pStyle w:val="TableContents"/>
              <w:bidi w:val="0"/>
              <w:spacing w:before="0" w:after="283"/>
              <w:ind w:left="0" w:right="0" w:hanging="0"/>
              <w:jc w:val="left"/>
            </w:pPr>
            <w:r>
              <w:t> </w:t>
            </w:r>
          </w:p>
        </w:tc>
        <w:tc>
          <w:tcPr>
            <w:tcW w:w="17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CCEEFF" w:val="clear"/>
            <w:vAlign w:val="center"/>
          </w:tcPr>
          <w:p>
            <w:pPr>
              <w:pStyle w:val="TableContents"/>
              <w:bidi w:val="0"/>
              <w:spacing w:before="0" w:after="283"/>
              <w:jc w:val="left"/>
            </w:pPr>
            <w:r>
              <w:t> </w:t>
            </w:r>
          </w:p>
        </w:tc>
      </w:tr>
      <w:t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Largest portfolio company investment at fair value</w:t>
            </w:r>
          </w:p>
        </w:tc>
        <w:tc>
          <w:tcPr>
            <w:tcW w:w="60" w:type="dxa"/>
            <w:tcBorders/>
            <w:shd w:fill="FFFFFF" w:val="clear"/>
            <w:vAlign w:val="center"/>
          </w:tcPr>
          <w:p>
            <w:pPr>
              <w:pStyle w:val="TableContents"/>
              <w:bidi w:val="0"/>
              <w:spacing w:before="0" w:after="283"/>
              <w:ind w:left="0" w:right="0" w:hanging="0"/>
              <w:jc w:val="left"/>
            </w:pPr>
            <w:r>
              <w:t> </w:t>
            </w:r>
          </w:p>
        </w:tc>
        <w:tc>
          <w:tcPr>
            <w:tcW w:w="3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185"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c>
          <w:tcPr>
            <w:tcW w:w="1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8" w:type="dxa"/>
            <w:tcBorders/>
            <w:vAlign w:val="center"/>
          </w:tcPr>
          <w:p>
            <w:pPr>
              <w:pStyle w:val="TableContents"/>
              <w:bidi w:val="0"/>
              <w:spacing w:before="0" w:after="283"/>
              <w:jc w:val="both"/>
              <w:rPr>
                <w:sz w:val="20"/>
              </w:rPr>
            </w:pPr>
            <w:r>
              <w:rPr>
                <w:sz w:val="20"/>
              </w:rPr>
              <w:t>The RoHo Joint Venture calculates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yield on dollar-weighted average debt investments represents the portfolio yield and does not reflect the RoHo Joint Venture’s expenses.</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the RoHo Joint Venture’s total portfolio investment activity as of and for the three months ended September 30, 2026 and for the period March 18, 2026 (the commencement of the RoHo Joint Venture’s operations) through September 30, 2026:</w:t>
      </w:r>
    </w:p>
    <w:p>
      <w:pPr>
        <w:pStyle w:val="TextBody"/>
        <w:bidi w:val="0"/>
        <w:spacing w:before="0" w:after="0"/>
        <w:ind w:left="160" w:right="0" w:hanging="0"/>
        <w:jc w:val="left"/>
        <w:rPr>
          <w:caps w:val="false"/>
          <w:smallCaps w:val="false"/>
        </w:rPr>
      </w:pPr>
      <w:r>
        <w:rPr>
          <w:caps w:val="false"/>
          <w:smallCaps w:val="false"/>
        </w:rPr>
        <w:t> </w:t>
      </w:r>
    </w:p>
    <w:tbl>
      <w:tblPr>
        <w:tblW w:w="9473" w:type="dxa"/>
        <w:jc w:val="left"/>
        <w:tblInd w:w="0" w:type="dxa"/>
        <w:tblLayout w:type="fixed"/>
        <w:tblCellMar>
          <w:top w:w="0" w:type="dxa"/>
          <w:left w:w="0" w:type="dxa"/>
          <w:bottom w:w="0" w:type="dxa"/>
          <w:right w:w="0" w:type="dxa"/>
        </w:tblCellMar>
      </w:tblPr>
      <w:tblGrid>
        <w:gridCol w:w="3545"/>
        <w:gridCol w:w="60"/>
        <w:gridCol w:w="404"/>
        <w:gridCol w:w="1910"/>
        <w:gridCol w:w="80"/>
        <w:gridCol w:w="60"/>
        <w:gridCol w:w="583"/>
        <w:gridCol w:w="2751"/>
        <w:gridCol w:w="80"/>
      </w:tblGrid>
      <w:tr>
        <w:tc>
          <w:tcPr>
            <w:tcW w:w="35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3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3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period March 18, 2026 through</w:t>
            </w:r>
          </w:p>
        </w:tc>
        <w:tc>
          <w:tcPr>
            <w:tcW w:w="80" w:type="dxa"/>
            <w:tcBorders/>
            <w:vAlign w:val="center"/>
          </w:tcPr>
          <w:p>
            <w:pPr>
              <w:pStyle w:val="TableContents"/>
              <w:bidi w:val="0"/>
              <w:spacing w:before="0" w:after="283"/>
              <w:jc w:val="left"/>
            </w:pPr>
            <w:r>
              <w:t> </w:t>
            </w:r>
          </w:p>
        </w:tc>
      </w:tr>
      <w:tr>
        <w:tc>
          <w:tcPr>
            <w:tcW w:w="35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2026</w:t>
            </w:r>
          </w:p>
        </w:tc>
        <w:tc>
          <w:tcPr>
            <w:tcW w:w="80" w:type="dxa"/>
            <w:tcBorders/>
            <w:vAlign w:val="center"/>
          </w:tcPr>
          <w:p>
            <w:pPr>
              <w:pStyle w:val="TableContents"/>
              <w:bidi w:val="0"/>
              <w:spacing w:before="0" w:after="283"/>
              <w:jc w:val="left"/>
            </w:pPr>
            <w:r>
              <w:t> </w:t>
            </w:r>
          </w:p>
        </w:tc>
      </w:tr>
      <w:tr>
        <w:tc>
          <w:tcPr>
            <w:tcW w:w="35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pPr>
            <w:r>
              <w:t> </w:t>
            </w:r>
          </w:p>
        </w:tc>
      </w:tr>
      <w:t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portfolio</w:t>
            </w:r>
          </w:p>
        </w:tc>
        <w:tc>
          <w:tcPr>
            <w:tcW w:w="60" w:type="dxa"/>
            <w:tcBorders/>
            <w:shd w:fill="CCEEFF" w:val="clear"/>
            <w:vAlign w:val="center"/>
          </w:tcPr>
          <w:p>
            <w:pPr>
              <w:pStyle w:val="TableContents"/>
              <w:bidi w:val="0"/>
              <w:spacing w:before="0" w:after="283"/>
              <w:ind w:left="0" w:right="0" w:hanging="0"/>
              <w:jc w:val="left"/>
            </w:pPr>
            <w:r>
              <w:t> </w:t>
            </w:r>
          </w:p>
        </w:tc>
        <w:tc>
          <w:tcPr>
            <w:tcW w:w="4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51"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r>
      <w:t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debt investments</w:t>
            </w:r>
          </w:p>
        </w:tc>
        <w:tc>
          <w:tcPr>
            <w:tcW w:w="60" w:type="dxa"/>
            <w:tcBorders/>
            <w:shd w:fill="FFFFFF" w:val="clear"/>
            <w:vAlign w:val="center"/>
          </w:tcPr>
          <w:p>
            <w:pPr>
              <w:pStyle w:val="TableContents"/>
              <w:bidi w:val="0"/>
              <w:spacing w:before="0" w:after="283"/>
              <w:jc w:val="left"/>
            </w:pPr>
            <w:r>
              <w:t> </w:t>
            </w:r>
          </w:p>
        </w:tc>
        <w:tc>
          <w:tcPr>
            <w:tcW w:w="404" w:type="dxa"/>
            <w:tcBorders/>
            <w:shd w:fill="FFFFFF" w:val="clear"/>
            <w:vAlign w:val="center"/>
          </w:tcPr>
          <w:p>
            <w:pPr>
              <w:pStyle w:val="TableContents"/>
              <w:bidi w:val="0"/>
              <w:spacing w:before="0" w:after="283"/>
              <w:ind w:left="0" w:right="0" w:hanging="0"/>
              <w:jc w:val="left"/>
            </w:pPr>
            <w:r>
              <w:t> </w:t>
            </w:r>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3" w:type="dxa"/>
            <w:tcBorders/>
            <w:shd w:fill="FFFFFF" w:val="clear"/>
            <w:vAlign w:val="center"/>
          </w:tcPr>
          <w:p>
            <w:pPr>
              <w:pStyle w:val="TableContents"/>
              <w:bidi w:val="0"/>
              <w:spacing w:before="0" w:after="283"/>
              <w:ind w:left="0" w:right="0" w:hanging="0"/>
              <w:jc w:val="left"/>
            </w:pPr>
            <w:r>
              <w:t> </w:t>
            </w:r>
          </w:p>
        </w:tc>
        <w:tc>
          <w:tcPr>
            <w:tcW w:w="2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pPr>
            <w:r>
              <w:t> </w:t>
            </w:r>
          </w:p>
        </w:tc>
      </w:tr>
      <w:t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debt investment fees</w:t>
            </w:r>
          </w:p>
        </w:tc>
        <w:tc>
          <w:tcPr>
            <w:tcW w:w="60" w:type="dxa"/>
            <w:tcBorders/>
            <w:shd w:fill="CCEEFF" w:val="clear"/>
            <w:vAlign w:val="center"/>
          </w:tcPr>
          <w:p>
            <w:pPr>
              <w:pStyle w:val="TableContents"/>
              <w:bidi w:val="0"/>
              <w:spacing w:before="0" w:after="283"/>
              <w:jc w:val="left"/>
            </w:pPr>
            <w:r>
              <w:t> </w:t>
            </w:r>
          </w:p>
        </w:tc>
        <w:tc>
          <w:tcPr>
            <w:tcW w:w="404" w:type="dxa"/>
            <w:tcBorders/>
            <w:shd w:fill="CCEEFF" w:val="clear"/>
            <w:vAlign w:val="center"/>
          </w:tcPr>
          <w:p>
            <w:pPr>
              <w:pStyle w:val="TableContents"/>
              <w:bidi w:val="0"/>
              <w:spacing w:before="0" w:after="283"/>
              <w:ind w:left="0" w:right="0" w:hanging="0"/>
              <w:jc w:val="left"/>
            </w:pPr>
            <w:r>
              <w:t> </w:t>
            </w:r>
          </w:p>
        </w:tc>
        <w:tc>
          <w:tcPr>
            <w:tcW w:w="1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83" w:type="dxa"/>
            <w:tcBorders/>
            <w:shd w:fill="CCEEFF" w:val="clear"/>
            <w:vAlign w:val="center"/>
          </w:tcPr>
          <w:p>
            <w:pPr>
              <w:pStyle w:val="TableContents"/>
              <w:bidi w:val="0"/>
              <w:spacing w:before="0" w:after="283"/>
              <w:ind w:left="0" w:right="0" w:hanging="0"/>
              <w:jc w:val="left"/>
            </w:pPr>
            <w:r>
              <w:t> </w:t>
            </w:r>
          </w:p>
        </w:tc>
        <w:tc>
          <w:tcPr>
            <w:tcW w:w="2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pPr>
            <w:r>
              <w:t> </w:t>
            </w:r>
          </w:p>
        </w:tc>
      </w:tr>
      <w:t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debt investment fees</w:t>
            </w:r>
          </w:p>
        </w:tc>
        <w:tc>
          <w:tcPr>
            <w:tcW w:w="60" w:type="dxa"/>
            <w:tcBorders/>
            <w:shd w:fill="FFFFFF" w:val="clear"/>
            <w:vAlign w:val="center"/>
          </w:tcPr>
          <w:p>
            <w:pPr>
              <w:pStyle w:val="TableContents"/>
              <w:bidi w:val="0"/>
              <w:spacing w:before="0" w:after="283"/>
              <w:jc w:val="left"/>
            </w:pPr>
            <w:r>
              <w:t> </w:t>
            </w:r>
          </w:p>
        </w:tc>
        <w:tc>
          <w:tcPr>
            <w:tcW w:w="404" w:type="dxa"/>
            <w:tcBorders/>
            <w:shd w:fill="FFFFFF" w:val="clear"/>
            <w:vAlign w:val="center"/>
          </w:tcPr>
          <w:p>
            <w:pPr>
              <w:pStyle w:val="TableContents"/>
              <w:bidi w:val="0"/>
              <w:spacing w:before="0" w:after="283"/>
              <w:ind w:left="0" w:right="0" w:hanging="0"/>
              <w:jc w:val="left"/>
            </w:pPr>
            <w:r>
              <w:t> </w:t>
            </w:r>
          </w:p>
        </w:tc>
        <w:tc>
          <w:tcPr>
            <w:tcW w:w="1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583" w:type="dxa"/>
            <w:tcBorders/>
            <w:shd w:fill="FFFFFF" w:val="clear"/>
            <w:vAlign w:val="center"/>
          </w:tcPr>
          <w:p>
            <w:pPr>
              <w:pStyle w:val="TableContents"/>
              <w:bidi w:val="0"/>
              <w:spacing w:before="0" w:after="283"/>
              <w:ind w:left="0" w:right="0" w:hanging="0"/>
              <w:jc w:val="left"/>
            </w:pPr>
            <w:r>
              <w:t> </w:t>
            </w:r>
          </w:p>
        </w:tc>
        <w:tc>
          <w:tcPr>
            <w:tcW w:w="2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on investments</w:t>
            </w:r>
          </w:p>
        </w:tc>
        <w:tc>
          <w:tcPr>
            <w:tcW w:w="60" w:type="dxa"/>
            <w:tcBorders/>
            <w:shd w:fill="CCEEFF" w:val="clear"/>
            <w:vAlign w:val="center"/>
          </w:tcPr>
          <w:p>
            <w:pPr>
              <w:pStyle w:val="TableContents"/>
              <w:bidi w:val="0"/>
              <w:spacing w:before="0" w:after="283"/>
              <w:jc w:val="left"/>
            </w:pPr>
            <w:r>
              <w:t> </w:t>
            </w:r>
          </w:p>
        </w:tc>
        <w:tc>
          <w:tcPr>
            <w:tcW w:w="4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portfolio</w:t>
            </w:r>
          </w:p>
        </w:tc>
        <w:tc>
          <w:tcPr>
            <w:tcW w:w="60" w:type="dxa"/>
            <w:tcBorders/>
            <w:shd w:fill="FFFFFF" w:val="clear"/>
            <w:vAlign w:val="center"/>
          </w:tcPr>
          <w:p>
            <w:pPr>
              <w:pStyle w:val="TableContents"/>
              <w:bidi w:val="0"/>
              <w:spacing w:before="0" w:after="283"/>
              <w:ind w:left="0" w:right="0" w:hanging="0"/>
              <w:jc w:val="left"/>
            </w:pPr>
            <w:r>
              <w:t> </w:t>
            </w:r>
          </w:p>
        </w:tc>
        <w:tc>
          <w:tcPr>
            <w:tcW w:w="4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the RoHo Joint Venture’s investments as of September 30,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8"/>
        <w:gridCol w:w="60"/>
        <w:gridCol w:w="531"/>
        <w:gridCol w:w="532"/>
        <w:gridCol w:w="60"/>
        <w:gridCol w:w="60"/>
        <w:gridCol w:w="587"/>
        <w:gridCol w:w="587"/>
        <w:gridCol w:w="60"/>
        <w:gridCol w:w="60"/>
        <w:gridCol w:w="72"/>
        <w:gridCol w:w="842"/>
        <w:gridCol w:w="185"/>
        <w:gridCol w:w="60"/>
        <w:gridCol w:w="250"/>
        <w:gridCol w:w="250"/>
        <w:gridCol w:w="60"/>
        <w:gridCol w:w="60"/>
        <w:gridCol w:w="436"/>
        <w:gridCol w:w="437"/>
        <w:gridCol w:w="60"/>
        <w:gridCol w:w="60"/>
        <w:gridCol w:w="142"/>
        <w:gridCol w:w="673"/>
        <w:gridCol w:w="60"/>
        <w:gridCol w:w="60"/>
        <w:gridCol w:w="228"/>
        <w:gridCol w:w="889"/>
        <w:gridCol w:w="60"/>
        <w:gridCol w:w="60"/>
        <w:gridCol w:w="125"/>
        <w:gridCol w:w="485"/>
        <w:gridCol w:w="66"/>
      </w:tblGrid>
      <w:tr>
        <w:tc>
          <w:tcPr>
            <w:tcW w:w="204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1"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42" w:type="dxa"/>
            <w:tcBorders/>
            <w:shd w:fill="FFFFFF" w:val="clear"/>
            <w:vAlign w:val="center"/>
          </w:tcPr>
          <w:p>
            <w:pPr>
              <w:pStyle w:val="TableContents"/>
              <w:bidi w:val="0"/>
              <w:spacing w:before="0" w:after="283"/>
              <w:jc w:val="center"/>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Principal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6" w:type="dxa"/>
            <w:tcBorders/>
            <w:shd w:fill="FFFFFF" w:val="clear"/>
            <w:vAlign w:val="center"/>
          </w:tcPr>
          <w:p>
            <w:pPr>
              <w:pStyle w:val="TableContents"/>
              <w:bidi w:val="0"/>
              <w:spacing w:before="0" w:after="283"/>
              <w:jc w:val="left"/>
            </w:pPr>
            <w:r>
              <w:t> </w:t>
            </w:r>
          </w:p>
        </w:tc>
      </w:tr>
      <w:tr>
        <w:tc>
          <w:tcPr>
            <w:tcW w:w="2048" w:type="dxa"/>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 Company (1)</w:t>
            </w:r>
          </w:p>
        </w:tc>
        <w:tc>
          <w:tcPr>
            <w:tcW w:w="60" w:type="dxa"/>
            <w:tcBorders/>
            <w:shd w:fill="FFFFFF" w:val="clear"/>
            <w:vAlign w:val="center"/>
          </w:tcPr>
          <w:p>
            <w:pPr>
              <w:pStyle w:val="TableContents"/>
              <w:bidi w:val="0"/>
              <w:spacing w:before="0" w:after="283"/>
              <w:ind w:left="0" w:right="0" w:hanging="0"/>
              <w:jc w:val="left"/>
            </w:pPr>
            <w:r>
              <w:t> </w:t>
            </w:r>
          </w:p>
        </w:tc>
        <w:tc>
          <w:tcPr>
            <w:tcW w:w="10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Sector</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Investment (2)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Rate (3)</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Maturity Date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7"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Investments(4)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6" w:type="dxa"/>
            <w:tcBorders/>
            <w:shd w:fill="FFFFFF" w:val="clear"/>
            <w:vAlign w:val="center"/>
          </w:tcPr>
          <w:p>
            <w:pPr>
              <w:pStyle w:val="TableContents"/>
              <w:bidi w:val="0"/>
              <w:spacing w:before="0" w:after="283"/>
              <w:jc w:val="left"/>
            </w:pPr>
            <w:r>
              <w:t> </w:t>
            </w:r>
          </w:p>
        </w:tc>
      </w:tr>
      <w:tr>
        <w:tc>
          <w:tcPr>
            <w:tcW w:w="10139" w:type="dxa"/>
            <w:gridSpan w:val="32"/>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6" w:type="dxa"/>
            <w:tcBorders/>
            <w:shd w:fill="FFFFFF" w:val="clear"/>
            <w:vAlign w:val="center"/>
          </w:tcPr>
          <w:p>
            <w:pPr>
              <w:pStyle w:val="TableContents"/>
              <w:bidi w:val="0"/>
              <w:spacing w:before="0" w:after="283"/>
              <w:jc w:val="left"/>
            </w:pPr>
            <w:r>
              <w:t> </w:t>
            </w:r>
          </w:p>
        </w:tc>
      </w:tr>
      <w:t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Debt Investments — Sustainability</w:t>
            </w:r>
          </w:p>
        </w:tc>
        <w:tc>
          <w:tcPr>
            <w:tcW w:w="60" w:type="dxa"/>
            <w:tcBorders/>
            <w:shd w:fill="CCEEFF" w:val="clear"/>
            <w:vAlign w:val="center"/>
          </w:tcPr>
          <w:p>
            <w:pPr>
              <w:pStyle w:val="TableContents"/>
              <w:bidi w:val="0"/>
              <w:spacing w:before="0" w:after="283"/>
              <w:jc w:val="left"/>
            </w:pPr>
            <w:r>
              <w:t> </w:t>
            </w:r>
          </w:p>
        </w:tc>
        <w:tc>
          <w:tcPr>
            <w:tcW w:w="531"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42"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6" w:type="dxa"/>
            <w:tcBorders/>
            <w:shd w:fill="CCEEFF" w:val="clear"/>
            <w:vAlign w:val="center"/>
          </w:tcPr>
          <w:p>
            <w:pPr>
              <w:pStyle w:val="TableContents"/>
              <w:bidi w:val="0"/>
              <w:spacing w:before="0" w:after="283"/>
              <w:jc w:val="left"/>
            </w:pPr>
            <w:r>
              <w:t> </w:t>
            </w:r>
          </w:p>
        </w:tc>
        <w:tc>
          <w:tcPr>
            <w:tcW w:w="43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r>
      <w:tr>
        <w:tc>
          <w:tcPr>
            <w:tcW w:w="204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NeoVolta, Inc. (5)(6)</w:t>
            </w:r>
          </w:p>
        </w:tc>
        <w:tc>
          <w:tcPr>
            <w:tcW w:w="60" w:type="dxa"/>
            <w:tcBorders/>
            <w:shd w:fill="FFFFFF" w:val="clear"/>
            <w:vAlign w:val="center"/>
          </w:tcPr>
          <w:p>
            <w:pPr>
              <w:pStyle w:val="TableContents"/>
              <w:bidi w:val="0"/>
              <w:spacing w:before="0" w:after="283"/>
              <w:ind w:left="0" w:right="0" w:hanging="0"/>
              <w:jc w:val="left"/>
            </w:pPr>
            <w:r>
              <w:t> </w:t>
            </w:r>
          </w:p>
        </w:tc>
        <w:tc>
          <w:tcPr>
            <w:tcW w:w="1063"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Alternative Energy</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Fixed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4, 2028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6" w:type="dxa"/>
            <w:tcBorders/>
            <w:shd w:fill="FFFFFF" w:val="clear"/>
            <w:vAlign w:val="center"/>
          </w:tcPr>
          <w:p>
            <w:pPr>
              <w:pStyle w:val="TableContents"/>
              <w:bidi w:val="0"/>
              <w:spacing w:before="0" w:after="283"/>
              <w:jc w:val="left"/>
            </w:pPr>
            <w:r>
              <w:t> </w:t>
            </w:r>
          </w:p>
        </w:tc>
      </w:tr>
      <w:t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Investments — Sustainability</w:t>
            </w:r>
          </w:p>
        </w:tc>
        <w:tc>
          <w:tcPr>
            <w:tcW w:w="60" w:type="dxa"/>
            <w:tcBorders/>
            <w:shd w:fill="CCEEFF" w:val="clear"/>
            <w:vAlign w:val="center"/>
          </w:tcPr>
          <w:p>
            <w:pPr>
              <w:pStyle w:val="TableContents"/>
              <w:bidi w:val="0"/>
              <w:spacing w:before="0" w:after="283"/>
              <w:jc w:val="left"/>
            </w:pPr>
            <w:r>
              <w:t> </w:t>
            </w:r>
          </w:p>
        </w:tc>
        <w:tc>
          <w:tcPr>
            <w:tcW w:w="531"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ind w:left="0" w:right="0" w:hanging="0"/>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ind w:left="0" w:right="0" w:hanging="0"/>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42"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ind w:left="0" w:right="0" w:hanging="0"/>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6" w:type="dxa"/>
            <w:tcBorders/>
            <w:shd w:fill="CCEEFF" w:val="clear"/>
            <w:vAlign w:val="center"/>
          </w:tcPr>
          <w:p>
            <w:pPr>
              <w:pStyle w:val="TableContents"/>
              <w:bidi w:val="0"/>
              <w:spacing w:before="0" w:after="283"/>
              <w:jc w:val="left"/>
            </w:pPr>
            <w:r>
              <w:t> </w:t>
            </w:r>
          </w:p>
        </w:tc>
        <w:tc>
          <w:tcPr>
            <w:tcW w:w="437" w:type="dxa"/>
            <w:tcBorders/>
            <w:shd w:fill="CCEEFF" w:val="clear"/>
            <w:vAlign w:val="center"/>
          </w:tcPr>
          <w:p>
            <w:pPr>
              <w:pStyle w:val="TableContents"/>
              <w:bidi w:val="0"/>
              <w:spacing w:before="0" w:after="283"/>
              <w:ind w:left="0" w:right="0" w:hanging="0"/>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6" w:type="dxa"/>
            <w:tcBorders/>
            <w:shd w:fill="CCEEFF" w:val="clear"/>
            <w:vAlign w:val="center"/>
          </w:tcPr>
          <w:p>
            <w:pPr>
              <w:pStyle w:val="TableContents"/>
              <w:bidi w:val="0"/>
              <w:spacing w:before="0" w:after="283"/>
              <w:jc w:val="left"/>
            </w:pPr>
            <w:r>
              <w:t> </w:t>
            </w:r>
          </w:p>
        </w:tc>
      </w:tr>
      <w:tr>
        <w:tc>
          <w:tcPr>
            <w:tcW w:w="20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Investments</w:t>
            </w:r>
          </w:p>
        </w:tc>
        <w:tc>
          <w:tcPr>
            <w:tcW w:w="60" w:type="dxa"/>
            <w:tcBorders/>
            <w:shd w:fill="FFFFFF" w:val="clear"/>
            <w:vAlign w:val="center"/>
          </w:tcPr>
          <w:p>
            <w:pPr>
              <w:pStyle w:val="TableContents"/>
              <w:bidi w:val="0"/>
              <w:spacing w:before="0" w:after="283"/>
              <w:jc w:val="left"/>
            </w:pPr>
            <w:r>
              <w:t> </w:t>
            </w:r>
          </w:p>
        </w:tc>
        <w:tc>
          <w:tcPr>
            <w:tcW w:w="531"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42"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66" w:type="dxa"/>
            <w:tcBorders/>
            <w:shd w:fill="FFFFFF" w:val="clear"/>
            <w:vAlign w:val="center"/>
          </w:tcPr>
          <w:p>
            <w:pPr>
              <w:pStyle w:val="TableContents"/>
              <w:bidi w:val="0"/>
              <w:spacing w:before="0" w:after="283"/>
              <w:jc w:val="left"/>
            </w:pPr>
            <w:r>
              <w:t> </w:t>
            </w:r>
          </w:p>
        </w:tc>
      </w:tr>
      <w:tr>
        <w:tc>
          <w:tcPr>
            <w:tcW w:w="204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1"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42"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jc w:val="left"/>
            </w:pPr>
            <w:r>
              <w:t> </w:t>
            </w:r>
          </w:p>
        </w:tc>
        <w:tc>
          <w:tcPr>
            <w:tcW w:w="88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r>
      <w:tr>
        <w:tc>
          <w:tcPr>
            <w:tcW w:w="204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31"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42"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jc w:val="left"/>
            </w:pPr>
            <w:r>
              <w:t> </w:t>
            </w:r>
          </w:p>
        </w:tc>
        <w:tc>
          <w:tcPr>
            <w:tcW w:w="88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r>
      <w:tr>
        <w:tc>
          <w:tcPr>
            <w:tcW w:w="2048" w:type="dxa"/>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 Company (1)(3)</w:t>
            </w:r>
          </w:p>
        </w:tc>
        <w:tc>
          <w:tcPr>
            <w:tcW w:w="60" w:type="dxa"/>
            <w:tcBorders/>
            <w:shd w:fill="FFFFFF" w:val="clear"/>
            <w:vAlign w:val="center"/>
          </w:tcPr>
          <w:p>
            <w:pPr>
              <w:pStyle w:val="TableContents"/>
              <w:bidi w:val="0"/>
              <w:spacing w:before="0" w:after="283"/>
              <w:ind w:left="0" w:right="0" w:hanging="0"/>
              <w:jc w:val="left"/>
            </w:pPr>
            <w:r>
              <w:t> </w:t>
            </w:r>
          </w:p>
        </w:tc>
        <w:tc>
          <w:tcPr>
            <w:tcW w:w="10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Sector</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Investment (7)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jc w:val="left"/>
            </w:pPr>
            <w:r>
              <w:t> </w:t>
            </w:r>
          </w:p>
        </w:tc>
        <w:tc>
          <w:tcPr>
            <w:tcW w:w="889"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t> </w:t>
            </w:r>
          </w:p>
        </w:tc>
        <w:tc>
          <w:tcPr>
            <w:tcW w:w="66" w:type="dxa"/>
            <w:tcBorders/>
            <w:shd w:fill="FFFFFF" w:val="clear"/>
            <w:vAlign w:val="center"/>
          </w:tcPr>
          <w:p>
            <w:pPr>
              <w:pStyle w:val="TableContents"/>
              <w:bidi w:val="0"/>
              <w:spacing w:before="0" w:after="283"/>
              <w:jc w:val="left"/>
            </w:pPr>
            <w:r>
              <w:t> </w:t>
            </w:r>
          </w:p>
        </w:tc>
      </w:tr>
      <w:t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 Investments — Sustainability</w:t>
            </w:r>
          </w:p>
        </w:tc>
        <w:tc>
          <w:tcPr>
            <w:tcW w:w="60" w:type="dxa"/>
            <w:tcBorders/>
            <w:shd w:fill="CCEEFF" w:val="clear"/>
            <w:vAlign w:val="center"/>
          </w:tcPr>
          <w:p>
            <w:pPr>
              <w:pStyle w:val="TableContents"/>
              <w:bidi w:val="0"/>
              <w:spacing w:before="0" w:after="283"/>
              <w:jc w:val="left"/>
            </w:pPr>
            <w:r>
              <w:t> </w:t>
            </w:r>
          </w:p>
        </w:tc>
        <w:tc>
          <w:tcPr>
            <w:tcW w:w="531"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42"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6" w:type="dxa"/>
            <w:tcBorders/>
            <w:shd w:fill="CCEEFF" w:val="clear"/>
            <w:vAlign w:val="center"/>
          </w:tcPr>
          <w:p>
            <w:pPr>
              <w:pStyle w:val="TableContents"/>
              <w:bidi w:val="0"/>
              <w:spacing w:before="0" w:after="283"/>
              <w:jc w:val="left"/>
            </w:pPr>
            <w:r>
              <w:t> </w:t>
            </w:r>
          </w:p>
        </w:tc>
        <w:tc>
          <w:tcPr>
            <w:tcW w:w="43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r>
      <w:tr>
        <w:tc>
          <w:tcPr>
            <w:tcW w:w="204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NeoVolta, Inc. (5)(6)</w:t>
            </w:r>
          </w:p>
        </w:tc>
        <w:tc>
          <w:tcPr>
            <w:tcW w:w="60" w:type="dxa"/>
            <w:tcBorders/>
            <w:shd w:fill="FFFFFF" w:val="clear"/>
            <w:vAlign w:val="center"/>
          </w:tcPr>
          <w:p>
            <w:pPr>
              <w:pStyle w:val="TableContents"/>
              <w:bidi w:val="0"/>
              <w:spacing w:before="0" w:after="283"/>
              <w:ind w:left="0" w:right="0" w:hanging="0"/>
              <w:jc w:val="left"/>
            </w:pPr>
            <w:r>
              <w:t> </w:t>
            </w:r>
          </w:p>
        </w:tc>
        <w:tc>
          <w:tcPr>
            <w:tcW w:w="1063"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Alternative Energy</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727,273</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6" w:type="dxa"/>
            <w:tcBorders/>
            <w:shd w:fill="FFFFFF" w:val="clear"/>
            <w:vAlign w:val="center"/>
          </w:tcPr>
          <w:p>
            <w:pPr>
              <w:pStyle w:val="TableContents"/>
              <w:bidi w:val="0"/>
              <w:spacing w:before="0" w:after="283"/>
              <w:jc w:val="left"/>
            </w:pPr>
            <w:r>
              <w:t> </w:t>
            </w:r>
          </w:p>
        </w:tc>
      </w:tr>
      <w:t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Warrant Investments — Sustainability</w:t>
            </w:r>
          </w:p>
        </w:tc>
        <w:tc>
          <w:tcPr>
            <w:tcW w:w="60" w:type="dxa"/>
            <w:tcBorders/>
            <w:shd w:fill="CCEEFF" w:val="clear"/>
            <w:vAlign w:val="center"/>
          </w:tcPr>
          <w:p>
            <w:pPr>
              <w:pStyle w:val="TableContents"/>
              <w:bidi w:val="0"/>
              <w:spacing w:before="0" w:after="283"/>
              <w:jc w:val="left"/>
            </w:pPr>
            <w:r>
              <w:t> </w:t>
            </w:r>
          </w:p>
        </w:tc>
        <w:tc>
          <w:tcPr>
            <w:tcW w:w="531"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42"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6" w:type="dxa"/>
            <w:tcBorders/>
            <w:shd w:fill="CCEEFF" w:val="clear"/>
            <w:vAlign w:val="center"/>
          </w:tcPr>
          <w:p>
            <w:pPr>
              <w:pStyle w:val="TableContents"/>
              <w:bidi w:val="0"/>
              <w:spacing w:before="0" w:after="283"/>
              <w:jc w:val="left"/>
            </w:pPr>
            <w:r>
              <w:t> </w:t>
            </w:r>
          </w:p>
        </w:tc>
        <w:tc>
          <w:tcPr>
            <w:tcW w:w="437"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6" w:type="dxa"/>
            <w:tcBorders/>
            <w:shd w:fill="CCEEFF" w:val="clear"/>
            <w:vAlign w:val="center"/>
          </w:tcPr>
          <w:p>
            <w:pPr>
              <w:pStyle w:val="TableContents"/>
              <w:bidi w:val="0"/>
              <w:spacing w:before="0" w:after="283"/>
              <w:jc w:val="left"/>
            </w:pPr>
            <w:r>
              <w:t> </w:t>
            </w:r>
          </w:p>
        </w:tc>
      </w:tr>
      <w:tr>
        <w:tc>
          <w:tcPr>
            <w:tcW w:w="20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Warrant Investments</w:t>
            </w:r>
          </w:p>
        </w:tc>
        <w:tc>
          <w:tcPr>
            <w:tcW w:w="60" w:type="dxa"/>
            <w:tcBorders/>
            <w:shd w:fill="FFFFFF" w:val="clear"/>
            <w:vAlign w:val="center"/>
          </w:tcPr>
          <w:p>
            <w:pPr>
              <w:pStyle w:val="TableContents"/>
              <w:bidi w:val="0"/>
              <w:spacing w:before="0" w:after="283"/>
              <w:jc w:val="left"/>
            </w:pPr>
            <w:r>
              <w:t> </w:t>
            </w:r>
          </w:p>
        </w:tc>
        <w:tc>
          <w:tcPr>
            <w:tcW w:w="531"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42"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6" w:type="dxa"/>
            <w:tcBorders/>
            <w:shd w:fill="FFFFFF" w:val="clear"/>
            <w:vAlign w:val="center"/>
          </w:tcPr>
          <w:p>
            <w:pPr>
              <w:pStyle w:val="TableContents"/>
              <w:bidi w:val="0"/>
              <w:spacing w:before="0" w:after="283"/>
              <w:jc w:val="left"/>
            </w:pPr>
            <w:r>
              <w:t> </w:t>
            </w:r>
          </w:p>
        </w:tc>
      </w:tr>
      <w:tr>
        <w:tc>
          <w:tcPr>
            <w:tcW w:w="204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31"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42"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6" w:type="dxa"/>
            <w:tcBorders/>
            <w:shd w:fill="CCEEFF" w:val="clear"/>
            <w:vAlign w:val="center"/>
          </w:tcPr>
          <w:p>
            <w:pPr>
              <w:pStyle w:val="TableContents"/>
              <w:bidi w:val="0"/>
              <w:spacing w:before="0" w:after="283"/>
              <w:jc w:val="left"/>
            </w:pPr>
            <w:r>
              <w:t> </w:t>
            </w:r>
          </w:p>
        </w:tc>
        <w:tc>
          <w:tcPr>
            <w:tcW w:w="43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89"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r>
      <w:tr>
        <w:tc>
          <w:tcPr>
            <w:tcW w:w="20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Portfolio Investment Assets</w:t>
            </w:r>
          </w:p>
        </w:tc>
        <w:tc>
          <w:tcPr>
            <w:tcW w:w="60" w:type="dxa"/>
            <w:tcBorders/>
            <w:shd w:fill="FFFFFF" w:val="clear"/>
            <w:vAlign w:val="center"/>
          </w:tcPr>
          <w:p>
            <w:pPr>
              <w:pStyle w:val="TableContents"/>
              <w:bidi w:val="0"/>
              <w:spacing w:before="0" w:after="283"/>
              <w:jc w:val="left"/>
            </w:pPr>
            <w:r>
              <w:t> </w:t>
            </w:r>
          </w:p>
        </w:tc>
        <w:tc>
          <w:tcPr>
            <w:tcW w:w="531"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42"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66" w:type="dxa"/>
            <w:tcBorders/>
            <w:shd w:fill="FFFFFF" w:val="clear"/>
            <w:vAlign w:val="center"/>
          </w:tcPr>
          <w:p>
            <w:pPr>
              <w:pStyle w:val="TableContents"/>
              <w:bidi w:val="0"/>
              <w:spacing w:before="0" w:after="283"/>
              <w:jc w:val="left"/>
            </w:pPr>
            <w:r>
              <w:t> </w:t>
            </w:r>
          </w:p>
        </w:tc>
      </w:tr>
      <w:tr>
        <w:tc>
          <w:tcPr>
            <w:tcW w:w="204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31"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42"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6" w:type="dxa"/>
            <w:tcBorders/>
            <w:shd w:fill="CCEEFF" w:val="clear"/>
            <w:vAlign w:val="center"/>
          </w:tcPr>
          <w:p>
            <w:pPr>
              <w:pStyle w:val="TableContents"/>
              <w:bidi w:val="0"/>
              <w:spacing w:before="0" w:after="283"/>
              <w:jc w:val="left"/>
            </w:pPr>
            <w:r>
              <w:t> </w:t>
            </w:r>
          </w:p>
        </w:tc>
        <w:tc>
          <w:tcPr>
            <w:tcW w:w="43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r>
      <w:tr>
        <w:tc>
          <w:tcPr>
            <w:tcW w:w="20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Short Term Investments — Unrestricted Investments</w:t>
            </w:r>
          </w:p>
        </w:tc>
        <w:tc>
          <w:tcPr>
            <w:tcW w:w="60" w:type="dxa"/>
            <w:tcBorders/>
            <w:shd w:fill="FFFFFF" w:val="clear"/>
            <w:vAlign w:val="center"/>
          </w:tcPr>
          <w:p>
            <w:pPr>
              <w:pStyle w:val="TableContents"/>
              <w:bidi w:val="0"/>
              <w:spacing w:before="0" w:after="283"/>
              <w:jc w:val="left"/>
            </w:pPr>
            <w:r>
              <w:t> </w:t>
            </w:r>
          </w:p>
        </w:tc>
        <w:tc>
          <w:tcPr>
            <w:tcW w:w="531"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42"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jc w:val="left"/>
            </w:pPr>
            <w:r>
              <w:t> </w:t>
            </w:r>
          </w:p>
        </w:tc>
        <w:tc>
          <w:tcPr>
            <w:tcW w:w="88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r>
      <w:t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Bank Money Market Deposit Account</w:t>
            </w:r>
          </w:p>
        </w:tc>
        <w:tc>
          <w:tcPr>
            <w:tcW w:w="60" w:type="dxa"/>
            <w:tcBorders/>
            <w:shd w:fill="CCEEFF" w:val="clear"/>
            <w:vAlign w:val="center"/>
          </w:tcPr>
          <w:p>
            <w:pPr>
              <w:pStyle w:val="TableContents"/>
              <w:bidi w:val="0"/>
              <w:spacing w:before="0" w:after="283"/>
              <w:jc w:val="left"/>
            </w:pPr>
            <w:r>
              <w:t> </w:t>
            </w:r>
          </w:p>
        </w:tc>
        <w:tc>
          <w:tcPr>
            <w:tcW w:w="531"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left"/>
            </w:pPr>
            <w:r>
              <w:t> </w:t>
            </w:r>
          </w:p>
        </w:tc>
        <w:tc>
          <w:tcPr>
            <w:tcW w:w="587"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842"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6" w:type="dxa"/>
            <w:tcBorders/>
            <w:shd w:fill="CCEEFF" w:val="clear"/>
            <w:vAlign w:val="center"/>
          </w:tcPr>
          <w:p>
            <w:pPr>
              <w:pStyle w:val="TableContents"/>
              <w:bidi w:val="0"/>
              <w:spacing w:before="0" w:after="283"/>
              <w:jc w:val="left"/>
            </w:pPr>
            <w:r>
              <w:t> </w:t>
            </w:r>
          </w:p>
        </w:tc>
        <w:tc>
          <w:tcPr>
            <w:tcW w:w="437"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6" w:type="dxa"/>
            <w:tcBorders/>
            <w:shd w:fill="CCEEFF" w:val="clear"/>
            <w:vAlign w:val="center"/>
          </w:tcPr>
          <w:p>
            <w:pPr>
              <w:pStyle w:val="TableContents"/>
              <w:bidi w:val="0"/>
              <w:spacing w:before="0" w:after="283"/>
              <w:jc w:val="left"/>
            </w:pPr>
            <w:r>
              <w:t> </w:t>
            </w:r>
          </w:p>
        </w:tc>
      </w:tr>
      <w:tr>
        <w:tc>
          <w:tcPr>
            <w:tcW w:w="3171" w:type="dxa"/>
            <w:gridSpan w:val="4"/>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Short Term Investments — Unrestricted Investments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left"/>
            </w:pPr>
            <w:r>
              <w:t> </w:t>
            </w:r>
          </w:p>
        </w:tc>
        <w:tc>
          <w:tcPr>
            <w:tcW w:w="58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842"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 w:type="dxa"/>
            <w:tcBorders/>
            <w:shd w:fill="FFFFFF" w:val="clear"/>
            <w:vAlign w:val="center"/>
          </w:tcPr>
          <w:p>
            <w:pPr>
              <w:pStyle w:val="TableContents"/>
              <w:bidi w:val="0"/>
              <w:spacing w:before="0" w:after="283"/>
              <w:jc w:val="left"/>
            </w:pPr>
            <w:r>
              <w:t> </w:t>
            </w:r>
          </w:p>
        </w:tc>
        <w:tc>
          <w:tcPr>
            <w:tcW w:w="437"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3"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6"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c>
          <w:tcPr>
            <w:tcW w:w="23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All investments of the Company are in entities organized under the laws of the United States and have a principal place of business in the United States, unless otherwise noted.</w:t>
            </w:r>
          </w:p>
        </w:tc>
      </w:tr>
      <w:tr>
        <w:tc>
          <w:tcPr>
            <w:tcW w:w="2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7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Warrants are non-income producing.</w:t>
            </w:r>
          </w:p>
        </w:tc>
      </w:tr>
    </w:tbl>
    <w:tbl>
      <w:tblPr>
        <w:tblW w:w="10205" w:type="dxa"/>
        <w:jc w:val="left"/>
        <w:tblInd w:w="0" w:type="dxa"/>
        <w:tblLayout w:type="fixed"/>
        <w:tblCellMar>
          <w:top w:w="0" w:type="dxa"/>
          <w:left w:w="0" w:type="dxa"/>
          <w:bottom w:w="0" w:type="dxa"/>
          <w:right w:w="0" w:type="dxa"/>
        </w:tblCellMar>
      </w:tblPr>
      <w:tblGrid>
        <w:gridCol w:w="193"/>
        <w:gridCol w:w="10012"/>
      </w:tblGrid>
      <w:tr>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w:t>
            </w:r>
          </w:p>
        </w:tc>
      </w:tr>
      <w:tr>
        <w:tc>
          <w:tcPr>
            <w:tcW w:w="193" w:type="dxa"/>
            <w:tcBorders/>
            <w:vAlign w:val="center"/>
          </w:tcPr>
          <w:p>
            <w:pPr>
              <w:pStyle w:val="TableContents"/>
              <w:bidi w:val="0"/>
              <w:spacing w:before="0" w:after="283"/>
              <w:jc w:val="left"/>
              <w:rPr>
                <w:sz w:val="18"/>
              </w:rPr>
            </w:pPr>
            <w:r>
              <w:rPr>
                <w:sz w:val="18"/>
              </w:rPr>
              <w:t>(4)</w:t>
            </w:r>
          </w:p>
        </w:tc>
        <w:tc>
          <w:tcPr>
            <w:tcW w:w="10012" w:type="dxa"/>
            <w:tcBorders/>
            <w:vAlign w:val="center"/>
          </w:tcPr>
          <w:p>
            <w:pPr>
              <w:pStyle w:val="TableContents"/>
              <w:bidi w:val="0"/>
              <w:spacing w:before="0" w:after="283"/>
              <w:jc w:val="left"/>
              <w:rPr>
                <w:sz w:val="18"/>
              </w:rPr>
            </w:pPr>
            <w:r>
              <w:rPr>
                <w:sz w:val="18"/>
              </w:rPr>
              <w:t>For debt investments, represents principal balance less unearned income.</w:t>
            </w:r>
          </w:p>
        </w:tc>
      </w:tr>
    </w:tbl>
    <w:tbl>
      <w:tblPr>
        <w:tblW w:w="3070" w:type="dxa"/>
        <w:jc w:val="left"/>
        <w:tblInd w:w="0" w:type="dxa"/>
        <w:tblLayout w:type="fixed"/>
        <w:tblCellMar>
          <w:top w:w="0" w:type="dxa"/>
          <w:left w:w="0" w:type="dxa"/>
          <w:bottom w:w="0" w:type="dxa"/>
          <w:right w:w="0" w:type="dxa"/>
        </w:tblCellMar>
      </w:tblPr>
      <w:tblGrid>
        <w:gridCol w:w="230"/>
        <w:gridCol w:w="2840"/>
      </w:tblGrid>
      <w:tr>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(5)</w:t>
            </w:r>
          </w:p>
        </w:tc>
        <w:tc>
          <w:tcPr>
            <w:tcW w:w="2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Portfolio company is a public company.</w:t>
            </w:r>
          </w:p>
        </w:tc>
      </w:tr>
    </w:tbl>
    <w:tbl>
      <w:tblPr>
        <w:tblW w:w="6055" w:type="dxa"/>
        <w:jc w:val="left"/>
        <w:tblInd w:w="0" w:type="dxa"/>
        <w:tblLayout w:type="fixed"/>
        <w:tblCellMar>
          <w:top w:w="0" w:type="dxa"/>
          <w:left w:w="0" w:type="dxa"/>
          <w:bottom w:w="0" w:type="dxa"/>
          <w:right w:w="0" w:type="dxa"/>
        </w:tblCellMar>
      </w:tblPr>
      <w:tblGrid>
        <w:gridCol w:w="230"/>
        <w:gridCol w:w="5825"/>
      </w:tblGrid>
      <w:tr>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(6)</w:t>
            </w:r>
          </w:p>
        </w:tc>
        <w:tc>
          <w:tcPr>
            <w:tcW w:w="5825" w:type="dxa"/>
            <w:tcBorders/>
            <w:vAlign w:val="center"/>
          </w:tcPr>
          <w:p>
            <w:pPr>
              <w:pStyle w:val="TableContents"/>
              <w:bidi w:val="0"/>
              <w:spacing w:before="0" w:after="283"/>
              <w:jc w:val="left"/>
              <w:rPr>
                <w:sz w:val="18"/>
              </w:rPr>
            </w:pPr>
            <w:r>
              <w:rPr>
                <w:sz w:val="18"/>
              </w:rPr>
              <w:t>The fair value of the investment was valued using significant unobservable inputs.</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tables show certain summarized financial information for the RoHo Joint Venture as of September 30, 2026 and for the three months ended September 30, 2026 and for the period March 18, 2026 (the commencement of the RoHo Joint Venture’s operations) through September 30, 2026:</w:t>
      </w:r>
    </w:p>
    <w:p>
      <w:pPr>
        <w:pStyle w:val="TextBody"/>
        <w:bidi w:val="0"/>
        <w:spacing w:before="0" w:after="0"/>
        <w:ind w:left="0" w:right="0" w:firstLine="360"/>
        <w:jc w:val="both"/>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3425"/>
        <w:gridCol w:w="60"/>
        <w:gridCol w:w="249"/>
        <w:gridCol w:w="970"/>
        <w:gridCol w:w="60"/>
      </w:tblGrid>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249" w:type="dxa"/>
            <w:tcBorders/>
            <w:shd w:fill="CCEEFF" w:val="clear"/>
            <w:vAlign w:val="center"/>
          </w:tcPr>
          <w:p>
            <w:pPr>
              <w:pStyle w:val="TableContents"/>
              <w:bidi w:val="0"/>
              <w:spacing w:before="0" w:after="283"/>
              <w:jc w:val="left"/>
            </w:pPr>
            <w:r>
              <w:t> </w:t>
            </w:r>
          </w:p>
        </w:tc>
        <w:tc>
          <w:tcPr>
            <w:tcW w:w="97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Investments at fair value (cost of $9,592)</w:t>
            </w:r>
          </w:p>
        </w:tc>
        <w:tc>
          <w:tcPr>
            <w:tcW w:w="60" w:type="dxa"/>
            <w:tcBorders/>
            <w:shd w:fill="FFFFFF" w:val="clear"/>
            <w:vAlign w:val="center"/>
          </w:tcPr>
          <w:p>
            <w:pPr>
              <w:pStyle w:val="TableContents"/>
              <w:bidi w:val="0"/>
              <w:spacing w:before="0" w:after="283"/>
              <w:jc w:val="left"/>
            </w:pPr>
            <w:r>
              <w:t> </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9,021</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money market funds</w:t>
            </w:r>
          </w:p>
        </w:tc>
        <w:tc>
          <w:tcPr>
            <w:tcW w:w="60" w:type="dxa"/>
            <w:tcBorders/>
            <w:shd w:fill="CCEEFF" w:val="clear"/>
            <w:vAlign w:val="center"/>
          </w:tcPr>
          <w:p>
            <w:pPr>
              <w:pStyle w:val="TableContents"/>
              <w:bidi w:val="0"/>
              <w:spacing w:before="0" w:after="283"/>
              <w:jc w:val="left"/>
            </w:pPr>
            <w:r>
              <w:t> </w:t>
            </w:r>
          </w:p>
        </w:tc>
        <w:tc>
          <w:tcPr>
            <w:tcW w:w="249" w:type="dxa"/>
            <w:tcBorders/>
            <w:shd w:fill="CCEEFF" w:val="clear"/>
            <w:vAlign w:val="center"/>
          </w:tcPr>
          <w:p>
            <w:pPr>
              <w:pStyle w:val="TableContents"/>
              <w:bidi w:val="0"/>
              <w:spacing w:before="0" w:after="283"/>
              <w:ind w:left="0" w:right="0" w:hanging="0"/>
              <w:jc w:val="left"/>
            </w:pPr>
            <w: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receivable</w:t>
            </w:r>
          </w:p>
        </w:tc>
        <w:tc>
          <w:tcPr>
            <w:tcW w:w="60" w:type="dxa"/>
            <w:tcBorders/>
            <w:shd w:fill="FFFFFF" w:val="clear"/>
            <w:vAlign w:val="center"/>
          </w:tcPr>
          <w:p>
            <w:pPr>
              <w:pStyle w:val="TableContents"/>
              <w:bidi w:val="0"/>
              <w:spacing w:before="0" w:after="283"/>
              <w:jc w:val="left"/>
            </w:pPr>
            <w:r>
              <w:t> </w:t>
            </w:r>
          </w:p>
        </w:tc>
        <w:tc>
          <w:tcPr>
            <w:tcW w:w="249" w:type="dxa"/>
            <w:tcBorders/>
            <w:shd w:fill="FFFFFF" w:val="clear"/>
            <w:vAlign w:val="center"/>
          </w:tcPr>
          <w:p>
            <w:pPr>
              <w:pStyle w:val="TableContents"/>
              <w:bidi w:val="0"/>
              <w:spacing w:before="0" w:after="283"/>
              <w:ind w:left="0" w:right="0" w:hanging="0"/>
              <w:jc w:val="left"/>
            </w:pPr>
            <w: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pPr>
            <w: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283"/>
              <w:jc w:val="left"/>
            </w:pPr>
            <w:r>
              <w:t> </w:t>
            </w:r>
          </w:p>
        </w:tc>
        <w:tc>
          <w:tcPr>
            <w:tcW w:w="249" w:type="dxa"/>
            <w:tcBorders/>
            <w:shd w:fill="FFFFFF" w:val="clear"/>
            <w:vAlign w:val="center"/>
          </w:tcPr>
          <w:p>
            <w:pPr>
              <w:pStyle w:val="TableContents"/>
              <w:bidi w:val="0"/>
              <w:spacing w:before="0" w:after="283"/>
              <w:jc w:val="left"/>
            </w:pPr>
            <w:r>
              <w:t> </w:t>
            </w:r>
          </w:p>
        </w:tc>
        <w:tc>
          <w:tcPr>
            <w:tcW w:w="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pPr>
            <w: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pPr>
            <w: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9" w:type="dxa"/>
            <w:tcBorders/>
            <w:shd w:fill="CCEEFF" w:val="clear"/>
            <w:vAlign w:val="center"/>
          </w:tcPr>
          <w:p>
            <w:pPr>
              <w:pStyle w:val="TableContents"/>
              <w:bidi w:val="0"/>
              <w:spacing w:before="0" w:after="283"/>
              <w:jc w:val="left"/>
            </w:pPr>
            <w:r>
              <w:t> </w:t>
            </w:r>
          </w:p>
        </w:tc>
        <w:tc>
          <w:tcPr>
            <w:tcW w:w="97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FFFFFF" w:val="clear"/>
            <w:vAlign w:val="center"/>
          </w:tcPr>
          <w:p>
            <w:pPr>
              <w:pStyle w:val="TableContents"/>
              <w:bidi w:val="0"/>
              <w:spacing w:before="0" w:after="283"/>
              <w:jc w:val="left"/>
            </w:pPr>
            <w:r>
              <w:t> </w:t>
            </w:r>
          </w:p>
        </w:tc>
        <w:tc>
          <w:tcPr>
            <w:tcW w:w="249" w:type="dxa"/>
            <w:tcBorders/>
            <w:shd w:fill="FFFFFF" w:val="clear"/>
            <w:vAlign w:val="center"/>
          </w:tcPr>
          <w:p>
            <w:pPr>
              <w:pStyle w:val="TableContents"/>
              <w:bidi w:val="0"/>
              <w:spacing w:before="0" w:after="283"/>
              <w:jc w:val="left"/>
            </w:pPr>
            <w:r>
              <w:t> </w:t>
            </w:r>
          </w:p>
        </w:tc>
        <w:tc>
          <w:tcPr>
            <w:tcW w:w="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9" w:type="dxa"/>
            <w:tcBorders/>
            <w:shd w:fill="CCEEFF" w:val="clear"/>
            <w:vAlign w:val="center"/>
          </w:tcPr>
          <w:p>
            <w:pPr>
              <w:pStyle w:val="TableContents"/>
              <w:bidi w:val="0"/>
              <w:spacing w:before="0" w:after="283"/>
              <w:jc w:val="left"/>
            </w:pPr>
            <w:r>
              <w:t> </w:t>
            </w:r>
          </w:p>
        </w:tc>
        <w:tc>
          <w:tcPr>
            <w:tcW w:w="97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Members’ Capital</w:t>
            </w:r>
          </w:p>
        </w:tc>
        <w:tc>
          <w:tcPr>
            <w:tcW w:w="60" w:type="dxa"/>
            <w:tcBorders/>
            <w:shd w:fill="FFFFFF" w:val="clear"/>
            <w:vAlign w:val="center"/>
          </w:tcPr>
          <w:p>
            <w:pPr>
              <w:pStyle w:val="TableContents"/>
              <w:bidi w:val="0"/>
              <w:spacing w:before="0" w:after="283"/>
              <w:jc w:val="left"/>
            </w:pPr>
            <w:r>
              <w:t> </w:t>
            </w:r>
          </w:p>
        </w:tc>
        <w:tc>
          <w:tcPr>
            <w:tcW w:w="249" w:type="dxa"/>
            <w:tcBorders/>
            <w:shd w:fill="FFFFFF" w:val="clear"/>
            <w:vAlign w:val="center"/>
          </w:tcPr>
          <w:p>
            <w:pPr>
              <w:pStyle w:val="TableContents"/>
              <w:bidi w:val="0"/>
              <w:spacing w:before="0" w:after="283"/>
              <w:jc w:val="left"/>
            </w:pPr>
            <w:r>
              <w:t> </w:t>
            </w:r>
          </w:p>
        </w:tc>
        <w:tc>
          <w:tcPr>
            <w:tcW w:w="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Members’ capital</w:t>
            </w:r>
          </w:p>
        </w:tc>
        <w:tc>
          <w:tcPr>
            <w:tcW w:w="60" w:type="dxa"/>
            <w:tcBorders/>
            <w:shd w:fill="CCEEFF" w:val="clear"/>
            <w:vAlign w:val="center"/>
          </w:tcPr>
          <w:p>
            <w:pPr>
              <w:pStyle w:val="TableContents"/>
              <w:bidi w:val="0"/>
              <w:spacing w:before="0" w:after="283"/>
              <w:jc w:val="left"/>
            </w:pPr>
            <w: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members’ capital</w:t>
            </w:r>
          </w:p>
        </w:tc>
        <w:tc>
          <w:tcPr>
            <w:tcW w:w="60" w:type="dxa"/>
            <w:tcBorders/>
            <w:shd w:fill="FFFFFF" w:val="clear"/>
            <w:vAlign w:val="center"/>
          </w:tcPr>
          <w:p>
            <w:pPr>
              <w:pStyle w:val="TableContents"/>
              <w:bidi w:val="0"/>
              <w:spacing w:before="0" w:after="283"/>
              <w:jc w:val="left"/>
            </w:pPr>
            <w: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members’ capital</w:t>
            </w:r>
          </w:p>
        </w:tc>
        <w:tc>
          <w:tcPr>
            <w:tcW w:w="60" w:type="dxa"/>
            <w:tcBorders/>
            <w:shd w:fill="CCEEFF" w:val="clear"/>
            <w:vAlign w:val="center"/>
          </w:tcPr>
          <w:p>
            <w:pPr>
              <w:pStyle w:val="TableContents"/>
              <w:bidi w:val="0"/>
              <w:spacing w:before="0" w:after="283"/>
              <w:ind w:left="0" w:right="0" w:hanging="0"/>
              <w:jc w:val="left"/>
            </w:pPr>
            <w: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8378" w:type="dxa"/>
        <w:jc w:val="left"/>
        <w:tblInd w:w="0" w:type="dxa"/>
        <w:tblLayout w:type="fixed"/>
        <w:tblCellMar>
          <w:top w:w="0" w:type="dxa"/>
          <w:left w:w="0" w:type="dxa"/>
          <w:bottom w:w="0" w:type="dxa"/>
          <w:right w:w="0" w:type="dxa"/>
        </w:tblCellMar>
      </w:tblPr>
      <w:tblGrid>
        <w:gridCol w:w="4160"/>
        <w:gridCol w:w="60"/>
        <w:gridCol w:w="424"/>
        <w:gridCol w:w="1350"/>
        <w:gridCol w:w="80"/>
        <w:gridCol w:w="60"/>
        <w:gridCol w:w="401"/>
        <w:gridCol w:w="1748"/>
        <w:gridCol w:w="95"/>
      </w:tblGrid>
      <w:tr>
        <w:tc>
          <w:tcPr>
            <w:tcW w:w="41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24" w:type="dxa"/>
            <w:tcBorders/>
            <w:shd w:fill="FFFFFF" w:val="clear"/>
            <w:vAlign w:val="center"/>
          </w:tcPr>
          <w:p>
            <w:pPr>
              <w:pStyle w:val="TableContents"/>
              <w:bidi w:val="0"/>
              <w:spacing w:before="0" w:after="283"/>
              <w:jc w:val="left"/>
            </w:pPr>
            <w:r>
              <w:t> </w:t>
            </w:r>
          </w:p>
        </w:tc>
        <w:tc>
          <w:tcPr>
            <w:tcW w:w="135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48"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r>
      <w:tr>
        <w:tc>
          <w:tcPr>
            <w:tcW w:w="41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period March 18,</w:t>
            </w:r>
          </w:p>
        </w:tc>
        <w:tc>
          <w:tcPr>
            <w:tcW w:w="95" w:type="dxa"/>
            <w:tcBorders/>
            <w:shd w:fill="FFFFFF" w:val="clear"/>
            <w:vAlign w:val="center"/>
          </w:tcPr>
          <w:p>
            <w:pPr>
              <w:pStyle w:val="TableContents"/>
              <w:bidi w:val="0"/>
              <w:spacing w:before="0" w:after="283"/>
              <w:jc w:val="left"/>
            </w:pPr>
            <w:r>
              <w:t> </w:t>
            </w:r>
          </w:p>
        </w:tc>
      </w:tr>
      <w:tr>
        <w:tc>
          <w:tcPr>
            <w:tcW w:w="41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through</w:t>
            </w:r>
          </w:p>
        </w:tc>
        <w:tc>
          <w:tcPr>
            <w:tcW w:w="95" w:type="dxa"/>
            <w:tcBorders/>
            <w:shd w:fill="FFFFFF" w:val="clear"/>
            <w:vAlign w:val="center"/>
          </w:tcPr>
          <w:p>
            <w:pPr>
              <w:pStyle w:val="TableContents"/>
              <w:bidi w:val="0"/>
              <w:spacing w:before="0" w:after="283"/>
              <w:jc w:val="left"/>
            </w:pPr>
            <w:r>
              <w:t> </w:t>
            </w:r>
          </w:p>
        </w:tc>
      </w:tr>
      <w:tr>
        <w:tc>
          <w:tcPr>
            <w:tcW w:w="41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6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95" w:type="dxa"/>
            <w:tcBorders/>
            <w:shd w:fill="FFFFFF" w:val="clear"/>
            <w:vAlign w:val="center"/>
          </w:tcPr>
          <w:p>
            <w:pPr>
              <w:pStyle w:val="TableContents"/>
              <w:bidi w:val="0"/>
              <w:spacing w:before="0" w:after="283"/>
              <w:jc w:val="left"/>
            </w:pPr>
            <w:r>
              <w:t> </w:t>
            </w:r>
          </w:p>
        </w:tc>
      </w:tr>
      <w:t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Selected Statements of Operations Information</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pPr>
            <w:r>
              <w:t> </w:t>
            </w:r>
          </w:p>
        </w:tc>
        <w:tc>
          <w:tcPr>
            <w:tcW w:w="135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48"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r>
      <w:t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income</w:t>
            </w:r>
          </w:p>
        </w:tc>
        <w:tc>
          <w:tcPr>
            <w:tcW w:w="60" w:type="dxa"/>
            <w:tcBorders/>
            <w:shd w:fill="FFFFFF" w:val="clear"/>
            <w:vAlign w:val="center"/>
          </w:tcPr>
          <w:p>
            <w:pPr>
              <w:pStyle w:val="TableContents"/>
              <w:bidi w:val="0"/>
              <w:spacing w:before="0" w:after="283"/>
              <w:ind w:left="0" w:right="0" w:hanging="0"/>
              <w:jc w:val="left"/>
            </w:pPr>
            <w:r>
              <w:t> </w:t>
            </w:r>
          </w:p>
        </w:tc>
        <w:tc>
          <w:tcPr>
            <w:tcW w:w="4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95" w:type="dxa"/>
            <w:tcBorders/>
            <w:shd w:fill="FFFFFF" w:val="clear"/>
            <w:vAlign w:val="center"/>
          </w:tcPr>
          <w:p>
            <w:pPr>
              <w:pStyle w:val="TableContents"/>
              <w:bidi w:val="0"/>
              <w:spacing w:before="0" w:after="283"/>
              <w:jc w:val="left"/>
            </w:pPr>
            <w:r>
              <w:t> </w:t>
            </w:r>
          </w:p>
        </w:tc>
      </w:tr>
      <w:t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CCEEFF" w:val="clear"/>
            <w:vAlign w:val="center"/>
          </w:tcPr>
          <w:p>
            <w:pPr>
              <w:pStyle w:val="TableContents"/>
              <w:bidi w:val="0"/>
              <w:spacing w:before="0" w:after="283"/>
              <w:ind w:left="0" w:right="0" w:hanging="0"/>
              <w:jc w:val="left"/>
            </w:pPr>
            <w:r>
              <w:t> </w:t>
            </w:r>
          </w:p>
        </w:tc>
        <w:tc>
          <w:tcPr>
            <w:tcW w:w="4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95" w:type="dxa"/>
            <w:tcBorders/>
            <w:shd w:fill="CCEEFF" w:val="clear"/>
            <w:vAlign w:val="center"/>
          </w:tcPr>
          <w:p>
            <w:pPr>
              <w:pStyle w:val="TableContents"/>
              <w:bidi w:val="0"/>
              <w:spacing w:before="0" w:after="283"/>
              <w:jc w:val="left"/>
            </w:pPr>
            <w:r>
              <w:t> </w:t>
            </w:r>
          </w:p>
        </w:tc>
      </w:tr>
      <w:t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loss</w:t>
            </w:r>
          </w:p>
        </w:tc>
        <w:tc>
          <w:tcPr>
            <w:tcW w:w="60" w:type="dxa"/>
            <w:tcBorders/>
            <w:shd w:fill="FFFFFF" w:val="clear"/>
            <w:vAlign w:val="center"/>
          </w:tcPr>
          <w:p>
            <w:pPr>
              <w:pStyle w:val="TableContents"/>
              <w:bidi w:val="0"/>
              <w:spacing w:before="0" w:after="283"/>
              <w:ind w:left="0" w:right="0" w:hanging="0"/>
              <w:jc w:val="left"/>
            </w:pPr>
            <w:r>
              <w:t> </w:t>
            </w:r>
          </w:p>
        </w:tc>
        <w:tc>
          <w:tcPr>
            <w:tcW w:w="4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4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on investments</w:t>
            </w:r>
          </w:p>
        </w:tc>
        <w:tc>
          <w:tcPr>
            <w:tcW w:w="60" w:type="dxa"/>
            <w:tcBorders/>
            <w:shd w:fill="CCEEFF" w:val="clear"/>
            <w:vAlign w:val="center"/>
          </w:tcPr>
          <w:p>
            <w:pPr>
              <w:pStyle w:val="TableContents"/>
              <w:bidi w:val="0"/>
              <w:spacing w:before="0" w:after="283"/>
              <w:jc w:val="left"/>
            </w:pPr>
            <w:r>
              <w:t> </w:t>
            </w:r>
          </w:p>
        </w:tc>
        <w:tc>
          <w:tcPr>
            <w:tcW w:w="4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net assets resulting from operations</w:t>
            </w:r>
          </w:p>
        </w:tc>
        <w:tc>
          <w:tcPr>
            <w:tcW w:w="60" w:type="dxa"/>
            <w:tcBorders/>
            <w:shd w:fill="FFFFFF" w:val="clear"/>
            <w:vAlign w:val="center"/>
          </w:tcPr>
          <w:p>
            <w:pPr>
              <w:pStyle w:val="TableContents"/>
              <w:bidi w:val="0"/>
              <w:spacing w:before="0" w:after="283"/>
              <w:ind w:left="0" w:right="0" w:hanging="0"/>
              <w:jc w:val="left"/>
            </w:pPr>
            <w:r>
              <w:t> </w:t>
            </w:r>
          </w:p>
        </w:tc>
        <w:tc>
          <w:tcPr>
            <w:tcW w:w="4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4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a BDC and a RIC, we are subject to certain constraints on our operations, including limitations imposed by the 1940 Act and the Code. The consolidated results of operations described below may not be indicative of the results we report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Comparison of the three months ended September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consolidated results of operations for the three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7422" w:type="dxa"/>
        <w:jc w:val="left"/>
        <w:tblInd w:w="0" w:type="dxa"/>
        <w:tblLayout w:type="fixed"/>
        <w:tblCellMar>
          <w:top w:w="0" w:type="dxa"/>
          <w:left w:w="0" w:type="dxa"/>
          <w:bottom w:w="0" w:type="dxa"/>
          <w:right w:w="0" w:type="dxa"/>
        </w:tblCellMar>
      </w:tblPr>
      <w:tblGrid>
        <w:gridCol w:w="4970"/>
        <w:gridCol w:w="60"/>
        <w:gridCol w:w="162"/>
        <w:gridCol w:w="903"/>
        <w:gridCol w:w="104"/>
        <w:gridCol w:w="78"/>
        <w:gridCol w:w="162"/>
        <w:gridCol w:w="903"/>
        <w:gridCol w:w="80"/>
      </w:tblGrid>
      <w:tr>
        <w:tc>
          <w:tcPr>
            <w:tcW w:w="4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shd w:fill="FFFFFF" w:val="cle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ind w:left="0" w:right="0" w:hanging="0"/>
              <w:jc w:val="left"/>
            </w:pPr>
            <w:r>
              <w:t> </w:t>
            </w:r>
          </w:p>
        </w:tc>
        <w:tc>
          <w:tcPr>
            <w:tcW w:w="10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pPr>
            <w:r>
              <w:t> </w:t>
            </w:r>
          </w:p>
        </w:tc>
      </w:tr>
      <w:t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income</w:t>
            </w:r>
          </w:p>
        </w:tc>
        <w:tc>
          <w:tcPr>
            <w:tcW w:w="60" w:type="dxa"/>
            <w:tcBorders/>
            <w:shd w:fill="CCEEFF" w:val="clear"/>
            <w:vAlign w:val="center"/>
          </w:tcPr>
          <w:p>
            <w:pPr>
              <w:pStyle w:val="TableContents"/>
              <w:bidi w:val="0"/>
              <w:spacing w:before="0" w:after="283"/>
              <w:ind w:left="0" w:right="0" w:hanging="0"/>
              <w:jc w:val="left"/>
            </w:pPr>
            <w: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24,060</w:t>
            </w:r>
          </w:p>
        </w:tc>
        <w:tc>
          <w:tcPr>
            <w:tcW w:w="104" w:type="dxa"/>
            <w:tcBorders/>
            <w:shd w:fill="CCEEFF" w:val="clear"/>
            <w:vAlign w:val="center"/>
          </w:tcPr>
          <w:p>
            <w:pPr>
              <w:pStyle w:val="TableContents"/>
              <w:bidi w:val="0"/>
              <w:spacing w:before="0" w:after="283"/>
              <w:jc w:val="left"/>
            </w:pPr>
            <w:r>
              <w:t> </w:t>
            </w:r>
          </w:p>
        </w:tc>
        <w:tc>
          <w:tcPr>
            <w:tcW w:w="78" w:type="dxa"/>
            <w:tcBorders/>
            <w:shd w:fill="CCEEFF" w:val="clear"/>
            <w:vAlign w:val="center"/>
          </w:tcPr>
          <w:p>
            <w:pPr>
              <w:pStyle w:val="TableContents"/>
              <w:bidi w:val="0"/>
              <w:spacing w:before="0" w:after="283"/>
              <w:ind w:left="0" w:right="0" w:hanging="0"/>
              <w:jc w:val="left"/>
            </w:pPr>
            <w: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26,318</w:t>
            </w:r>
          </w:p>
        </w:tc>
        <w:tc>
          <w:tcPr>
            <w:tcW w:w="80" w:type="dxa"/>
            <w:tcBorders/>
            <w:shd w:fill="CCEEFF" w:val="cle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pPr>
            <w: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12,518</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jc w:val="left"/>
            </w:pPr>
            <w: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 waived</w:t>
            </w:r>
          </w:p>
        </w:tc>
        <w:tc>
          <w:tcPr>
            <w:tcW w:w="60" w:type="dxa"/>
            <w:tcBorders/>
            <w:shd w:fill="CCEEFF" w:val="clear"/>
            <w:vAlign w:val="center"/>
          </w:tcPr>
          <w:p>
            <w:pPr>
              <w:pStyle w:val="TableContents"/>
              <w:bidi w:val="0"/>
              <w:spacing w:before="0" w:after="0"/>
              <w:ind w:left="0" w:right="0" w:hanging="0"/>
              <w:jc w:val="left"/>
            </w:pPr>
            <w:r>
              <w:t> </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0"/>
              <w:ind w:left="0" w:right="0" w:hanging="0"/>
              <w:jc w:val="left"/>
            </w:pPr>
            <w:r>
              <w:t> </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r>
      <w:t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expenses</w:t>
            </w:r>
          </w:p>
        </w:tc>
        <w:tc>
          <w:tcPr>
            <w:tcW w:w="60" w:type="dxa"/>
            <w:tcBorders/>
            <w:shd w:fill="FFFFFF" w:val="clear"/>
            <w:vAlign w:val="center"/>
          </w:tcPr>
          <w:p>
            <w:pPr>
              <w:pStyle w:val="TableContents"/>
              <w:bidi w:val="0"/>
              <w:spacing w:before="0" w:after="0"/>
              <w:ind w:left="0" w:right="0" w:hanging="0"/>
              <w:jc w:val="left"/>
            </w:pPr>
            <w: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11,518</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8" w:type="dxa"/>
            <w:tcBorders/>
            <w:shd w:fill="FFFFFF" w:val="clear"/>
            <w:vAlign w:val="center"/>
          </w:tcPr>
          <w:p>
            <w:pPr>
              <w:pStyle w:val="TableContents"/>
              <w:bidi w:val="0"/>
              <w:spacing w:before="0" w:after="0"/>
              <w:ind w:left="0" w:right="0" w:hanging="0"/>
              <w:jc w:val="left"/>
            </w:pPr>
            <w: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11,952</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 before excise tax</w:t>
            </w:r>
          </w:p>
        </w:tc>
        <w:tc>
          <w:tcPr>
            <w:tcW w:w="60" w:type="dxa"/>
            <w:tcBorders/>
            <w:shd w:fill="CCEEFF" w:val="clear"/>
            <w:vAlign w:val="center"/>
          </w:tcPr>
          <w:p>
            <w:pPr>
              <w:pStyle w:val="TableContents"/>
              <w:bidi w:val="0"/>
              <w:spacing w:before="0" w:after="283"/>
              <w:jc w:val="left"/>
            </w:pPr>
            <w: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12,542</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8" w:type="dxa"/>
            <w:tcBorders/>
            <w:shd w:fill="CCEEFF" w:val="clear"/>
            <w:vAlign w:val="center"/>
          </w:tcPr>
          <w:p>
            <w:pPr>
              <w:pStyle w:val="TableContents"/>
              <w:bidi w:val="0"/>
              <w:spacing w:before="0" w:after="283"/>
              <w:jc w:val="left"/>
            </w:pPr>
            <w: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excise tax</w:t>
            </w:r>
          </w:p>
        </w:tc>
        <w:tc>
          <w:tcPr>
            <w:tcW w:w="60" w:type="dxa"/>
            <w:tcBorders/>
            <w:shd w:fill="FFFFFF" w:val="clear"/>
            <w:vAlign w:val="center"/>
          </w:tcPr>
          <w:p>
            <w:pPr>
              <w:pStyle w:val="TableContents"/>
              <w:bidi w:val="0"/>
              <w:spacing w:before="0" w:after="283"/>
              <w:jc w:val="left"/>
            </w:pPr>
            <w: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jc w:val="left"/>
            </w:pPr>
            <w: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w:t>
            </w:r>
          </w:p>
        </w:tc>
        <w:tc>
          <w:tcPr>
            <w:tcW w:w="60" w:type="dxa"/>
            <w:tcBorders/>
            <w:shd w:fill="CCEEFF" w:val="clear"/>
            <w:vAlign w:val="center"/>
          </w:tcPr>
          <w:p>
            <w:pPr>
              <w:pStyle w:val="TableContents"/>
              <w:bidi w:val="0"/>
              <w:spacing w:before="0" w:after="283"/>
              <w:jc w:val="left"/>
            </w:pPr>
            <w: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12,277</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8" w:type="dxa"/>
            <w:tcBorders/>
            <w:shd w:fill="CCEEFF" w:val="clear"/>
            <w:vAlign w:val="center"/>
          </w:tcPr>
          <w:p>
            <w:pPr>
              <w:pStyle w:val="TableContents"/>
              <w:bidi w:val="0"/>
              <w:spacing w:before="0" w:after="283"/>
              <w:jc w:val="left"/>
            </w:pPr>
            <w: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w:t>
            </w:r>
          </w:p>
        </w:tc>
        <w:tc>
          <w:tcPr>
            <w:tcW w:w="60" w:type="dxa"/>
            <w:tcBorders/>
            <w:shd w:fill="FFFFFF" w:val="clear"/>
            <w:vAlign w:val="center"/>
          </w:tcPr>
          <w:p>
            <w:pPr>
              <w:pStyle w:val="TableContents"/>
              <w:bidi w:val="0"/>
              <w:spacing w:before="0" w:after="283"/>
              <w:jc w:val="left"/>
            </w:pPr>
            <w:r>
              <w:t> </w:t>
            </w:r>
          </w:p>
        </w:tc>
        <w:tc>
          <w:tcPr>
            <w:tcW w:w="162" w:type="dxa"/>
            <w:tcBorders/>
            <w:shd w:fill="FFFFFF" w:val="clear"/>
            <w:vAlign w:val="center"/>
          </w:tcPr>
          <w:p>
            <w:pPr>
              <w:pStyle w:val="TableContents"/>
              <w:bidi w:val="0"/>
              <w:spacing w:before="0" w:after="283"/>
              <w:ind w:left="0" w:right="0" w:hanging="0"/>
              <w:jc w:val="left"/>
            </w:pPr>
            <w: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(11,322</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pPr>
            <w:r>
              <w:t> </w:t>
            </w:r>
          </w:p>
        </w:tc>
        <w:tc>
          <w:tcPr>
            <w:tcW w:w="162" w:type="dxa"/>
            <w:tcBorders/>
            <w:shd w:fill="FFFFFF" w:val="clear"/>
            <w:vAlign w:val="center"/>
          </w:tcPr>
          <w:p>
            <w:pPr>
              <w:pStyle w:val="TableContents"/>
              <w:bidi w:val="0"/>
              <w:spacing w:before="0" w:after="283"/>
              <w:ind w:left="0" w:right="0" w:hanging="0"/>
              <w:jc w:val="left"/>
            </w:pPr>
            <w: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appreciation on investments</w:t>
            </w:r>
          </w:p>
        </w:tc>
        <w:tc>
          <w:tcPr>
            <w:tcW w:w="60" w:type="dxa"/>
            <w:tcBorders/>
            <w:shd w:fill="CCEEFF" w:val="clear"/>
            <w:vAlign w:val="center"/>
          </w:tcPr>
          <w:p>
            <w:pPr>
              <w:pStyle w:val="TableContents"/>
              <w:bidi w:val="0"/>
              <w:spacing w:before="0" w:after="283"/>
              <w:jc w:val="left"/>
            </w:pPr>
            <w: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(29,191</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pPr>
            <w: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net assets resulting from operations</w:t>
            </w:r>
          </w:p>
        </w:tc>
        <w:tc>
          <w:tcPr>
            <w:tcW w:w="60" w:type="dxa"/>
            <w:tcBorders/>
            <w:shd w:fill="FFFF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(28,236</w:t>
            </w:r>
          </w:p>
        </w:tc>
        <w:tc>
          <w:tcPr>
            <w:tcW w:w="104" w:type="dxa"/>
            <w:tcBorders>
              <w:bottom w:val="double" w:sz="6" w:space="0" w:color="000000"/>
            </w:tcBorders>
            <w:shd w:fill="FFFFFF" w:val="clear"/>
            <w:tcMar>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30,722</w:t>
            </w:r>
          </w:p>
        </w:tc>
        <w:tc>
          <w:tcPr>
            <w:tcW w:w="80" w:type="dxa"/>
            <w:tcBorders>
              <w:bottom w:val="double" w:sz="6" w:space="0" w:color="000000"/>
            </w:tcBorders>
            <w:shd w:fill="FFFFFF" w:val="clear"/>
            <w:tcMar>
              <w:bottom w:w="45" w:type="dxa"/>
            </w:tcMar>
            <w:vAlign w:val="center"/>
          </w:tcPr>
          <w:p>
            <w:pPr>
              <w:pStyle w:val="TableContents"/>
              <w:bidi w:val="0"/>
              <w:spacing w:before="0" w:after="283"/>
              <w:jc w:val="left"/>
            </w:pPr>
            <w:r>
              <w:t> </w:t>
            </w:r>
          </w:p>
        </w:tc>
      </w:tr>
      <w:t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debt investments, at fair value</w:t>
            </w:r>
          </w:p>
        </w:tc>
        <w:tc>
          <w:tcPr>
            <w:tcW w:w="60" w:type="dxa"/>
            <w:tcBorders/>
            <w:shd w:fill="CCEE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643,061</w:t>
            </w:r>
          </w:p>
        </w:tc>
        <w:tc>
          <w:tcPr>
            <w:tcW w:w="104" w:type="dxa"/>
            <w:tcBorders>
              <w:bottom w:val="double" w:sz="6" w:space="0" w:color="000000"/>
            </w:tcBorders>
            <w:shd w:fill="CCEEFF" w:val="clear"/>
            <w:tcMar>
              <w:bottom w:w="45" w:type="dxa"/>
            </w:tcMar>
            <w:vAlign w:val="center"/>
          </w:tcPr>
          <w:p>
            <w:pPr>
              <w:pStyle w:val="TableContents"/>
              <w:bidi w:val="0"/>
              <w:spacing w:before="0" w:after="283"/>
              <w:jc w:val="left"/>
            </w:pPr>
            <w:r>
              <w:t> </w:t>
            </w:r>
          </w:p>
        </w:tc>
        <w:tc>
          <w:tcPr>
            <w:tcW w:w="78" w:type="dxa"/>
            <w:tcBorders/>
            <w:shd w:fill="CCEE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559,583</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earning debt investments</w:t>
            </w:r>
          </w:p>
        </w:tc>
        <w:tc>
          <w:tcPr>
            <w:tcW w:w="60" w:type="dxa"/>
            <w:tcBorders/>
            <w:shd w:fill="FFFF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644,391</w:t>
            </w:r>
          </w:p>
        </w:tc>
        <w:tc>
          <w:tcPr>
            <w:tcW w:w="104" w:type="dxa"/>
            <w:tcBorders>
              <w:bottom w:val="double" w:sz="6" w:space="0" w:color="000000"/>
            </w:tcBorders>
            <w:shd w:fill="FFFFFF" w:val="clear"/>
            <w:tcMar>
              <w:bottom w:w="45" w:type="dxa"/>
            </w:tcM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563,640</w:t>
            </w:r>
          </w:p>
        </w:tc>
        <w:tc>
          <w:tcPr>
            <w:tcW w:w="80" w:type="dxa"/>
            <w:tcBorders>
              <w:bottom w:val="double" w:sz="6" w:space="0" w:color="000000"/>
            </w:tcBorders>
            <w:shd w:fill="FFFFFF" w:val="clear"/>
            <w:tcMar>
              <w:bottom w:w="45" w:type="dxa"/>
            </w:tcMar>
            <w:vAlign w:val="center"/>
          </w:tcPr>
          <w:p>
            <w:pPr>
              <w:pStyle w:val="TableContents"/>
              <w:bidi w:val="0"/>
              <w:spacing w:before="0" w:after="283"/>
              <w:jc w:val="left"/>
            </w:pPr>
            <w:r>
              <w:t> </w:t>
            </w:r>
          </w:p>
        </w:tc>
      </w:tr>
      <w:t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gross assets less cash</w:t>
            </w:r>
          </w:p>
        </w:tc>
        <w:tc>
          <w:tcPr>
            <w:tcW w:w="60" w:type="dxa"/>
            <w:tcBorders/>
            <w:shd w:fill="CCEE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690,961</w:t>
            </w:r>
          </w:p>
        </w:tc>
        <w:tc>
          <w:tcPr>
            <w:tcW w:w="104" w:type="dxa"/>
            <w:tcBorders>
              <w:bottom w:val="double" w:sz="6" w:space="0" w:color="000000"/>
            </w:tcBorders>
            <w:shd w:fill="CCEEFF" w:val="clear"/>
            <w:tcMar>
              <w:bottom w:w="45" w:type="dxa"/>
            </w:tcMar>
            <w:vAlign w:val="center"/>
          </w:tcPr>
          <w:p>
            <w:pPr>
              <w:pStyle w:val="TableContents"/>
              <w:bidi w:val="0"/>
              <w:spacing w:before="0" w:after="283"/>
              <w:jc w:val="left"/>
            </w:pPr>
            <w:r>
              <w:t> </w:t>
            </w:r>
          </w:p>
        </w:tc>
        <w:tc>
          <w:tcPr>
            <w:tcW w:w="78" w:type="dxa"/>
            <w:tcBorders/>
            <w:shd w:fill="CCEE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624,591</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pPr>
            <w:r>
              <w:t> </w:t>
            </w:r>
          </w:p>
        </w:tc>
      </w:tr>
      <w:t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borrowings outstanding</w:t>
            </w:r>
          </w:p>
        </w:tc>
        <w:tc>
          <w:tcPr>
            <w:tcW w:w="60" w:type="dxa"/>
            <w:tcBorders/>
            <w:shd w:fill="FFFF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405,200</w:t>
            </w:r>
          </w:p>
        </w:tc>
        <w:tc>
          <w:tcPr>
            <w:tcW w:w="104" w:type="dxa"/>
            <w:tcBorders>
              <w:bottom w:val="double" w:sz="6" w:space="0" w:color="000000"/>
            </w:tcBorders>
            <w:shd w:fill="FFFFFF" w:val="clear"/>
            <w:tcMar>
              <w:bottom w:w="45" w:type="dxa"/>
            </w:tcM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ind w:left="0" w:right="0" w:hanging="0"/>
              <w:jc w:val="left"/>
            </w:pPr>
            <w: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422,797</w:t>
            </w:r>
          </w:p>
        </w:tc>
        <w:tc>
          <w:tcPr>
            <w:tcW w:w="80" w:type="dxa"/>
            <w:tcBorders>
              <w:bottom w:val="double" w:sz="6" w:space="0" w:color="000000"/>
            </w:tcBorders>
            <w:shd w:fill="FFFFFF" w:val="clear"/>
            <w:tcMar>
              <w:bottom w:w="45"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(decrease) increase in net assets resulting from operations can vary substantially from period to period for various reasons, including, without limitation, the recognition of realized gains and losses and unrealized appreciation and depreciation on investments. As a result, quarterly comparisons of net decrease in net assets resulting from operations may not be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Total investment income decreased by $2.3 million, or 8.6%, to $24.1 million for the three months ended September 30, 2026 as compared to the three months ended September 30, 2025. For the three months ended September 30, 2026, total investment income consisted primarily of (1) $22.0 million in interest income from investments, which included $3.5 million in income from the accretion of origination fees and end of term payments and $0.8 million in PIK interest income and (2) $2.1 million in fee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on debt investments decreased by $2.3 million, or 9.6%, to $22.0 million, for the three months ended September 30, 2026 compared to the three months ended September 30, 2025. Interest income on debt investments for the three months ended September 30, 2026 as compared to the three months ended September 30, 2025 decreased primarily due to the recognition and capitalization of accrued, but previously unrecorded, interest income in connection with the settlement of two debt investments previously on non-accrual status during the three months ended September 30, 2025, partially offset by higher interest income due to an increase of $80.8 million, or 14.3%, in our average earning debt investments. The proportion of total investment income that resulted from the portion of ETPs not received in cash for the three months ended September 30, 2026 and 2025 was 1.5% and 3.5%, respectively. The decrease in the proportion of total investment income that resulted from the portion of ETPs not received in cash was a result of an increase in prepayments for the three months ended September 30, 2026 compared to the three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PIK interest income increased by $0.2 million, or 24.8%, to $0.8 million for the three months ended September 30, 2026 compared to the three months ended  September 30, 2025. For the three months ended September 30, 2026 and 2025, 3.4% and 2.5%, respectively, of total investment income was attributable to non-cash PIK interest income. The increase in PIK interest income as a percentage of total investment income was primarily due to an increase in earning assets that contain a PIK feature for the three months ended September 30, 2026 compared to the three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Fee income, which includes success fee, other fee and prepayment fee income on debt investments, increased by $0.1 million, or 3.1%, to $2.1 million for the three months ended September 30, 2026 compared to the three months ended September 30, 2025 primarily due to a higher aggregate amount of principal prepayments for the three months ended September 30, 2026 compared to the three months ended September 30,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our dollar-weighted annualized yield for the three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4256" w:type="dxa"/>
        <w:jc w:val="left"/>
        <w:tblInd w:w="0" w:type="dxa"/>
        <w:tblLayout w:type="fixed"/>
        <w:tblCellMar>
          <w:top w:w="0" w:type="dxa"/>
          <w:left w:w="0" w:type="dxa"/>
          <w:bottom w:w="0" w:type="dxa"/>
          <w:right w:w="0" w:type="dxa"/>
        </w:tblCellMar>
      </w:tblPr>
      <w:tblGrid>
        <w:gridCol w:w="1700"/>
        <w:gridCol w:w="60"/>
        <w:gridCol w:w="123"/>
        <w:gridCol w:w="781"/>
        <w:gridCol w:w="380"/>
        <w:gridCol w:w="123"/>
        <w:gridCol w:w="123"/>
        <w:gridCol w:w="781"/>
        <w:gridCol w:w="185"/>
      </w:tblGrid>
      <w:tr>
        <w:tc>
          <w:tcPr>
            <w:tcW w:w="17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11"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185" w:type="dxa"/>
            <w:tcBorders/>
            <w:shd w:fill="FFFFFF" w:val="clear"/>
            <w:vAlign w:val="center"/>
          </w:tcPr>
          <w:p>
            <w:pPr>
              <w:pStyle w:val="TableContents"/>
              <w:bidi w:val="0"/>
              <w:spacing w:before="0" w:after="283"/>
              <w:jc w:val="left"/>
            </w:pPr>
            <w:r>
              <w:t> </w:t>
            </w:r>
          </w:p>
        </w:tc>
      </w:tr>
      <w:tr>
        <w:tc>
          <w:tcPr>
            <w:tcW w:w="17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pPr>
            <w:r>
              <w:t> </w:t>
            </w:r>
          </w:p>
        </w:tc>
      </w:tr>
      <w:tr>
        <w:tc>
          <w:tcPr>
            <w:tcW w:w="17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 type:</w:t>
            </w:r>
          </w:p>
        </w:tc>
        <w:tc>
          <w:tcPr>
            <w:tcW w:w="60" w:type="dxa"/>
            <w:tcBorders/>
            <w:shd w:fill="FFFFFF" w:val="clear"/>
            <w:vAlign w:val="center"/>
          </w:tcPr>
          <w:p>
            <w:pPr>
              <w:pStyle w:val="TableContents"/>
              <w:bidi w:val="0"/>
              <w:spacing w:before="0" w:after="283"/>
              <w:ind w:left="0" w:right="0" w:hanging="0"/>
              <w:jc w:val="left"/>
            </w:pPr>
            <w: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80"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r>
      <w:tr>
        <w:tc>
          <w:tcPr>
            <w:tcW w:w="170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investments (1)</w:t>
            </w:r>
          </w:p>
        </w:tc>
        <w:tc>
          <w:tcPr>
            <w:tcW w:w="60"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70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investments (1)</w:t>
            </w:r>
          </w:p>
        </w:tc>
        <w:tc>
          <w:tcPr>
            <w:tcW w:w="60"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96"/>
        <w:gridCol w:w="10009"/>
      </w:tblGrid>
      <w:t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Investment income, consisting of interest income and fees on debt investments, can fluctuate significantly upon repayment of large debt investments. Interest income from the five largest debt investments at cost in the aggregate accounted for 26% and 17% of investment income for the three months ended September 30, 2026 and 2025, respectively. Interest income from the five largest debt investments at fair value in the aggregate accounted for 26% and 21% of investment income for the three months ended September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Total net expenses decreased by $0.4 million, or 3.6%, to $11.5 million for the three months ended September 30, 2026 as compared to the three months ended September 30, 2025. Total expenses for each period consisted of interest expense, base management fee, incentive and administrative fees, professional fees and general and administrative expenses. For the three months ended September 30, 2026, transaction costs directly attributable to the Merger were included in total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decreased by $0.1 million, or 1.1%, to $7.8 million for the three months ended September 30, 2026 as compared to the three months ended September 30, 2025. Interest expense, which includes the amortization of debt issuance costs, decreased primarily due to a decrease in average borrowings for the three months ended September 30, 2026 of $17.6 million, or 4.2%, as compared to the three months ended September 30, 2025, partially offset by an increase in our effective cost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April 14, 2026, we completed our previously announced merger with MRCC, the Merger Sub, Monroe Capital BDC Advisors, LLC, and our Advisor, pursuant to the Merger Agreement. In connection with the Merger, our Advisor agreed to waive $4.0 million of base management fees and/or incentive fees due and payable to our Advisor pursuant to the terms of the Investment Management Agreement at the rate of $1.0 million per quarter commencing with our third fiscal quarter of 2026 (the “Fee Waiver”). During the three months ended September 30, 2026, our Advisor waived $1.0 million of base management fee in connection with the Fee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Base management fee expense, net of waiver, decreased by $0.7 million, or 26.7%, to $2.0 million for the three months ended September 30, 2026 as compared to the three months ended September 30, 2025. Base management fee decreased primarily due to the Fee Waiver, partially offset by an increase of $66.4 million, or 10.6%, in average gross assets less cash for the three months ended September 30, 2026 as compared to the three months ended September 30,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was no performance based incentive fee expense for three months ended September 30, 2026 and 2025. The incentive fee on pre-incentive fee net investment income was subject to an Incentive Fee Cap and Deferral Mechanism in our Investment Management Agreement of $2.5 million for the three months ended September 30, 2026 compared to an Incentive Fee Cap of $2.8 million for the three months ended September 30, 2025. The Incentive Fee Cap and Deferral Mechanism resulted in $2.5 million and $2.8 million of reduced incentive fee expense and increased net investment income for the three months ended September 30, 2026 and 2025, respectively. The incentive fee on pre-incentive fee net investment income was subject to the Incentive Fee Cap for the three months ended September 30, 2026 due to the cumulative incentive fees paid exceeding 20% of cumulative pre-incentive fee net return during the applicable quarter and the 11 preceding full calendar 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Expenses related to the Merger were $0.05 million for the three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Administrative fee expense, professional fees and general and administrative expenses were $1.6 million and $1.3 million for the three months ended September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realized gains and losses and net unrealized appreciation and depreciation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During the three months ended </w:t>
      </w:r>
      <w:r>
        <w:rPr>
          <w:rFonts w:ascii="Times New Roman" w:hAnsi="Times New Roman"/>
          <w:caps w:val="false"/>
          <w:smallCaps w:val="false"/>
          <w:sz w:val="20"/>
        </w:rPr>
        <w:t>September 30, 2026</w:t>
      </w:r>
      <w:r>
        <w:rPr>
          <w:rFonts w:ascii="Times New Roman" w:hAnsi="Times New Roman"/>
          <w:caps w:val="false"/>
          <w:smallCaps w:val="false"/>
          <w:sz w:val="20"/>
          <w:shd w:fill="FFFFFF" w:val="clear"/>
        </w:rPr>
        <w:t xml:space="preserve">, we realized net </w:t>
      </w:r>
      <w:r>
        <w:rPr>
          <w:rFonts w:ascii="Times New Roman" w:hAnsi="Times New Roman"/>
          <w:caps w:val="false"/>
          <w:smallCaps w:val="false"/>
          <w:sz w:val="20"/>
        </w:rPr>
        <w:t>losses</w:t>
      </w:r>
      <w:r>
        <w:rPr>
          <w:rFonts w:ascii="Times New Roman" w:hAnsi="Times New Roman"/>
          <w:caps w:val="false"/>
          <w:smallCaps w:val="false"/>
          <w:sz w:val="20"/>
          <w:shd w:fill="FFFFFF" w:val="clear"/>
        </w:rPr>
        <w:t> on investments totaling </w:t>
      </w:r>
      <w:r>
        <w:rPr>
          <w:rFonts w:ascii="Times New Roman" w:hAnsi="Times New Roman"/>
          <w:caps w:val="false"/>
          <w:smallCaps w:val="false"/>
          <w:sz w:val="20"/>
        </w:rPr>
        <w:t>$11.3</w:t>
      </w:r>
      <w:r>
        <w:rPr>
          <w:rFonts w:ascii="Times New Roman" w:hAnsi="Times New Roman"/>
          <w:caps w:val="false"/>
          <w:smallCaps w:val="false"/>
          <w:sz w:val="20"/>
          <w:shd w:fill="FFFFFF" w:val="clear"/>
        </w:rPr>
        <w:t> million primarily due to the settlement of one of our equity investments</w:t>
      </w:r>
      <w:r>
        <w:rPr>
          <w:rFonts w:ascii="Times New Roman" w:hAnsi="Times New Roman"/>
          <w:caps w:val="false"/>
          <w:smallCaps w:val="false"/>
          <w:sz w:val="20"/>
        </w:rPr>
        <w:t>. During the three months ended September 30, 2025, we realized net losses on investments totaling $22.5 million primarily due to (1) the settlement of two equity investments and two investments we categorize as other investments (investments not consisting of debt, equity or warrant investments) and (2) the realization of two warrant investments. During the same period, we converted $4.8 million in outstanding principal of the 2031 Convertible Notes which resulted in a realized loss on extinguishment of debt of $0.4 million. During the same period, we elected to exercise our option to redeem the outstanding balance of our 2022 Asset-Backed Notes (as defined below) which resulted in a realized loss on debt extinguishment of $0.9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2026, net unrealized depreciation on investments totaled $29.2 million which was primarily due to the unrealized depreciation on five of our debt investments, two of our equity investments and our warrant investments, partially offset by the reversal of previously recorded unrealized depreciation from the settlement of one of our equity investments. During the three months ended September 30, 2025, net unrealized appreciation on investments totaled $40.5 million which was primarily due to (1) the unrealized appreciation on three debt investments and one equity investment, (2) the reversal of previously recorded unrealized depreciation from the settlement of two other investments and two equity investments and (3) the unrealized appreciation on the acquisition of debt investments partially offset by (1) the unrealized depreciation of one debt investment, two other investments and two equity investments and (4) the reversal of previously recorded unrealized appreciation from the realization of two warrant investments.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Comparison of the nine months ended September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consolidated results of operations for the nine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6522" w:type="dxa"/>
        <w:jc w:val="left"/>
        <w:tblInd w:w="0" w:type="dxa"/>
        <w:tblLayout w:type="fixed"/>
        <w:tblCellMar>
          <w:top w:w="0" w:type="dxa"/>
          <w:left w:w="0" w:type="dxa"/>
          <w:bottom w:w="0" w:type="dxa"/>
          <w:right w:w="0" w:type="dxa"/>
        </w:tblCellMar>
      </w:tblPr>
      <w:tblGrid>
        <w:gridCol w:w="4145"/>
        <w:gridCol w:w="60"/>
        <w:gridCol w:w="157"/>
        <w:gridCol w:w="874"/>
        <w:gridCol w:w="100"/>
        <w:gridCol w:w="75"/>
        <w:gridCol w:w="157"/>
        <w:gridCol w:w="874"/>
        <w:gridCol w:w="80"/>
      </w:tblGrid>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3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w:t>
            </w:r>
          </w:p>
        </w:tc>
        <w:tc>
          <w:tcPr>
            <w:tcW w:w="80" w:type="dxa"/>
            <w:tcBorders/>
            <w:shd w:fill="FFFF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3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pPr>
            <w: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income</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73,184</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75,354</w:t>
            </w:r>
          </w:p>
        </w:tc>
        <w:tc>
          <w:tcPr>
            <w:tcW w:w="80" w:type="dxa"/>
            <w:tcBorders/>
            <w:shd w:fill="CCEEFF" w:val="cle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44,746</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38,069</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 waived</w:t>
            </w:r>
          </w:p>
        </w:tc>
        <w:tc>
          <w:tcPr>
            <w:tcW w:w="60" w:type="dxa"/>
            <w:tcBorders/>
            <w:shd w:fill="CCEEFF" w:val="clear"/>
            <w:vAlign w:val="center"/>
          </w:tcPr>
          <w:p>
            <w:pPr>
              <w:pStyle w:val="TableContents"/>
              <w:bidi w:val="0"/>
              <w:spacing w:before="0" w:after="0"/>
              <w:ind w:left="0" w:right="0" w:hanging="0"/>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0"/>
              <w:ind w:left="0" w:right="0" w:hanging="0"/>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expenses</w:t>
            </w:r>
          </w:p>
        </w:tc>
        <w:tc>
          <w:tcPr>
            <w:tcW w:w="60" w:type="dxa"/>
            <w:tcBorders/>
            <w:shd w:fill="FFFFFF" w:val="clear"/>
            <w:vAlign w:val="center"/>
          </w:tcPr>
          <w:p>
            <w:pPr>
              <w:pStyle w:val="TableContents"/>
              <w:bidi w:val="0"/>
              <w:spacing w:before="0" w:after="0"/>
              <w:ind w:left="0" w:right="0" w:hanging="0"/>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43,746</w:t>
            </w:r>
          </w:p>
        </w:tc>
        <w:tc>
          <w:tcPr>
            <w:tcW w:w="1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5" w:type="dxa"/>
            <w:tcBorders/>
            <w:shd w:fill="FFFFFF" w:val="clear"/>
            <w:vAlign w:val="center"/>
          </w:tcPr>
          <w:p>
            <w:pPr>
              <w:pStyle w:val="TableContents"/>
              <w:bidi w:val="0"/>
              <w:spacing w:before="0" w:after="0"/>
              <w:ind w:left="0" w:right="0" w:hanging="0"/>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38,069</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 before excise tax</w:t>
            </w:r>
          </w:p>
        </w:tc>
        <w:tc>
          <w:tcPr>
            <w:tcW w:w="60"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29,438</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excise tax</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p>
        </w:tc>
        <w:tc>
          <w:tcPr>
            <w:tcW w:w="80" w:type="dxa"/>
            <w:tcBorders/>
            <w:shd w:fill="FFFFFF" w:val="clear"/>
            <w:vAlign w:val="center"/>
          </w:tcPr>
          <w:p>
            <w:pPr>
              <w:pStyle w:val="TableContents"/>
              <w:bidi w:val="0"/>
              <w:spacing w:before="0" w:after="283"/>
              <w:jc w:val="left"/>
            </w:pPr>
            <w: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w:t>
            </w:r>
          </w:p>
        </w:tc>
        <w:tc>
          <w:tcPr>
            <w:tcW w:w="60"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28,641</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loss</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(19,037</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depreciation on investments</w:t>
            </w:r>
          </w:p>
        </w:tc>
        <w:tc>
          <w:tcPr>
            <w:tcW w:w="60"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(72,324</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net assets resulting from operations</w:t>
            </w:r>
          </w:p>
        </w:tc>
        <w:tc>
          <w:tcPr>
            <w:tcW w:w="60"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(62,720</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debt investments, at fair value</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643,190</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607,885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earning debt investments</w:t>
            </w:r>
          </w:p>
        </w:tc>
        <w:tc>
          <w:tcPr>
            <w:tcW w:w="60"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642,554</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607,930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gross assets less cash</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710,915</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678,146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borrowings outstanding</w:t>
            </w:r>
          </w:p>
        </w:tc>
        <w:tc>
          <w:tcPr>
            <w:tcW w:w="60"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420,207</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decrease in net assets resulting from operations can vary substantially from period to period for various reasons, including, without limitation, the recognition of realized gains and losses and unrealized appreciation and depreciation on investments. As a result, quarterly comparisons of net decrease in net assets resulting from operations may not be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Total investment income decreased by $2.2 million, or 2.9%, to $73.2 million for the nine months ended September 30, 2026 as compared to the nine months ended September 30, 2025. For the nine months ended September 30, 2026, total investment income consisted primarily of (1) $69.0 million in interest income from investments, which included $13.9 million in income from the accretion of origination fees and end of term payments and $3.7 million in PIK interest income and (2) $4.2 million in fee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on debt investments decreased by $1.4 million, or 2.0%, to $69.0 million, for the nine months ended September 30, 2026 compared to the nine months ended September 30, 2025. Interest income on debt investments for the nine months ended September 30, 2026 as compared to the nine months ended September 30, 2025 decreased primarily due to the recognition and capitalization of accrued, but previously unrecorded, interest income in connection with the settlement of two debt investments previously on non-accrual status during the nine months ended September 30, 2025 partially offset by an increase of $34.6 million, or 5.7%, in our average earning debt investments. The proportion of total investment income that resulted from the portion of ETPs not received in cash for the nine months ended September 30, 2026 and 2025 was 4.0% and 3.6%, respectively. The increase in the proportion of total investment income that resulted from the portion of ETPs not received in cash was a result of an increase in accretion of final payments for the nine months ended September 30, 2026 compared to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PIK interest income increased by $2.5 million, or 208.2%, to $3.7 million for the nine months ended September 30, 2026 compared to the nine months ended September 30, 2025. For the nine months ended September 30, 2026 and 2025, 5.0% and 1.6%, respectively, of total investment income was attributable to non-cash PIK interest income. The increase in PIK interest income as a percentage of total investment income was primarily due to an increase in earning assets that contain a PIK feature for the nine months ended September 30, 2026 compared to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Fee income, which includes success fee, other fee and prepayment fee income on debt investments, decreased by $0.8 million, or 15.5%, to $4.2 million for the nine months ended September 30, 2026 compared to the nine months ended September 30, 2025 primarily due to a lower aggregate amount of principal prepayments for the nine months ended September 30, 2026 compared to the nine months ended September 30,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our dollar-weighted annualized yield for the nine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4182" w:type="dxa"/>
        <w:jc w:val="left"/>
        <w:tblInd w:w="0" w:type="dxa"/>
        <w:tblLayout w:type="fixed"/>
        <w:tblCellMar>
          <w:top w:w="0" w:type="dxa"/>
          <w:left w:w="0" w:type="dxa"/>
          <w:bottom w:w="0" w:type="dxa"/>
          <w:right w:w="0" w:type="dxa"/>
        </w:tblCellMar>
      </w:tblPr>
      <w:tblGrid>
        <w:gridCol w:w="1700"/>
        <w:gridCol w:w="60"/>
        <w:gridCol w:w="119"/>
        <w:gridCol w:w="756"/>
        <w:gridCol w:w="368"/>
        <w:gridCol w:w="119"/>
        <w:gridCol w:w="119"/>
        <w:gridCol w:w="756"/>
        <w:gridCol w:w="185"/>
      </w:tblGrid>
      <w:tr>
        <w:tc>
          <w:tcPr>
            <w:tcW w:w="17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3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w:t>
            </w:r>
          </w:p>
        </w:tc>
        <w:tc>
          <w:tcPr>
            <w:tcW w:w="185" w:type="dxa"/>
            <w:tcBorders/>
            <w:shd w:fill="FFFFFF" w:val="clear"/>
            <w:vAlign w:val="center"/>
          </w:tcPr>
          <w:p>
            <w:pPr>
              <w:pStyle w:val="TableContents"/>
              <w:bidi w:val="0"/>
              <w:spacing w:before="0" w:after="283"/>
              <w:jc w:val="left"/>
            </w:pPr>
            <w:r>
              <w:t> </w:t>
            </w:r>
          </w:p>
        </w:tc>
      </w:tr>
      <w:tr>
        <w:tc>
          <w:tcPr>
            <w:tcW w:w="17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7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 type:</w:t>
            </w:r>
          </w:p>
        </w:tc>
        <w:tc>
          <w:tcPr>
            <w:tcW w:w="60" w:type="dxa"/>
            <w:tcBorders/>
            <w:shd w:fill="FFFFFF" w:val="clear"/>
            <w:vAlign w:val="center"/>
          </w:tcPr>
          <w:p>
            <w:pPr>
              <w:pStyle w:val="TableContents"/>
              <w:bidi w:val="0"/>
              <w:spacing w:before="0" w:after="283"/>
              <w:ind w:left="0" w:right="0" w:hanging="0"/>
              <w:jc w:val="left"/>
            </w:pPr>
            <w: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6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70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investments (1)</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70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investments (1)</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96"/>
        <w:gridCol w:w="10009"/>
      </w:tblGrid>
      <w:t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Investment income, consisting of interest income and fees on debt investments, can fluctuate significantly upon repayment of large debt investments. Interest income from the five largest debt investments at cost in the aggregate accounted for 25% and 17% of investment income for the nine months ended September 30, 2026 and 2025, respectively. Interest income from the five largest debt investments at fair value in the aggregate accounted for 25% and 20% of investment income for the nine months ended September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Total net expenses increased by $5.7 million, or 14.9%, to $43.7 million for the nine months ended September 30, 2026 as compared to the nine months ended September 30, 2025. Total expenses for each period consisted of interest expense, base management fee, incentive and administrative fees, professional fees and general and administrative expenses. For the nine months ended September 30, 2026, transaction costs directly attributable to the Merger were included in total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decreased by $1.0 million, or 4.0%, to $23.8 million for the nine months ended September 30, 2026 as compared to the nine months ended September 30, 2025. Interest expense, which includes the amortization of debt issuance costs, decreased primarily due to a decrease in average borrowings for the nine months ended September 30, 2026 of $23.1 million, or 5.2%, as compared to the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April 14, 2026, we completed our previously announced merger with MRCC, the Merger Sub, Monroe Capital BDC Advisors, LLC, and our Advisor, pursuant to the Merger Agreement. In connection with the Merger, our Advisor agreed to the Fee Waiver. During the nine months ended September 30, 2026, our Advisor waived $1.0 million of base management fee in connection with the Fee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Base management fee expense, net of waiver, decreased by $0.6 million, or 6.8%, to $8.3 million for the nine months ended September 30, 2026 as compared to the nine months ended September 30, 2025. Base management fee decreased primarily due to the Fee Waiver, partially offset by an increase of $32.8 million, or 4.8%, in average gross assets less cash for the nine months ended September 30, 2026 as compared to the nine months ended September 30,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shd w:fill="FFFFFF" w:val="clear"/>
        </w:rPr>
        <w:t>P</w:t>
      </w:r>
      <w:r>
        <w:rPr>
          <w:rFonts w:ascii="Times New Roman" w:hAnsi="Times New Roman"/>
          <w:caps w:val="false"/>
          <w:smallCaps w:val="false"/>
          <w:sz w:val="20"/>
        </w:rPr>
        <w:t>erformance based incentive fee expense increased by $1.8 million to $1.8 million for the nine months ended September 30, 2026 as compared to the nine months ended September 30, 2025. There was no performance based incentive fee expense for nine months ended September 30, 2025. This increase was due to an Incentive Fee Cap calculated based on the Incentive Fee Cap and Deferral Mechanism in our Investment Management Agreement of $3.2 million for the nine months ended September 30, 2026 compared to an Incentive Fee Cap of $7.2 million for the nine months ended September 30, 2025. The Incentive Fee Cap and Deferral Mechanism resulted in $3.2 million and $7.2 million of reduced incentive fee expense and increased net investment income for the nine months ended September 30, 2026 and 2025, respectively. The incentive fee on pre-incentive fee net investment income was subject to the Incentive Fee Cap for the nine months ended September 30, 2026 due to the cumulative incentive fees paid exceeding 20% of cumulative pre-incentive fee net return during the applicable quarter and the 11 preceding full calendar 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Expenses related to the Merger were $4.5 million for the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Administrative fee expense, professional fees and general and administrative expenses were $5.4 million and $4.4 million for the nine months ended September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225" w:right="0" w:hanging="0"/>
        <w:jc w:val="left"/>
        <w:rPr>
          <w:rFonts w:ascii="Times New Roman" w:hAnsi="Times New Roman"/>
          <w:b/>
          <w:i/>
          <w:sz w:val="20"/>
        </w:rPr>
      </w:pPr>
      <w:r>
        <w:rPr>
          <w:rFonts w:ascii="Times New Roman" w:hAnsi="Times New Roman"/>
          <w:b/>
          <w:i/>
          <w:sz w:val="20"/>
        </w:rPr>
        <w:t>Net realized gains and losses and net unrealized appreciation and depreciation</w:t>
      </w:r>
    </w:p>
    <w:p>
      <w:pPr>
        <w:pStyle w:val="TextBody"/>
        <w:bidi w:val="0"/>
        <w:spacing w:before="0" w:after="0"/>
        <w:ind w:left="0" w:right="0" w:hanging="0"/>
        <w:jc w:val="left"/>
      </w:pPr>
      <w:r>
        <w:t> </w:t>
      </w:r>
    </w:p>
    <w:p>
      <w:pPr>
        <w:pStyle w:val="TextBody"/>
        <w:bidi w:val="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unrealized appreciation or depreciation on investments primarily reflects the change in portfolio investment fair values during the reporting period, including the reversal of previously recorded unrealized appreciation or depreciation when gains or losses are realized.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sz w:val="20"/>
        </w:rPr>
      </w:pPr>
      <w:r>
        <w:rPr>
          <w:rFonts w:ascii="Times New Roman" w:hAnsi="Times New Roman"/>
          <w:sz w:val="20"/>
          <w:shd w:fill="FFFFFF" w:val="clear"/>
        </w:rPr>
        <w:t xml:space="preserve">During the </w:t>
      </w:r>
      <w:r>
        <w:rPr>
          <w:rFonts w:ascii="Times New Roman" w:hAnsi="Times New Roman"/>
          <w:sz w:val="20"/>
        </w:rPr>
        <w:t>nine</w:t>
      </w:r>
      <w:r>
        <w:rPr>
          <w:rFonts w:ascii="Times New Roman" w:hAnsi="Times New Roman"/>
          <w:sz w:val="20"/>
          <w:shd w:fill="FFFFFF" w:val="clear"/>
        </w:rPr>
        <w:t xml:space="preserve"> months ended </w:t>
      </w:r>
      <w:r>
        <w:rPr>
          <w:rFonts w:ascii="Times New Roman" w:hAnsi="Times New Roman"/>
          <w:sz w:val="20"/>
        </w:rPr>
        <w:t>September 30, 2026</w:t>
      </w:r>
      <w:r>
        <w:rPr>
          <w:rFonts w:ascii="Times New Roman" w:hAnsi="Times New Roman"/>
          <w:sz w:val="20"/>
          <w:shd w:fill="FFFFFF" w:val="clear"/>
        </w:rPr>
        <w:t xml:space="preserve">, we realized net losses on investments totaling $17.6 million primarily due to the settlement of one of our other investments and one of our equity investments. During the </w:t>
      </w:r>
      <w:r>
        <w:rPr>
          <w:rFonts w:ascii="Times New Roman" w:hAnsi="Times New Roman"/>
          <w:sz w:val="20"/>
        </w:rPr>
        <w:t>nine</w:t>
      </w:r>
      <w:r>
        <w:rPr>
          <w:rFonts w:ascii="Times New Roman" w:hAnsi="Times New Roman"/>
          <w:sz w:val="20"/>
          <w:shd w:fill="FFFFFF" w:val="clear"/>
        </w:rPr>
        <w:t xml:space="preserve"> months ended </w:t>
      </w:r>
      <w:r>
        <w:rPr>
          <w:rFonts w:ascii="Times New Roman" w:hAnsi="Times New Roman"/>
          <w:sz w:val="20"/>
        </w:rPr>
        <w:t>September 30, 2026</w:t>
      </w:r>
      <w:r>
        <w:rPr>
          <w:rFonts w:ascii="Times New Roman" w:hAnsi="Times New Roman"/>
          <w:sz w:val="20"/>
          <w:shd w:fill="FFFFFF" w:val="clear"/>
        </w:rPr>
        <w:t xml:space="preserve">, we converted $15.1 million in outstanding principal of the 2030 Convertible Notes (as defined below) which resulted in a realized loss on extinguishment of debt of $1.3 million. </w:t>
      </w:r>
      <w:r>
        <w:rPr>
          <w:rFonts w:ascii="Times New Roman" w:hAnsi="Times New Roman"/>
          <w:sz w:val="20"/>
        </w:rPr>
        <w:t>During the same period, we redeemed all of the outstanding principal balance of the 2026 Notes (as defined below) which resulted in a realized loss on extinguishment of debt of $0.1 million. </w:t>
      </w:r>
      <w:r>
        <w:rPr>
          <w:rFonts w:ascii="Times New Roman" w:hAnsi="Times New Roman"/>
          <w:sz w:val="20"/>
          <w:shd w:fill="FFFFFF" w:val="clear"/>
        </w:rPr>
        <w:t xml:space="preserve">During the </w:t>
      </w:r>
      <w:r>
        <w:rPr>
          <w:rFonts w:ascii="Times New Roman" w:hAnsi="Times New Roman"/>
          <w:sz w:val="20"/>
        </w:rPr>
        <w:t>nine</w:t>
      </w:r>
      <w:r>
        <w:rPr>
          <w:rFonts w:ascii="Times New Roman" w:hAnsi="Times New Roman"/>
          <w:sz w:val="20"/>
          <w:shd w:fill="FFFFFF" w:val="clear"/>
        </w:rPr>
        <w:t xml:space="preserve"> months ended </w:t>
      </w:r>
      <w:r>
        <w:rPr>
          <w:rFonts w:ascii="Times New Roman" w:hAnsi="Times New Roman"/>
          <w:sz w:val="20"/>
        </w:rPr>
        <w:t>September 30, 2025</w:t>
      </w:r>
      <w:r>
        <w:rPr>
          <w:rFonts w:ascii="Times New Roman" w:hAnsi="Times New Roman"/>
          <w:sz w:val="20"/>
          <w:shd w:fill="FFFFFF" w:val="clear"/>
        </w:rPr>
        <w:t xml:space="preserve">, </w:t>
      </w:r>
      <w:r>
        <w:rPr>
          <w:rFonts w:ascii="Times New Roman" w:hAnsi="Times New Roman"/>
          <w:sz w:val="20"/>
        </w:rPr>
        <w:t>we realized net losses on investments totaling $31.8 million primarily due to (1) the settlement of two debt investments, two equity investments and two other investments and (2) the realization of two warrant investments. During the same period, we converted $17.3 million in outstanding principal of the 2031 Convertible Notes which resulted in a realized loss on extinguishment of debt of $1.2 million. During the same period, we elected to exercise our option to redeem the outstanding balance of our 2022 Asset-Backed Notes (as defined below) which resulted in a realized loss on debt extinguishment of $0.9 million</w:t>
      </w:r>
      <w:r>
        <w:rPr>
          <w:rFonts w:ascii="Times New Roman" w:hAnsi="Times New Roman"/>
          <w:sz w:val="20"/>
          <w:shd w:fill="FFFFFF" w:val="clear"/>
        </w:rPr>
        <w:t>.</w:t>
      </w:r>
    </w:p>
    <w:p>
      <w:pPr>
        <w:pStyle w:val="TextBody"/>
        <w:bidi w:val="0"/>
        <w:spacing w:before="0" w:after="0"/>
        <w:ind w:left="0" w:right="0" w:hanging="0"/>
        <w:jc w:val="left"/>
      </w:pPr>
      <w:r>
        <w:t> </w:t>
      </w:r>
    </w:p>
    <w:p>
      <w:pPr>
        <w:pStyle w:val="TextBody"/>
        <w:bidi w:val="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During the nine months ended September 30, 2026, net unrealized  appreciation on investments totaled  $72.3 million which was primarily due to the unrealized depreciation on seven of our debt investments, two of our equity investments and our warrant investments and the reversal of previously recorded unrealized appreciation from the settlement of one of our equity investments, partially offset by the reversal of previously recorded unrealized depreciation from the settlement of one of our other investments. During the nine months ended September 30, 2025, net unrealized depreciation on investments totaled $13.8 million which was primarily due to (1) the unrealized depreciation of four debt investments, three other investments and three equity investments and (2) the reversal of previously recorded unrealized appreciation from the realization of two warrant investments partially offset by (1) the unrealized appreciation on two debt investments and one equity investment, (2) the reversal of previously recorded unrealized depreciation from the settlement of one debt investment, one other investment, one equity investment and (3) the unrealized appreciation on the acquisition of debt investments.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and December 31, 2025, we had cash and investments in money market funds of $105.2 million and $140.2 million, respectively. Cash and investments in money market funds are available to fund new investments, reduce borrowings, pay expenses, repurchase common stock and pay distributions. In addition, as of September 30, 2026 and December 31, 2025, we had $2.6 million and $2.5 million, respectively, of restricted investments in money market funds. Restricted investments in money market funds may be used to make monthly interest and principal payments on our NYL Facility or our Nuveen Facility. Our primary sources of capital have been from our public equity offerings, use of our revolving credit facility (the “Key Facility”) with KeyBank National Association (“Key”), the Note Funding Agreement (the “NYL Facility”), with several entities owned or affiliated with New York Life Insurance Company and the Nuveen Note Funding Agreement (the “Nuveen Facility”, together with the Key Facility and the NYL Facility, the “Credit Facilities”) with several entities owned or affiliated with Nuveen Alternative Advisors LLC, and issuance of our public and private debt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September 22, 2023, we entered into an At-The-Market (or “ATM”) sales agreement (or the “2023 Equity Distribution Agreement”) with Goldman Sachs &amp; Co. LLC and B. Riley FBR, Inc., (each a “Sales Agent” and, collectively, the “Sales Agents”). The 2023 Equity Distribution Agreement provides that we may offer and sell shares of our common stock from time to time through the Sales Agents up to $150.0 million worth of our common stock, in amounts and at times to be determined by us. Sales of our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and nine months ended September 30, 2026, we did not sell any shares of common stock under the 2023 Equity Distribution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2025, we sold 1,570,248 shares of common stock under the 2023 Equity Distribution Agreement. For the same period, we received total accumulated net proceeds of approximately $10.6 million, including $0.3 million of offering expenses, from these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we sold 1,974,553 shares of common stock under the 2023 Equity Distribution Agreement. For the same period, we received total accumulated net proceeds of approximately $14.2 million, including $0.5 million of offering expenses, from these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August 3, 2026, our Board extended a previously authorized stock repurchase program which allows us to repurchase up to $20.0 million of our common stock at prices below our net asset value per share (“NAV”) as reported in our most recent consolidated financial statements, provided such purchases, in the aggregate, do not exceed two percent (2%) of the shares outstanding at the time of purchase and such shares are purchased only when the such shares are trading below 90% of our most recently disclosed NAV per share. Under the repurchase program, we may, but are not obligated to, repurchase shares of our outstanding common stock in the open market or in privately negotiated transactions from time to time. It is our intention that any repurchases of common stock will comply with the requirements of Rule 10b</w:t>
        <w:noBreakHyphen/>
        <w:t>18 under the Exchange Act and any applicable requirements of the 1940 Act. Unless extended by our Board, the repurchase program will terminate on the earlier of June 30, 2027 or the repurchase of $20.0 million of our common stock. During the three months ended September 30, 2026, we repurchased 2,033,991 shares of our common stock at an average price of $4.90 on the open market at a total cost of $10.0 million. For the nine months ended September 30, 2026, we repurchased 3,399,213 shares of our common stock at an average price of $4.76 on the open market at a total cost of $16.2 million. During the three and nine months ended September 30, 2025, we did not make any repurchases of our common stock under our stock repurchase program. From the date of the inception of our stock repurchase program through September 30, 2026, we repurchased 3,566,678 shares of our common stock at an average price of $5.06 on the open market at a total cost of $18.1 million. From time to time, our Board assesses the size and effectiveness of the stock repurchase program and could elect to increase or decrease the size of the program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At September 30, 2026 and December 31, 2025, there was no outstanding principal balance under the Key Facility. As of September 30, 2026 and December 31, 2025, we had borrowing capacity under the Key Facility of $150.0 million. At September 30, 2026 and December 31, 2025, $86.8 million and $49.6 million, respectively, was available for borrowing under the Key Facility, subject to existing terms and advance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were $181.0 million in advances made by the NYL Noteholders as of September 30, 2026, including $166.5 million on the NYL Class A Notes and $14.5 million on the NYL Class B Notes. There were $181.0 million in advances made by the NYL Noteholders December 31, 2025. As of September 30, 2026 and December 31, 2025, we had borrowing capacity under the NYL Facility of $69.0 million. At September 30, 2026 and December 31, 2025, $15.2 million and $1.9 million, respectively, was available for borrowing, subject to existing terms and advance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were $90.0 million in advances made by the Nuveen Noteholders as of September 30, 2026, including $90.0 million on the Nuveen Class A Notes. There were $90.0 million in advances made by the Nuveen Noteholders as of December 31, 2025. As of September 30, 2026 and December 31, 2025, we had borrowing capacity under the Nuveen Facility of $60.0 million and $110.0 million, respectively. At September 30, 2026 and December 31, 2025, $21.5 million and $12.1 million, respectively, was available for borrowing, subject to existing terms and advance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October 17, 2024, the Company entered into a note purchase agreement (the “2031 Note Purchase Agreement”), by and among the Company and each purchaser named therein, in connection with the issuance and sale of $20.0 million aggregate principal of the Company’s 7.125% convertible notes due 2031 (the “2031 Convertible Notes”). At September 30, 2026 and December 31, 2025, the aggregate outstanding principal balance of the 2031 Convertible Notes was $2.8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September 4, 2025, the Company entered into a note purchase agreement (the “2030 Note Purchase Agreement”), by and among the Company and each purchaser named therein, in connection with the issuance and sale of $40.0 million aggregate principal of the Company’s 5.50% convertible notes due 2030 (the “2030 Convertible Notes”). At September 30, 2026 and December 31, 2025, the aggregate outstanding principal balance of the 2030 Convertible Notes was $16.5 million and $31.5 million, respectively.</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operating activities provided cash of $82.6 million for the nine months ended September 30, 2026, and our financing activities used cash of $117.5 million for the same period. Our operating activities provided cash primarily from cash received from principal payments received on our debt investme</w:t>
      </w:r>
      <w:r>
        <w:rPr>
          <w:rFonts w:ascii="Times New Roman" w:hAnsi="Times New Roman"/>
          <w:caps w:val="false"/>
          <w:smallCaps w:val="false"/>
          <w:sz w:val="20"/>
          <w:shd w:fill="FFFFFF" w:val="clear"/>
        </w:rPr>
        <w:t>nts partially offset by cash used to</w:t>
      </w:r>
      <w:r>
        <w:rPr>
          <w:rFonts w:ascii="Times New Roman" w:hAnsi="Times New Roman"/>
          <w:caps w:val="false"/>
          <w:smallCaps w:val="false"/>
          <w:sz w:val="20"/>
        </w:rPr>
        <w:t> purchase investments in portfolio companies. </w:t>
      </w:r>
      <w:r>
        <w:rPr>
          <w:rFonts w:ascii="Times New Roman" w:hAnsi="Times New Roman"/>
          <w:caps w:val="false"/>
          <w:smallCaps w:val="false"/>
          <w:sz w:val="20"/>
          <w:shd w:fill="FFFFFF" w:val="clear"/>
        </w:rPr>
        <w:t xml:space="preserve">Our financing activities </w:t>
      </w:r>
      <w:r>
        <w:rPr>
          <w:rFonts w:ascii="Times New Roman" w:hAnsi="Times New Roman"/>
          <w:caps w:val="false"/>
          <w:smallCaps w:val="false"/>
          <w:sz w:val="20"/>
        </w:rPr>
        <w:t>used</w:t>
      </w:r>
      <w:r>
        <w:rPr>
          <w:rFonts w:ascii="Times New Roman" w:hAnsi="Times New Roman"/>
          <w:caps w:val="false"/>
          <w:smallCaps w:val="false"/>
          <w:sz w:val="20"/>
          <w:shd w:fill="FFFFFF" w:val="clear"/>
        </w:rPr>
        <w:t xml:space="preserve"> cash primarily to repay our 2026 Notes</w:t>
      </w:r>
      <w:r>
        <w:rPr>
          <w:rFonts w:ascii="Times New Roman" w:hAnsi="Times New Roman"/>
          <w:caps w:val="false"/>
          <w:smallCaps w:val="false"/>
          <w:sz w:val="20"/>
        </w:rPr>
        <w:t> and our Key Facility and to pay distributions to our stockholders partially</w:t>
      </w:r>
      <w:r>
        <w:rPr>
          <w:rFonts w:ascii="Times New Roman" w:hAnsi="Times New Roman"/>
          <w:caps w:val="false"/>
          <w:smallCaps w:val="false"/>
          <w:sz w:val="20"/>
          <w:shd w:fill="FFFFFF" w:val="clear"/>
        </w:rPr>
        <w:t> offset by advances on our Key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operating activities provided cash of $87.1 million for the nine months ended September 30, 2025, and our financing activities used cash of $57.0 million for the same period. Our operating activities provided cash primarily from principal payments received on our debt investments partially offset by cash used to purchase investments in portfolio companies. Our financing activities used cash primarily to repay our 2022 Asset-Backed Notes and to pay distributions to our stockholders partially offset by the completion of our 2030 Convertible Notes, an advance on our Nuveen Facility and the sale of shares through our ATM for net proceeds of $14.2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August 6, 2025, we purchased a portfolio of debt and related investments of Powerscourt XXV LP, a fund managed by Waterfall Asset Management (“WAM”), for a purchase price of $22.5 million, which assets at the purchase date had a fair value of $36.5 million and included debt investments on accrual status with a principal balance of $34.9 million. WAM and our Advisor had previously entered into Master Program Agreement in March 2023, whereby our Advisor offered WAM the opportunity to participate, as a co-lender with us, in debt investments originated by our Advisor. WAM retained all investment decisions. In 2023, WAM ceased making new investments under the program, as it no longer wished to pursue a venture debt strategy.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our current cash, cash generated from operations, and funds available from our Credit Facilities will be sufficient to meet our working capital and capital expenditure commitments for at least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our borrowings as of September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5"/>
        <w:gridCol w:w="60"/>
        <w:gridCol w:w="172"/>
        <w:gridCol w:w="958"/>
        <w:gridCol w:w="60"/>
        <w:gridCol w:w="60"/>
        <w:gridCol w:w="160"/>
        <w:gridCol w:w="895"/>
        <w:gridCol w:w="80"/>
        <w:gridCol w:w="60"/>
        <w:gridCol w:w="172"/>
        <w:gridCol w:w="958"/>
        <w:gridCol w:w="60"/>
        <w:gridCol w:w="60"/>
        <w:gridCol w:w="172"/>
        <w:gridCol w:w="958"/>
        <w:gridCol w:w="60"/>
        <w:gridCol w:w="60"/>
        <w:gridCol w:w="160"/>
        <w:gridCol w:w="895"/>
        <w:gridCol w:w="80"/>
        <w:gridCol w:w="60"/>
        <w:gridCol w:w="172"/>
        <w:gridCol w:w="958"/>
        <w:gridCol w:w="60"/>
      </w:tblGrid>
      <w:tr>
        <w:tc>
          <w:tcPr>
            <w:tcW w:w="28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8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Balance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Unused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Balance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Unused</w:t>
            </w:r>
          </w:p>
        </w:tc>
        <w:tc>
          <w:tcPr>
            <w:tcW w:w="60" w:type="dxa"/>
            <w:tcBorders/>
            <w:shd w:fill="FFFFFF" w:val="clear"/>
            <w:vAlign w:val="center"/>
          </w:tcPr>
          <w:p>
            <w:pPr>
              <w:pStyle w:val="TableContents"/>
              <w:bidi w:val="0"/>
              <w:spacing w:before="0" w:after="283"/>
              <w:jc w:val="left"/>
            </w:pPr>
            <w:r>
              <w:t> </w:t>
            </w:r>
          </w:p>
        </w:tc>
      </w:tr>
      <w:tr>
        <w:tc>
          <w:tcPr>
            <w:tcW w:w="28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8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70"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2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Facility</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r>
      <w:tr>
        <w:tc>
          <w:tcPr>
            <w:tcW w:w="2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NYL Facility</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69,000</w:t>
            </w:r>
          </w:p>
        </w:tc>
        <w:tc>
          <w:tcPr>
            <w:tcW w:w="60" w:type="dxa"/>
            <w:tcBorders/>
            <w:shd w:fill="FFFFFF" w:val="clear"/>
            <w:vAlign w:val="center"/>
          </w:tcPr>
          <w:p>
            <w:pPr>
              <w:pStyle w:val="TableContents"/>
              <w:bidi w:val="0"/>
              <w:spacing w:before="0" w:after="283"/>
              <w:jc w:val="left"/>
            </w:pPr>
            <w:r>
              <w:t> </w:t>
            </w:r>
          </w:p>
        </w:tc>
      </w:tr>
      <w:tr>
        <w:tc>
          <w:tcPr>
            <w:tcW w:w="28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Nuveen Facility</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8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90,000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8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90,000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110,000</w:t>
            </w:r>
          </w:p>
        </w:tc>
        <w:tc>
          <w:tcPr>
            <w:tcW w:w="60" w:type="dxa"/>
            <w:tcBorders/>
            <w:shd w:fill="CCEEFF" w:val="clear"/>
            <w:vAlign w:val="center"/>
          </w:tcPr>
          <w:p>
            <w:pPr>
              <w:pStyle w:val="TableContents"/>
              <w:bidi w:val="0"/>
              <w:spacing w:before="0" w:after="283"/>
              <w:jc w:val="left"/>
            </w:pPr>
            <w:r>
              <w:t> </w:t>
            </w:r>
          </w:p>
        </w:tc>
      </w:tr>
      <w:tr>
        <w:tc>
          <w:tcPr>
            <w:tcW w:w="28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 Notes</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8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58"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8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58"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r>
      <w:tr>
        <w:tc>
          <w:tcPr>
            <w:tcW w:w="2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 Notes</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2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 Notes</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9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58"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8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 Convertible Notes</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8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31,500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8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ind w:left="0" w:right="0" w:hanging="0"/>
              <w:jc w:val="left"/>
            </w:pPr>
            <w:r>
              <w:t> </w:t>
            </w:r>
          </w:p>
        </w:tc>
      </w:tr>
      <w:tr>
        <w:tc>
          <w:tcPr>
            <w:tcW w:w="28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2031 Convertible Notes</w:t>
            </w:r>
          </w:p>
        </w:tc>
        <w:tc>
          <w:tcPr>
            <w:tcW w:w="60" w:type="dxa"/>
            <w:tcBorders/>
            <w:shd w:fill="FFFFFF" w:val="clear"/>
            <w:vAlign w:val="center"/>
          </w:tcPr>
          <w:p>
            <w:pPr>
              <w:pStyle w:val="TableContents"/>
              <w:bidi w:val="0"/>
              <w:spacing w:before="0" w:after="0"/>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2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before debt issuance costs</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684,200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405,200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806,750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477,750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2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Unamortized debt issuance costs attributable to term borrowings</w:t>
            </w:r>
          </w:p>
        </w:tc>
        <w:tc>
          <w:tcPr>
            <w:tcW w:w="60"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borrowings outstanding, net</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684,200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402,719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806,750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473,027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Credit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Key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entered into the Key Facility effective November 4, 2013. On February 26, 2026, we amended the Key Facility, among other things, (i) to make Michael P. Balkin and Paul G. Seitz each an “Authorized Person”, (ii) to amend certain requirements to make a debt investment eligible for the borrowing base and (ii) to amend certain concentration limits. On June 20, 2024, we amended the Key Facility, among other things, (i) to extend the date on which we may request advances under the Key Facility to June 20, 2027 and to extend the maturity date to June 20, 2029 and (ii) to amend the interest rate to be based on the rate of interest published in The Wall Street Journal as the prime rate in the United States plus 0.10%, with an interest rate floor of 4.10%. Prior to June 20, 2024, the interest rate on the Key Facility was based on Prime plus 0.25%, with a prime rate floor of 4.25%. The prime rate was 7.00% and 6.75% as of September 30, 2026 and December 31, 2025, respectively. The interest rate in effect was 7.10% and 6.85% as of September 30, 2026 and December 31, 2025, respectively. The Key Facility requires the payment of an unused line fee in an amount up to 0.75% of any unborrowed amount available under the facility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June 29, 2023, we amended the Key Facility to, among other things, increase the commitment amount to $150 million and to increase the amount of the accordion feature which now allows the potential increase in the total commitment amount to $300 million. The Key Facility is collateralized by debt investments held by Credit II and permits an advance rate of up to sixty percent (60%)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After the period during which we may request advances under the Key Facility (or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sixty percent (60%) of the aggregate principal balance of our eligible debt investments to our portfolio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NYL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HFI is a wholly-owned subsidiary of HSLFI. HFI entered into the NYL Facility with the NYL Noteholders for an aggregate purchase price of up to $100.0 million, with an accordion feature of up to $200.0 million at the mutual discretion and agreement of HSLFI and the NYL Noteholders. On June 1, 2018, HSLFI sold or contributed to HFI certain secured loans made to certain portfolio companies pursuant to the Sale and Servicing Agreement. Any notes issued by HFI are collateralized by all investments held by HFI and permit an advance rate of up to 67% of the aggregate principal amount of eligible debt investments.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May 24, 2023, we amended the NYL Facility to, among other things, increase the commitment by $50.0 million to enable our wholly-owned subsidiary to issue up to $250.0 million of secured notes. On April 25, 2025, we amended the NYL Facility to, among other things, extend the investment period to June 5, 2027. In addition, the amendment amended the interest rate for advances made after April 25, 2025, fixing the interest rate at the greater of (i) 4.60% and (ii) the Three Year I Curve plus 2.95% with the interest rate to be reset on any advance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July 29, 2026, we amended the NYL Facility to, among other things, to (i) add a second class of notes and (ii) extend the legal final maturity date to June 2034. The interest rate for advances made on the second class of notes is fixed at 3.50% plus the Three Year I Curve, with the interest rate to be reset on any advance date.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the terms of the NYL Facility, we are required to maintain a reserve cash balance, which may be used to pay monthly interest and principal payments on the NYL Facility. We have segregated these funds and classified them as restricted investments in money market funds. At September 30, 2026 and December 31, 2025, there were approximately $1.4 million of such restricted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were $181.0 million in advances made by the NYL Noteholders as of September 30, 2026, including $166.5 million on the NYL Class A Notes and $14.5 million on the NYL Class B Notes. There were $181.0 million in advances made by the NYL Noteholders December 31, 2025. The interest rate on the NYL Class A Notes was 6.72% as of September 30, 2026. The interest rate on the NYL Class B Notes was 7.86% as of September 30, 2026. The interest rate was 6.57% as of December 31, 2025. As of September 30, 2026 and December 31, 2025, we had borrowing capacity under the NYL Facility of $69.0 million. At September 30, 2026 and December 31, 2025, $15.2 million and $1.9 million, respectively, was available for borrowing, subject to existing terms and advance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160" w:right="0" w:firstLine="180"/>
        <w:jc w:val="left"/>
        <w:rPr>
          <w:rFonts w:ascii="Times New Roman" w:hAnsi="Times New Roman"/>
          <w:i/>
          <w:caps w:val="false"/>
          <w:smallCaps w:val="false"/>
          <w:sz w:val="20"/>
        </w:rPr>
      </w:pPr>
      <w:r>
        <w:rPr>
          <w:rFonts w:ascii="Times New Roman" w:hAnsi="Times New Roman"/>
          <w:i/>
          <w:caps w:val="false"/>
          <w:smallCaps w:val="false"/>
          <w:sz w:val="20"/>
        </w:rPr>
        <w:t>Nuveen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HFII entered into the Nuveen Facility with the Nuveen Noteholders for an aggregate purchase price of up to $100.0 million, with an accordion feature of up to $200.0 million at the mutual discretion and agreement us and the Nuveen Noteholders. On June 21, 2024, we sold or contributed to HFII certain secured loans made to certain portfolio companies pursuant to the Sale and Servicing Agreement. Any notes issued by HFII are collateralized by all investments held by HFII and permit an advance rate of up to 67.5% of the aggregate principal amount of eligible debt investments. The Nuveen Facility bore interest, payable monthly, determined at a rate per annum equal to the greater of (i) the yield for the United States Treasury constant maturity 3-year and 5-year in the most recent statistical release published by the Board of Governors of the Federal Reserve System designated as “Selected Interest Rates (Daily) – H.15” interpolated to a 4.88-year weighted average life (the “Pricing Benchmark”) plus 3.15% and (ii) 5.00%.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May 23, 2025, we amended the Nuveen Facility to, among other things, extend the investment period to June 21, 2028 and the maturity date to June 10, 2034 and increase the commitment by $100.0 million which enables our wholly-owned subsidiary to issue up to $200.0 million of secured notes. In addition, the amendment amended the interest rate for advances made after May 23, 2025, fixing the interest rate at the greater of (i) 5.00% and (ii) the Pricing Benchmark plus 2.95%.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July 17, 2026, we amended its Nuveen Facility to decrease the commitment by $50.0 million in connection with secured notes previously issued by our wholly-owned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September 2, 2026, we amended the Nuveen Facility to, among other things, to (i) extend the date through which we may request advances under the Nuveen Facility to July 21, 2027 (ii) add a second class of notes and (iii) extend the legal final maturity date to December 10, 2035. The interest rate for advances made on the second class of notes is fixed at 3.50% plus the Three Year I Curve, with the interest rate to be reset quarterly.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the terms of the Nuveen Facility, we are required to maintain a reserve cash balance, which may be used to pay monthly interest and principal payments on the Nuveen Facility. We have segregated these funds and classified them as restricted investments in money market funds. At September 30, 2026 and December 31, 2025, there were approximately $1.3 million and $1.1 million, respectively, of such restricted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were $90.0 million in advances made by the Nuveen Noteholders as of September 30, 2026, including $90.0 million on the Nuveen Class A Notes. There were $90.0 million in advances made by the Nuveen Noteholders as of December 31, 2025. The interest rate as of September 30, 2026 and December 31, 2025 was 7.21%. As of September 30, 2026 and December 31, 2025, we had borrowing capacity under the Nuveen Facility of $60.0 million and $110.0 million, respectively. At September 30, 2026 and December 31, 2025, $21.5 million and $12.1 million, respectively, was available for borrowing, subject to existing terms and advance rates. </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Unsecured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40" w:right="0" w:firstLine="180"/>
        <w:jc w:val="both"/>
        <w:rPr>
          <w:rFonts w:ascii="Times New Roman" w:hAnsi="Times New Roman"/>
          <w:i/>
          <w:caps w:val="false"/>
          <w:smallCaps w:val="false"/>
          <w:sz w:val="20"/>
        </w:rPr>
      </w:pPr>
      <w:r>
        <w:rPr>
          <w:rFonts w:ascii="Times New Roman" w:hAnsi="Times New Roman"/>
          <w:i/>
          <w:caps w:val="false"/>
          <w:smallCaps w:val="false"/>
          <w:sz w:val="20"/>
        </w:rPr>
        <w:t>2026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March 30, 2021, we issued and sold an aggregate principal amount of $57.5 million of 4.875% notes due in 2026. The amount of 2026 Notes issued and sold included the full exercise by the underwriters of their option to purchase $7.5 million in aggregate principal of additional notes. The 2026 Notes had a stated maturity of March 30, 2026 and bore interest at a rate of 4.875% per year, payable quarterly. The 2026 Notes were listed on the New York Stock Exchange under the symbol “HTFB”. On January 28, 2026, we redeemed all of the outstanding principal balance of the 2026 Notes plus accrued interest. We accelerated $0.1 million of unamortized debt issuance costs related to the 2026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2027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June 15, 2022, we issued and sold an aggregate principal amount of $50.0 million of 6.25% notes due in 2027 and on July 11, 2022, pursuant to the underwriters’ 30 day option to purchase additional notes, we sold an additional $7.5 million of such notes (collectively, the “2027 Notes”). The 2027 Notes have a stated maturity of June 15, 2027 and may be redeemed in whole or in part at our option at any time or from time to time on or after June 15, 2024 at a redemption price of $25 per security plus accrued and unpaid interest. The 2027 Notes bear interest at a rate of 6.25% per year, payable quarterly on March 30, June 30, September 30 and December 30 of each year, commencing on September 30, 2022. The 2027 Notes are our direct unsecured obligations and (i) rank equally in right of payment with our current and future unsecured indebtedness; (ii) are senior in right of payment to any of our future indebtedness that expressly provides it is subordinated to the 2027 Notes; (iii) are effectively subordinated to all of our existing and future secured indebtedness (including indebtedness that is initially unsecured to which we subsequently grant security), to the extent of the value of the assets securing such indebtedness, and (iv) are structurally subordinated to all existing and future indebtedness and other obligations of any of our subsidiaries. As of September 30, 2026, we were in material compliance with the terms of the 2027 Notes. The 2027 Notes are listed on the New York Stock Exchange under the symbol “HTFC”.</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i/>
          <w:caps w:val="false"/>
          <w:smallCaps w:val="false"/>
          <w:sz w:val="20"/>
        </w:rPr>
        <w:t>2028</w:t>
      </w:r>
      <w:r>
        <w:rPr>
          <w:rFonts w:ascii="Times New Roman" w:hAnsi="Times New Roman"/>
          <w:caps w:val="false"/>
          <w:smallCaps w:val="false"/>
          <w:sz w:val="20"/>
        </w:rPr>
        <w:t> </w:t>
      </w:r>
      <w:r>
        <w:rPr>
          <w:rFonts w:ascii="Times New Roman" w:hAnsi="Times New Roman"/>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On December 15, 2025, we issued and sold an aggregate principal amount of $57.5 million of 7.00% notes due in 2028 in a private transaction. The 2028 Notes have a stated maturity of December 15, 2028 and may be redeemed in whole or in part at any time at our option through June 15, 2028, at a redemption price equal to the greater of: (1)(a) the sum of the present values of the remaining scheduled payments of principal and interest thereon discounted to the redemption date on a semi-annual basis at the Treasury Rate plus 50 basis points less (b) interest accrued to the date of redemption, and (2) 100% of the principal amount of the 2028 Notes to be redeemed, plus, in either case, accrued and unpaid interest thereon to, but not including, the redemption date. On or after June 15, 2028, we may redeem the 2028 Notes, in whole or in part, at any time and from time to time, at a redemption price equal to 100% of the principal amount of the 2028 Notes being redeemed plus accrued and unpaid interest there onto the date of redemption. The 2028 Notes bear interest at a rate of 7.00% per year, payable semi-annually on June 15 and December 15 of each year, commencing on June 15, 2026. The 2028 Notes are our direct unsecured obligations and (i) rank equally in right of payment with our current and future unsecured indebtedness; (ii) are senior in right of payment to any of our future indebtedness that expressly provides it is subordinated to the 2028 Notes; (iii) are effectively subordinated to all of our existing and future secured indebtedness (including indebtedness that is initially unsecured to which we subsequently grant security), to the extent of the value of the assets securing such indebtedness, and (iv) are structurally subordinated to all existing and future indebtedness and other obligations of any of our subsidiaries. As of September 30, 2026, we were in material compliance with the terms of the 2028 Notes.</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2030 Convertible Notes</w:t>
      </w:r>
    </w:p>
    <w:p>
      <w:pPr>
        <w:pStyle w:val="TextBody"/>
        <w:bidi w:val="0"/>
        <w:spacing w:before="0" w:after="0"/>
        <w:ind w:left="2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September 4, 2025, we entered into the 2030 Note Purchase Agreement, by and among us and each purchaser named therein, in connection with the issuance and sale of $40.0 million aggregate principal of our 5.50% 2030 Convertible Notes in a transaction exempt from registration pursuant to Section 4(a)(2) of the Securities Act of 1933, as amended. We received net proceeds (before expenses) from the sale of the 2030 Convertible Notes of approximately $36.6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2030 Convertible Notes have a stated maturity of September 4, 2030, unless earlier converted or repurchased in accordance with their terms. The 2030 Convertible Notes bear interest at a rate of 5.50% per year, payable monthly in arrears on the last day of each calendar month, beginning on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At any time on or after October 4, 2025, at our sole option, we may redeem, from time to time, the 2030 Convertible Notes in whole or in part, out of funds legally available for such redemption, at 100% of the principal amount prepaid plus accrued but unpaid interest to but excluding the date of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holder of a 2030 Convertible Note has the right, at such holder’s option, to convert any such 2030 Convertible Note, at any time on or after October 4, 2025 and prior to the close of business on the business day immediately preceding the maturity date, into such number of shares of our common stock equal to the principal balance of the 2030 Convertible Note being converted on the conversion date plus the accrued but unpaid interest on the 2030 Convertible Note as of the conversion date, divided by the greater of (i) volume-weighted average closing sale price for the five trading days immediately prior to the relevant conversion date, or (ii) our most recently reported NAV per share immediately prior to the date of exercise.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 holder of 2030 Convertible Notes may exercise its conversion right if upon conversion the holder would receive shares that would cause funds and accounts managed by the investment adviser to such funds and accounts and any person controlled by the parent company of such investment adviser to beneficially own in the aggregate more than 4.99% of the shares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2030 Convertible Notes are not listed on any exchange and may not be transferred without our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2026, the holders of the 2030 Convertible Notes did not convert any of the 2030 Convertible Notes.</w:t>
      </w:r>
    </w:p>
    <w:p>
      <w:pPr>
        <w:pStyle w:val="TextBody"/>
        <w:bidi w:val="0"/>
        <w:spacing w:before="0" w:after="0"/>
        <w:ind w:left="14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2026, the holders of a portion of the 2030 Convertible Notes converted $15.1 million in outstanding principal of the 2030 Convertible Notes plus accrued but unpaid interest on such outstanding principal as of the conversion date into 2,118,250 shares of common stock at a weighted average conversion price of $7.12 together with cash in lieu of fractional shares, in accordance with noteholder conversion notice. </w:t>
      </w:r>
    </w:p>
    <w:p>
      <w:pPr>
        <w:pStyle w:val="TextBody"/>
        <w:bidi w:val="0"/>
        <w:spacing w:before="0" w:after="0"/>
        <w:ind w:left="140" w:right="0" w:firstLine="360"/>
        <w:jc w:val="both"/>
        <w:rPr>
          <w:caps w:val="false"/>
          <w:smallCaps w:val="false"/>
        </w:rPr>
      </w:pPr>
      <w:r>
        <w:rPr>
          <w:caps w:val="false"/>
          <w:smallCaps w:val="false"/>
        </w:rPr>
        <w:t> </w:t>
      </w:r>
    </w:p>
    <w:p>
      <w:pPr>
        <w:pStyle w:val="TextBody"/>
        <w:bidi w:val="0"/>
        <w:spacing w:before="0" w:after="0"/>
        <w:ind w:left="14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and December 31, 2025, the aggregate outstanding principal balance of the 2030 Convertible Notes was $16.5 million and $31.5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2031 Convertible Notes</w:t>
      </w:r>
    </w:p>
    <w:p>
      <w:pPr>
        <w:pStyle w:val="TextBody"/>
        <w:bidi w:val="0"/>
        <w:spacing w:before="0" w:after="0"/>
        <w:ind w:left="2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October 17, 2024, we entered into the 2031 Note Purchase Agreement, by and among us and each purchaser named therein, in connection with the issuance and sale of $20.0 million aggregate principal of our 7.125% 2031 Convertible Notes in a transaction exempt from registration pursuant to Section 4(a)(2) of the Securities Act of 1933, as amended. We received net proceeds (before expenses) from the sale of the 2031 Convertible Notes of approximately $18.6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2031 Convertible Notes have a stated maturity of October 17, 2031, unless earlier converted or repurchased in accordance with their terms. The 2031 Convertible Notes bear interest at a rate of 7.125% per year, subject to additional interest or repurchase obligation upon certain events, payable quarterly in arrears on March 31, June 30, September 30 and December 31 of each year, beginning on December 31, 2024. If an investment grade rating is not maintained with respect to the 2031 Convertible Notes, additional interest of 1.00% per annum will accrue on the 2031 Convertible Notes until such time as the 2031 Convertible Notes have received an investment grade rating of “BBB-” (or its equivalent) or better. We will also be required to pay additional interest of 2.00% per annum (x) on any overdue payment of interest and (y) during the continuance of an Event of Default (as defined in the 2031 Note Purchase Agreement). In addition, on the occurrence of a Change in Control Repurchase Event (as defined in the 2031 Note Purchase Agreement) or Delisting Event (as defined in the 2031 Note Purchase Agreement), we will generally be required to make an offer to purchase the outstanding 2031 Convertible Notes at a price equal to 100% of the principal amount of such 2031 Convertible Notes plus accrued and unpaid interest to the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At any time on or after April 17, 2025, at our sole option, we may redeem, from time to time, the 2031 Convertible Notes in whole or in part, out of funds legally available for such redemption, at 100% of the principal amount prepaid plus accrued but unpaid interest to but excluding the date of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holder of a 2031 Convertible Note has the right, at such holder’s option, to convert any such 2031 Convertible Note, at any time on or after April 17, 2025 and prior to the close of business on the business day immediately preceding the maturity date, into such number of shares of our common stock equal to the principal balance of the 2031 Convertible Note being converted on the conversion date plus the accrued but unpaid interest on the 2031 Convertible Note as of the conversion date, divided by the greater of (i) volume-weighted average closing sale price for the five trading days immediately prior to the relevant conversion date, or (ii) our most recently reported NAV per share immediately prior to the date of exercise.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 holder of 2031 Convertible Notes may exercise its conversion right if upon conversion the holder would receive shares that would cause funds and accounts managed by the investment adviser to such funds and accounts and any person controlled by the parent company of such investment adviser to beneficially own in the aggregate more than 4.99% of the shares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2031 Convertible Notes are not listed on any exchange and may not be transferred without our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and nine months ended September 30, 2026, the holders of the 2031 Convertible Notes did not convert any of the 2031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and nine months ended September 30, 2025, the holders of a portion of the 2031 Convertible Notes converted $4.8 million and $17.3 million, respectively in outstanding principal of the 2031 Convertible Notes plus accrued but unpaid interest on such outstanding principal as of the conversion date into 643,043 and 2,264,546 shares of common, respectively, stock at a weighted average conversion price of $7.43 and $7.69, respectively, together with cash in lieu of fractional shares, in accordance with noteholder conversion notice.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and December 31, 2025, the aggregate outstanding principal balance of the 2031 Convertible Notes was $2.8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and December 31, 2025, other assets were $8.3 million and $9.1 million, respectively, which were primarily comprised of debt issuance costs and prepaid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Contractual obligations and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our significant contractual payment obligations and off-balance sheet arrangements as of September 30, 2026:</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970"/>
        <w:gridCol w:w="60"/>
        <w:gridCol w:w="125"/>
        <w:gridCol w:w="695"/>
        <w:gridCol w:w="60"/>
        <w:gridCol w:w="60"/>
        <w:gridCol w:w="125"/>
        <w:gridCol w:w="695"/>
        <w:gridCol w:w="60"/>
        <w:gridCol w:w="60"/>
        <w:gridCol w:w="125"/>
        <w:gridCol w:w="695"/>
        <w:gridCol w:w="60"/>
        <w:gridCol w:w="60"/>
        <w:gridCol w:w="125"/>
        <w:gridCol w:w="695"/>
        <w:gridCol w:w="60"/>
        <w:gridCol w:w="60"/>
        <w:gridCol w:w="125"/>
        <w:gridCol w:w="485"/>
        <w:gridCol w:w="60"/>
      </w:tblGrid>
      <w:tr>
        <w:tc>
          <w:tcPr>
            <w:tcW w:w="1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7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Payments due by period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Less than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0" w:type="dxa"/>
            <w:gridSpan w:val="2"/>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1 – 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20" w:type="dxa"/>
            <w:gridSpan w:val="2"/>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3 – 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After 5</w:t>
            </w:r>
          </w:p>
        </w:tc>
        <w:tc>
          <w:tcPr>
            <w:tcW w:w="60" w:type="dxa"/>
            <w:tcBorders/>
            <w:shd w:fill="FFFFFF" w:val="clear"/>
            <w:vAlign w:val="center"/>
          </w:tcPr>
          <w:p>
            <w:pPr>
              <w:pStyle w:val="TableContents"/>
              <w:bidi w:val="0"/>
              <w:spacing w:before="0" w:after="283"/>
              <w:jc w:val="left"/>
            </w:pPr>
            <w:r>
              <w:t> </w:t>
            </w:r>
          </w:p>
        </w:tc>
      </w:tr>
      <w:tr>
        <w:tc>
          <w:tcPr>
            <w:tcW w:w="1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 year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9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70"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pPr>
            <w:r>
              <w:t> </w:t>
            </w:r>
          </w:p>
        </w:tc>
      </w:tr>
      <w:tr>
        <w:tc>
          <w:tcPr>
            <w:tcW w:w="19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405,200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200,739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118,533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6,561</w:t>
            </w:r>
          </w:p>
        </w:tc>
        <w:tc>
          <w:tcPr>
            <w:tcW w:w="60" w:type="dxa"/>
            <w:tcBorders/>
            <w:shd w:fill="CCEEFF" w:val="clear"/>
            <w:vAlign w:val="center"/>
          </w:tcPr>
          <w:p>
            <w:pPr>
              <w:pStyle w:val="TableContents"/>
              <w:bidi w:val="0"/>
              <w:spacing w:before="0" w:after="283"/>
              <w:jc w:val="left"/>
            </w:pPr>
            <w:r>
              <w:t> </w:t>
            </w:r>
          </w:p>
        </w:tc>
      </w:tr>
      <w:tr>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Unfunded commitments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136,056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63,732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70,743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ind w:left="0" w:right="0" w:hanging="0"/>
              <w:jc w:val="left"/>
            </w:pPr>
            <w:r>
              <w:t> </w:t>
            </w:r>
          </w:p>
        </w:tc>
      </w:tr>
      <w:tr>
        <w:tc>
          <w:tcPr>
            <w:tcW w:w="1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Incentive fee deferral</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24,415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10,237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14,178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565,671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285,660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120,114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September 30, 2026, we had unfunded commitments of $136.1 million. This includes $15.8 million of undrawn revolver commitments.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unfunded commitments. As of September 30, 2026, we reasonably believed that our assets would provide adequate financial resources to satisfy all of our unfunded commitments.</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the Credit Facilities,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incentive fee on Pre-Incentive Fee Net Investment Income is subject to a fee cap and deferral mechanism which is determined based upon a look-back period of up to three years and is expensed when incurred. For this purpose, the Incentive Fee Look-back Period includes the relevant calendar quarter and the 11 preceding full calendar quarters. Each quarterly incentive fee payable on Pre-Incentive Fee Net Investment Income is subject to the Incentive Fee Cap and Deferral Mechanism. The Incentive Fee Cap is equal to (a) 20.00% of Cumulative Pre-Incentive Fee Net Return during the Incentive Fee Look-back Period less (b) cumulative incentive fees of any kind paid to our Advisor during the Incentive Fee Look-back Period. To the extent the Incentive Fee Cap is zero or a negative value in any calendar quarter, we will not pay an incentive fee on Pre-Incentive Fee Net Investment Income to our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During the three months ended September 30, 2026 and 2025, the Incentive Fee Cap and Deferral Mechanism resulted in deferral of $2.5 million and $2.8 million, respectively, of incentive fee which may become subject to payment up to three years after the date of deferment. During nine months ended September 30, 2026 and 2025, the Incentive Fee Cap and Deferral Mechanism resulted in deferral of $3.2 million and $7.2 million, respectively, of incentive fee which may become subject to payment up to three years after the date of deferment. As of September 30, 2026 and December 31, 2025, the total amount subject to recoupment was $24.4 million and $28.0 million, respectively. Commencing with the quarter ending March 31, 2025 and terminated with the quarter ending December 31, 2025, our Advisor agreed to waive the portion of its quarterly income incentive fee, if any, if and to the extent that, after payment of such portion, our net investment income per share for such quarter would be less than the quarterly distribution per share declared in such quarter. During the three and nine months ended September 30, 2025, our Advisor did not earn an income incentive fee.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income derived from certain publicly traded partnerships, or other income (including but not limited to gains from options, futures or forward contracts) derived with respect to our business of investing in stock, securities or other currencies.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corporate-level income tax. If we fail to qualify as a RIC for any reason and become subject to corporate-level income tax, the resulting corporate-level income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adopted an “opt out” dividend reinvestment plan, or DRIP, for our common stockholders. As a result, if we declare a distribution, then stockholders’ cash distributions will be automatically reinvested in additional shares of our common stock, net of applicable withholding taxes,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NAV,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entered into the Investment Management Agreement with our Advisor. Our Advisor is registered as an investment adviser under the Investment Advisers Act of 1940, as amended. Our investment activities are managed by our Advisor and supervised by our Board, the majority of whom are independent directors. Under the Investment Management Agreement, we have agreed to pay our Advisor a base management fee as well as an incentive fee. During the three months ended September 30, 2026 and 2025, our Advisor earned $2.0 million and $2.7 million pursuant to the Investment Management Agreement, net of the Fee Waiver. During the nine months ended September 30, 2026 and 2025, our Advisor earned $10.0 million and $8.9 million pursuant to the Investment Management Agreement, net of the Fee Waiver.</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March 31, 2025, Monroe closed a transaction pursuant to which Momentum US Bidco LLC, an affiliate of Wendel SE, acquired 75% of the outstanding equity interests of Monroe Capital Intermediate Holdings, LLC, the indirect parent company of our Advisor, and certain other affiliates of Monroe (or the “Transaction”). The closing of the Transaction resulted in a change in control of our Advisor (the “Advisor Change in Control”). The Advisor Change in Control did not substantially or adversely affect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April 14, 2026, we completed our previously announced merger with MRCC, the Merger Sub, Monroe Capital BDC Advisors, LLC, and our Advisor, pursuant to the Merger Agreement. In connection with the Merger, our Advisor has agreed to waive $4.0 million of base management fees and/or incentive fees due and payable to our Advisor pursuant to the terms of the Investment Management Agreement at the rate of $1.0 million per quarter commencing with our third fiscal quarter of 2026. The Fee Waiver will be in effect until the end of our second fiscal quarter of 2027 and, for each applicable fiscal quarter, will not exceed the total amount of base management fees and incentive fees earned by our Advisor during such fiscal quarter. See “Item 2 — Management’s Discussion and Analysis of Financial Condition and Results of Operations — Overview” for additional information about the Mergers.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also entered into the Administration Agreement with our Advisor. Under the Administration Agreement, we have agreed to reimburse our Advisor for our allocable portion of overhead and other expenses incurred by our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our Advisor provides us with the office facilities and administrative services necessary to conduct our day-to-day operations. During the three months ended September 30, 2026 and 2025, our Advisor earned $0.4 million, pursuant to the Administration Agreement. During the nine months ended September 30, 2026 and 2025, our Advisor earned $1.5 million and $1.2 million, respectively, pursuant to the Administration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Advisor has granted us a non-exclusive, royalty-free license to use the service mark “Horizon Technology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we derive substantial benefits from our relationship with our Advisor. Our Advisor and its affiliates may manage other investment vehicles with similar or overlapping investment strategies as us. Our Advisor may provide us with an opportunity to co-invest with other investment vehicles managed by our Advisor, Monroe and/or their affiliates. Under the 1940 Act, absent receipt of exemptive relief from the SEC, we and our affiliates are precluded from co-investing in negotiated investments with other funds and accounts sponsored or managed by our Advisor, Monroe and their affiliates. On December 17, 2025, the SEC granted Monroe and its affiliates, our Advisor, and us exemptive relief for co-investments for us, our Advisor, Monroe and its affiliates. We are required to comply with all terms and conditions required therein. The exemptive relief affords our Advisor greater flexibility to negotiate the terms of co-investments if our Board determines that it would be advantageous for us to co-invest with other accounts sponsored or managed by our Advisor, Monroe or their affiliates in a manner consistent with our investment objectives, positions, policies, strategies and restrictions as well as regulatory requirements and other pertinent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discussion of our financial condition and results of operation is based upon our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identified the following items as 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Valuation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Investments are recorded at fair value. Pursuant to the amended SEC Rule 2a-5 of the 1940 Act, on July 29, 2022, our Board designated our Advisor as the “valuation designee.” Our Board is responsible for oversight of the valuation designee. The valuation designee has established a Valuation Committee to determine in good faith the fair value of our investments, based on input of our Advisor’s management and personnel and independent valuation firms which are engaged at the direction of the Valuation Committee to assist in the valuation of certain portfolio investments lacking a readily available market quotation at least once during a trailing twelve-month period. The Valuation Committee determines fair values pursuant to a valuation policy approved by our Board and pursuant to a consistently applied valuation process. This valuation process is conducted at the end of each fiscal quarter, with at least 25% (based on fair value) of our valuation of portfolio companies lacking readily available market quotations subject to review by an independent valuation firm. We apply fair value to substantially all of our investments in accordance with Topic 820, </w:t>
      </w:r>
      <w:r>
        <w:rPr>
          <w:rFonts w:ascii="Times New Roman" w:hAnsi="Times New Roman"/>
          <w:i/>
          <w:caps w:val="false"/>
          <w:smallCaps w:val="false"/>
          <w:sz w:val="20"/>
        </w:rPr>
        <w:t>Fair Value Measurement</w:t>
      </w:r>
      <w:r>
        <w:rPr>
          <w:rFonts w:ascii="Times New Roman" w:hAnsi="Times New Roman"/>
          <w:caps w:val="false"/>
          <w:smallCaps w:val="false"/>
          <w:sz w:val="20"/>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we believe market participants would use in pricing the financial instrument at the measurement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650"/>
        <w:gridCol w:w="5330"/>
      </w:tblGrid>
      <w:tr>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Level 1</w:t>
            </w:r>
          </w:p>
        </w:tc>
        <w:tc>
          <w:tcPr>
            <w:tcW w:w="5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in active markets for identical assets and liabilities.</w:t>
            </w:r>
          </w:p>
        </w:tc>
      </w:tr>
    </w:tbl>
    <w:tbl>
      <w:tblPr>
        <w:tblW w:w="10205" w:type="dxa"/>
        <w:jc w:val="left"/>
        <w:tblInd w:w="0" w:type="dxa"/>
        <w:tblLayout w:type="fixed"/>
        <w:tblCellMar>
          <w:top w:w="0" w:type="dxa"/>
          <w:left w:w="0" w:type="dxa"/>
          <w:bottom w:w="0" w:type="dxa"/>
          <w:right w:w="0" w:type="dxa"/>
        </w:tblCellMar>
      </w:tblPr>
      <w:tblGrid>
        <w:gridCol w:w="60"/>
        <w:gridCol w:w="547"/>
        <w:gridCol w:w="9598"/>
      </w:tblGrid>
      <w:tr>
        <w:tc>
          <w:tcPr>
            <w:tcW w:w="60" w:type="dxa"/>
            <w:tcBorders/>
            <w:vAlign w:val="center"/>
          </w:tcPr>
          <w:p>
            <w:pPr>
              <w:pStyle w:val="TableContents"/>
              <w:bidi w:val="0"/>
              <w:spacing w:before="0" w:after="283"/>
              <w:jc w:val="left"/>
            </w:pPr>
            <w:r>
              <w:t> </w:t>
            </w:r>
          </w:p>
        </w:tc>
        <w:tc>
          <w:tcPr>
            <w:tcW w:w="5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Level 2</w:t>
            </w:r>
          </w:p>
        </w:tc>
        <w:tc>
          <w:tcPr>
            <w:tcW w:w="959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tc>
      </w:tr>
    </w:tbl>
    <w:tbl>
      <w:tblPr>
        <w:tblW w:w="10205" w:type="dxa"/>
        <w:jc w:val="left"/>
        <w:tblInd w:w="0" w:type="dxa"/>
        <w:tblLayout w:type="fixed"/>
        <w:tblCellMar>
          <w:top w:w="0" w:type="dxa"/>
          <w:left w:w="0" w:type="dxa"/>
          <w:bottom w:w="0" w:type="dxa"/>
          <w:right w:w="0" w:type="dxa"/>
        </w:tblCellMar>
      </w:tblPr>
      <w:tblGrid>
        <w:gridCol w:w="60"/>
        <w:gridCol w:w="538"/>
        <w:gridCol w:w="9607"/>
      </w:tblGrid>
      <w:tr>
        <w:tc>
          <w:tcPr>
            <w:tcW w:w="60" w:type="dxa"/>
            <w:tcBorders/>
            <w:vAlign w:val="center"/>
          </w:tcPr>
          <w:p>
            <w:pPr>
              <w:pStyle w:val="TableContents"/>
              <w:bidi w:val="0"/>
              <w:spacing w:before="0" w:after="283"/>
              <w:jc w:val="left"/>
            </w:pPr>
            <w:r>
              <w:t> </w:t>
            </w:r>
          </w:p>
        </w:tc>
        <w:tc>
          <w:tcPr>
            <w:tcW w:w="5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Level 3</w:t>
            </w:r>
          </w:p>
        </w:tc>
        <w:tc>
          <w:tcPr>
            <w:tcW w:w="96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Income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months ended September 30, 2026 and 2025, we recognized in interest income $0.05 million and $0.04 million, respectively, from debt investments while on non-accrual status. For the nine months ended September 30, 2026 and 2025, we recognized in interest income $0.1 million and $0.3 million, respectively, from debt investments while on non-accrual status.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the ETP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Distributions from the RoHo Joint Venture are evaluated at the time of distribution to determine if the distribution should be recorded as dividend income or a return of capital. Generally, we will not record distributions from the RoHo Joint Venture as dividend income unless there are sufficient accumulated tax-basis earnings and profit in the RoHo Joint Venture prior to distribution. Distributions that are classified as a return of capital are recorded as a reduction in the cost basis of the investment. For the three months ended September 30, 2026 and the period March 18, 2026 (the commencement of the RoHo Joint Venture’s operations) through September 30, 2026, the RoHo Joint Venture did not distribute dividend income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unrealized appreciation or depreciation reflects the change in the fair values of our portfolio investments during the reporting period, including any reversal of previously recorded unrealized appreciation or depreciation, when gains or losses are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equal to at least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We evaluate tax positions taken in the course of preparing our tax returns to determine whether the tax positions are “more-likely-than-not” to be sustained by the applicable tax authority in accordance with ASC Topic 740, </w:t>
      </w:r>
      <w:r>
        <w:rPr>
          <w:rFonts w:ascii="Times New Roman" w:hAnsi="Times New Roman"/>
          <w:i/>
          <w:caps w:val="false"/>
          <w:smallCaps w:val="false"/>
          <w:sz w:val="20"/>
        </w:rPr>
        <w:t>Income Taxes</w:t>
      </w:r>
      <w:r>
        <w:rPr>
          <w:rFonts w:ascii="Times New Roman" w:hAnsi="Times New Roman"/>
          <w:caps w:val="false"/>
          <w:smallCaps w:val="false"/>
          <w:sz w:val="20"/>
        </w:rPr>
        <w:t xml:space="preserve">, as modified by ASC Topic 946, </w:t>
      </w:r>
      <w:r>
        <w:rPr>
          <w:rFonts w:ascii="Times New Roman" w:hAnsi="Times New Roman"/>
          <w:i/>
          <w:caps w:val="false"/>
          <w:smallCaps w:val="false"/>
          <w:sz w:val="20"/>
        </w:rPr>
        <w:t>Financial Services</w:t>
      </w:r>
      <w:r>
        <w:rPr>
          <w:rFonts w:ascii="Times New Roman" w:hAnsi="Times New Roman"/>
          <w:caps w:val="false"/>
          <w:smallCaps w:val="false"/>
          <w:sz w:val="20"/>
        </w:rPr>
        <w:t xml:space="preserve"> — </w:t>
      </w:r>
      <w:r>
        <w:rPr>
          <w:rFonts w:ascii="Times New Roman" w:hAnsi="Times New Roman"/>
          <w:i/>
          <w:caps w:val="false"/>
          <w:smallCaps w:val="false"/>
          <w:sz w:val="20"/>
        </w:rPr>
        <w:t>Investment Companies</w:t>
      </w:r>
      <w:r>
        <w:rPr>
          <w:rFonts w:ascii="Times New Roman" w:hAnsi="Times New Roman"/>
          <w:caps w:val="false"/>
          <w:smallCaps w:val="false"/>
          <w:sz w:val="20"/>
        </w:rPr>
        <w:t>. Tax benefits of positions not deemed to meet the more-likely-than-not threshold, or uncertain tax positions, are recorded as a tax expense in the current year. It is our policy to recognize accrued interest and penalties related to uncertain tax benefits in income tax expense. We had no material uncertain tax positions at September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November 2024, the Financial Accounting Standards Board (the “FASB”) issued Accounting Standards Update (“ASU”) No. 2024-03, Income Statement - Reporting Comprehensive Income - Expense Disaggregation Disclosures (Subtopic 220-40). ASU No. 2024-03 requires disaggregated disclosure of certain costs and expenses, including purchase of inventory, employee compensation, depreciation, amortization and depletion, within relevant income statement captions. ASU 2024-03 is effective for years beginning after December 15, 2026, and interim periods beginning after December 15, 2027. Early adoption and retrospective application are permitted. We are currently evaluating the impact ASU No. 2024-03.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2025-11, Interim Reporting (Topic 270): Narrow-Scope Improvements, which clarifies interim reporting disclosure requirements and enhances the organization of interim reporting guidance. ASU 2025-11 is effective for interim reporting periods within fiscal years beginning after December 15, 2027. Early adoption is permitted. We are currently evaluating the impact ASU No. 2025-11.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September 2026, the FASB issued ASU 2026-03, Fair Value Measurement (Topic 820): Investment Companies with Equity Securities Subject to Contractual Sale Restrictions, which amends the fair value measurement guidance for investment companies to require that a contractual restriction prohibiting the sale of an equity security be considered in measuring the fair value of the security. The amendments also require additional disclosure of the discount attributable to the contractual sale restriction that is incorporated into the fair value measurement. ASU 2026-03 is effective for fiscal years beginning after December 15, 2027, including interim periods within those fiscal years. Early adoption is permitted. We are currently evaluating the impact ASU No. 2026-03.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180"/>
        <w:jc w:val="both"/>
        <w:rPr>
          <w:rFonts w:ascii="Times New Roman" w:hAnsi="Times New Roman"/>
          <w:caps w:val="false"/>
          <w:smallCaps w:val="false"/>
          <w:sz w:val="20"/>
        </w:rPr>
      </w:pPr>
      <w:r>
        <w:rPr>
          <w:rFonts w:ascii="Times New Roman" w:hAnsi="Times New Roman"/>
          <w:caps w:val="false"/>
          <w:smallCaps w:val="false"/>
          <w:sz w:val="20"/>
        </w:rPr>
        <w:t>On October 13, 2026, Glass Routes, LLC prepaid its outstanding principal balance of $7.5 million on its venture loan, plus interest, and prepayment penalty.</w:t>
      </w:r>
    </w:p>
    <w:p>
      <w:pPr>
        <w:pStyle w:val="TextBody"/>
        <w:bidi w:val="0"/>
        <w:spacing w:before="0" w:after="0"/>
        <w:ind w:left="160" w:right="0" w:firstLine="180"/>
        <w:jc w:val="both"/>
        <w:rPr>
          <w:caps w:val="false"/>
          <w:smallCaps w:val="false"/>
        </w:rPr>
      </w:pPr>
      <w:r>
        <w:rPr>
          <w:caps w:val="false"/>
          <w:smallCaps w:val="false"/>
        </w:rPr>
        <w:t> </w:t>
      </w:r>
    </w:p>
    <w:p>
      <w:pPr>
        <w:pStyle w:val="TextBody"/>
        <w:bidi w:val="0"/>
        <w:spacing w:before="0" w:after="0"/>
        <w:ind w:left="160" w:right="0" w:firstLine="180"/>
        <w:jc w:val="both"/>
        <w:rPr>
          <w:rFonts w:ascii="Times New Roman" w:hAnsi="Times New Roman"/>
          <w:caps w:val="false"/>
          <w:smallCaps w:val="false"/>
          <w:sz w:val="20"/>
        </w:rPr>
      </w:pPr>
      <w:r>
        <w:rPr>
          <w:rFonts w:ascii="Times New Roman" w:hAnsi="Times New Roman"/>
          <w:caps w:val="false"/>
          <w:smallCaps w:val="false"/>
          <w:sz w:val="20"/>
        </w:rPr>
        <w:t>On October 20, 2026, Hometeam Technologies, Inc. repaid $3.5 million of the outstanding principal balance on its venture loan.</w:t>
      </w:r>
    </w:p>
    <w:p>
      <w:pPr>
        <w:pStyle w:val="TextBody"/>
        <w:bidi w:val="0"/>
        <w:spacing w:before="0" w:after="0"/>
        <w:ind w:left="160" w:right="0" w:firstLine="180"/>
        <w:jc w:val="both"/>
        <w:rPr>
          <w:caps w:val="false"/>
          <w:smallCaps w:val="false"/>
        </w:rPr>
      </w:pPr>
      <w:r>
        <w:rPr>
          <w:caps w:val="false"/>
          <w:smallCaps w:val="false"/>
        </w:rPr>
        <w:t> </w:t>
      </w:r>
    </w:p>
    <w:p>
      <w:pPr>
        <w:pStyle w:val="TextBody"/>
        <w:bidi w:val="0"/>
        <w:spacing w:before="0" w:after="0"/>
        <w:ind w:left="160" w:right="0" w:firstLine="180"/>
        <w:jc w:val="both"/>
        <w:rPr>
          <w:rFonts w:ascii="Times New Roman" w:hAnsi="Times New Roman"/>
          <w:caps w:val="false"/>
          <w:smallCaps w:val="false"/>
          <w:sz w:val="20"/>
        </w:rPr>
      </w:pPr>
      <w:r>
        <w:rPr>
          <w:rFonts w:ascii="Times New Roman" w:hAnsi="Times New Roman"/>
          <w:caps w:val="false"/>
          <w:smallCaps w:val="false"/>
          <w:sz w:val="20"/>
        </w:rPr>
        <w:t>On October 30, 2026, we funded a $10.0 million debt investment to an existing portfolio company, Pelthos Therapeutics, Inc.</w:t>
      </w:r>
    </w:p>
    <w:p>
      <w:pPr>
        <w:pStyle w:val="TextBody"/>
        <w:bidi w:val="0"/>
        <w:spacing w:before="0" w:after="0"/>
        <w:ind w:left="160" w:right="0" w:firstLine="180"/>
        <w:jc w:val="both"/>
        <w:rPr>
          <w:caps w:val="false"/>
          <w:smallCaps w:val="false"/>
        </w:rPr>
      </w:pPr>
      <w:r>
        <w:rPr>
          <w:caps w:val="false"/>
          <w:smallCaps w:val="false"/>
        </w:rPr>
        <w:t> </w:t>
      </w:r>
    </w:p>
    <w:p>
      <w:pPr>
        <w:pStyle w:val="TextBody"/>
        <w:bidi w:val="0"/>
        <w:spacing w:before="0" w:after="0"/>
        <w:ind w:left="160" w:right="0" w:firstLine="180"/>
        <w:jc w:val="both"/>
        <w:rPr>
          <w:rFonts w:ascii="Times New Roman" w:hAnsi="Times New Roman"/>
          <w:caps w:val="false"/>
          <w:smallCaps w:val="false"/>
          <w:sz w:val="20"/>
        </w:rPr>
      </w:pPr>
      <w:r>
        <w:rPr>
          <w:rFonts w:ascii="Times New Roman" w:hAnsi="Times New Roman"/>
          <w:caps w:val="false"/>
          <w:smallCaps w:val="false"/>
          <w:sz w:val="20"/>
        </w:rPr>
        <w:t>On October 30, 2026, we funded a $0.1 million debt investment to an existing portfolio company Volt Bidco, Inc.</w:t>
      </w:r>
    </w:p>
    <w:p>
      <w:pPr>
        <w:pStyle w:val="TextBody"/>
        <w:bidi w:val="0"/>
        <w:spacing w:before="0" w:after="0"/>
        <w:ind w:left="16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160" w:right="0" w:hanging="180"/>
        <w:jc w:val="left"/>
        <w:rPr>
          <w:rFonts w:ascii="Times New Roman" w:hAnsi="Times New Roman"/>
          <w:caps w:val="false"/>
          <w:smallCaps w:val="false"/>
          <w:sz w:val="20"/>
        </w:rPr>
      </w:pPr>
      <w:bookmarkStart w:id="10" w:name="qqdmr"/>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i/>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September 30, 2026 and December 31, 2025, 98% and 100%, respectively, of the outstanding principal amount of our debt investments bore interest at floating rates. Contractual interest rates on our commitments to lend to our portfolio companies are typically based on the Prime Rate as published in the Wall Street Journal.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Based on our September 30, 2026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September 30, 2026, the following table shows the annual impact on the change in net assets resulting from operations of changes in interest rates, which assumes no changes in our investments and borrowings:</w:t>
      </w:r>
    </w:p>
    <w:p>
      <w:pPr>
        <w:pStyle w:val="TextBody"/>
        <w:bidi w:val="0"/>
        <w:spacing w:before="0" w:after="0"/>
        <w:ind w:left="0" w:right="0" w:hanging="0"/>
        <w:jc w:val="left"/>
        <w:rPr>
          <w:caps w:val="false"/>
          <w:smallCaps w:val="false"/>
        </w:rPr>
      </w:pPr>
      <w:r>
        <w:rPr>
          <w:caps w:val="false"/>
          <w:smallCaps w:val="false"/>
        </w:rPr>
        <w:t> </w:t>
      </w:r>
    </w:p>
    <w:tbl>
      <w:tblPr>
        <w:tblW w:w="5174" w:type="dxa"/>
        <w:jc w:val="left"/>
        <w:tblInd w:w="0" w:type="dxa"/>
        <w:tblLayout w:type="fixed"/>
        <w:tblCellMar>
          <w:top w:w="0" w:type="dxa"/>
          <w:left w:w="0" w:type="dxa"/>
          <w:bottom w:w="0" w:type="dxa"/>
          <w:right w:w="0" w:type="dxa"/>
        </w:tblCellMar>
      </w:tblPr>
      <w:tblGrid>
        <w:gridCol w:w="1895"/>
        <w:gridCol w:w="60"/>
        <w:gridCol w:w="166"/>
        <w:gridCol w:w="784"/>
        <w:gridCol w:w="80"/>
        <w:gridCol w:w="60"/>
        <w:gridCol w:w="234"/>
        <w:gridCol w:w="491"/>
        <w:gridCol w:w="60"/>
        <w:gridCol w:w="60"/>
        <w:gridCol w:w="210"/>
        <w:gridCol w:w="994"/>
        <w:gridCol w:w="80"/>
      </w:tblGrid>
      <w:tr>
        <w:tc>
          <w:tcPr>
            <w:tcW w:w="18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Interest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 in Net</w:t>
            </w:r>
          </w:p>
        </w:tc>
        <w:tc>
          <w:tcPr>
            <w:tcW w:w="80" w:type="dxa"/>
            <w:tcBorders/>
            <w:shd w:fill="FFFFFF" w:val="clear"/>
            <w:vAlign w:val="center"/>
          </w:tcPr>
          <w:p>
            <w:pPr>
              <w:pStyle w:val="TableContents"/>
              <w:bidi w:val="0"/>
              <w:spacing w:before="0" w:after="283"/>
              <w:jc w:val="left"/>
            </w:pPr>
            <w:r>
              <w:t> </w:t>
            </w:r>
          </w:p>
        </w:tc>
      </w:tr>
      <w:tr>
        <w:tc>
          <w:tcPr>
            <w:tcW w:w="18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 in basis points</w:t>
            </w:r>
          </w:p>
        </w:tc>
        <w:tc>
          <w:tcPr>
            <w:tcW w:w="60" w:type="dxa"/>
            <w:tcBorders/>
            <w:shd w:fill="FFFFFF" w:val="clear"/>
            <w:vAlign w:val="center"/>
          </w:tcPr>
          <w:p>
            <w:pPr>
              <w:pStyle w:val="TableContents"/>
              <w:bidi w:val="0"/>
              <w:spacing w:before="0" w:after="283"/>
              <w:ind w:left="0" w:right="0" w:hanging="0"/>
              <w:jc w:val="left"/>
            </w:pPr>
            <w: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Income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8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139"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pPr>
            <w:r>
              <w:t> </w:t>
            </w:r>
          </w:p>
        </w:tc>
      </w:tr>
      <w:t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 300 basis points</w:t>
            </w:r>
          </w:p>
        </w:tc>
        <w:tc>
          <w:tcPr>
            <w:tcW w:w="60" w:type="dxa"/>
            <w:tcBorders/>
            <w:shd w:fill="CCEEFF" w:val="clear"/>
            <w:vAlign w:val="center"/>
          </w:tcPr>
          <w:p>
            <w:pPr>
              <w:pStyle w:val="TableContents"/>
              <w:bidi w:val="0"/>
              <w:spacing w:before="0" w:after="283"/>
              <w:ind w:left="0" w:right="0" w:hanging="0"/>
              <w:jc w:val="left"/>
            </w:pPr>
            <w: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17,780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17,780</w:t>
            </w:r>
          </w:p>
        </w:tc>
        <w:tc>
          <w:tcPr>
            <w:tcW w:w="80" w:type="dxa"/>
            <w:tcBorders/>
            <w:shd w:fill="CCEEFF" w:val="clear"/>
            <w:vAlign w:val="center"/>
          </w:tcPr>
          <w:p>
            <w:pPr>
              <w:pStyle w:val="TableContents"/>
              <w:bidi w:val="0"/>
              <w:spacing w:before="0" w:after="283"/>
              <w:jc w:val="left"/>
            </w:pPr>
            <w:r>
              <w:t> </w:t>
            </w:r>
          </w:p>
        </w:tc>
      </w:tr>
      <w:t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 200 basis points</w:t>
            </w:r>
          </w:p>
        </w:tc>
        <w:tc>
          <w:tcPr>
            <w:tcW w:w="60" w:type="dxa"/>
            <w:tcBorders/>
            <w:shd w:fill="FFFFFF" w:val="clear"/>
            <w:vAlign w:val="center"/>
          </w:tcPr>
          <w:p>
            <w:pPr>
              <w:pStyle w:val="TableContents"/>
              <w:bidi w:val="0"/>
              <w:spacing w:before="0" w:after="283"/>
              <w:ind w:left="0" w:right="0" w:hanging="0"/>
              <w:jc w:val="left"/>
            </w:pPr>
            <w:r>
              <w:t> </w:t>
            </w:r>
          </w:p>
        </w:tc>
        <w:tc>
          <w:tcPr>
            <w:tcW w:w="16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11,417</w:t>
            </w:r>
          </w:p>
        </w:tc>
        <w:tc>
          <w:tcPr>
            <w:tcW w:w="80" w:type="dxa"/>
            <w:tcBorders/>
            <w:shd w:fill="FFFFFF" w:val="clear"/>
            <w:vAlign w:val="center"/>
          </w:tcPr>
          <w:p>
            <w:pPr>
              <w:pStyle w:val="TableContents"/>
              <w:bidi w:val="0"/>
              <w:spacing w:before="0" w:after="283"/>
              <w:jc w:val="left"/>
            </w:pPr>
            <w:r>
              <w:t> </w:t>
            </w:r>
          </w:p>
        </w:tc>
      </w:tr>
      <w:t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 100 basis points</w:t>
            </w:r>
          </w:p>
        </w:tc>
        <w:tc>
          <w:tcPr>
            <w:tcW w:w="60" w:type="dxa"/>
            <w:tcBorders/>
            <w:shd w:fill="CCEEFF" w:val="clear"/>
            <w:vAlign w:val="center"/>
          </w:tcPr>
          <w:p>
            <w:pPr>
              <w:pStyle w:val="TableContents"/>
              <w:bidi w:val="0"/>
              <w:spacing w:before="0" w:after="283"/>
              <w:ind w:left="0" w:right="0" w:hanging="0"/>
              <w:jc w:val="left"/>
            </w:pPr>
            <w: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5,156</w:t>
            </w:r>
          </w:p>
        </w:tc>
        <w:tc>
          <w:tcPr>
            <w:tcW w:w="80" w:type="dxa"/>
            <w:tcBorders/>
            <w:shd w:fill="CCEEFF" w:val="clear"/>
            <w:vAlign w:val="center"/>
          </w:tcPr>
          <w:p>
            <w:pPr>
              <w:pStyle w:val="TableContents"/>
              <w:bidi w:val="0"/>
              <w:spacing w:before="0" w:after="283"/>
              <w:jc w:val="left"/>
            </w:pPr>
            <w:r>
              <w:t> </w:t>
            </w:r>
          </w:p>
        </w:tc>
      </w:tr>
      <w:t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Down 300 basis points</w:t>
            </w:r>
          </w:p>
        </w:tc>
        <w:tc>
          <w:tcPr>
            <w:tcW w:w="60" w:type="dxa"/>
            <w:tcBorders/>
            <w:shd w:fill="FFFFFF" w:val="clear"/>
            <w:vAlign w:val="center"/>
          </w:tcPr>
          <w:p>
            <w:pPr>
              <w:pStyle w:val="TableContents"/>
              <w:bidi w:val="0"/>
              <w:spacing w:before="0" w:after="283"/>
              <w:ind w:left="0" w:right="0" w:hanging="0"/>
              <w:jc w:val="left"/>
            </w:pPr>
            <w:r>
              <w:t> </w:t>
            </w:r>
          </w:p>
        </w:tc>
        <w:tc>
          <w:tcPr>
            <w:tcW w:w="16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2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Down 200 basis points</w:t>
            </w:r>
          </w:p>
        </w:tc>
        <w:tc>
          <w:tcPr>
            <w:tcW w:w="60" w:type="dxa"/>
            <w:tcBorders/>
            <w:shd w:fill="CCEEFF" w:val="clear"/>
            <w:vAlign w:val="center"/>
          </w:tcPr>
          <w:p>
            <w:pPr>
              <w:pStyle w:val="TableContents"/>
              <w:bidi w:val="0"/>
              <w:spacing w:before="0" w:after="283"/>
              <w:ind w:left="0" w:right="0" w:hanging="0"/>
              <w:jc w:val="left"/>
            </w:pPr>
            <w: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Down 100 basis points</w:t>
            </w:r>
          </w:p>
        </w:tc>
        <w:tc>
          <w:tcPr>
            <w:tcW w:w="60" w:type="dxa"/>
            <w:tcBorders/>
            <w:shd w:fill="FFFFFF" w:val="clear"/>
            <w:vAlign w:val="center"/>
          </w:tcPr>
          <w:p>
            <w:pPr>
              <w:pStyle w:val="TableContents"/>
              <w:bidi w:val="0"/>
              <w:spacing w:before="0" w:after="283"/>
              <w:ind w:left="0" w:right="0" w:hanging="0"/>
              <w:jc w:val="left"/>
            </w:pPr>
            <w:r>
              <w:t> </w:t>
            </w:r>
          </w:p>
        </w:tc>
        <w:tc>
          <w:tcPr>
            <w:tcW w:w="16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2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HorizontalLine"/>
        <w:pBdr>
          <w:bottom w:val="double" w:sz="2" w:space="0" w:color="808080"/>
        </w:pBdr>
        <w:bidi w:val="0"/>
        <w:spacing w:before="0" w:after="283"/>
        <w:jc w:val="left"/>
      </w:pPr>
      <w:r/>
    </w:p>
    <w:tbl>
      <w:tblPr>
        <w:tblW w:w="7480" w:type="dxa"/>
        <w:jc w:val="left"/>
        <w:tblInd w:w="0" w:type="dxa"/>
        <w:tblLayout w:type="fixed"/>
        <w:tblCellMar>
          <w:top w:w="0" w:type="dxa"/>
          <w:left w:w="0" w:type="dxa"/>
          <w:bottom w:w="0" w:type="dxa"/>
          <w:right w:w="0" w:type="dxa"/>
        </w:tblCellMar>
      </w:tblPr>
      <w:tblGrid>
        <w:gridCol w:w="245"/>
        <w:gridCol w:w="7235"/>
      </w:tblGrid>
      <w:t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Excludes the impact of incentive fees based on Pre-Incentive Fee Net Investment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While our 2027 Notes, our 2028 Notes, our 2030 Convertible Notes and our 2031 Convertible Notes bear interest at a fixed rate, our Credit Facilities have floating interest rate provisions. The Key Facility is subject to an interest rate floor of 4.10% per annum, based on a prime rate index which resets monthly. The interest payable on the NYL Facility is based on the Three Year I Curve rate plus a margin between 2.95% and 3.50% with an interest rate floor and resets on any advance date. The interest payable on the Nuveen Facility is based on the United States Treasury constant maturity 3-year and 5-year rates plus a margin between 2.95% and 3.50% with an interest rate floor and resets on any advance date.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 Engaging in commodity interest transactions such as swap transactions or futures contracts on our behalf may cause our Advisor to fall within the definition of “commodity pool operator” under the Commodity Exchange Act (the “CEA”), and related Commodity Futures Trading Commission (the “CFTC”), regulations. On January 31, 2020, our Advisor claimed an exclusion from the definition of the term “commodity pool operator” under the CEA and the CFTC regulations in connection with its management of us and, therefore, is not subject to CFTC registration or regulation under the CEA as a commodity pool operator with respect to its management of us.</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elevated interest rates, our cost of funds could increase, which would reduce our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Inflation, Market Volatility and Supply Chain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Economic activity has continued to accelerate across sectors and regions. Nevertheless, due to global supply chain issues, geopolitical events, a rise in energy prices and strong consumer demand as economies continue to reopen, inflation accelerated in the United States and globally before falling to lower levels at the end of 2023. Inflation may revive in the near to medium-term, particularly in the United States, with the advent of significant trade tariffs at the federal level, and monetary policy may tighten in response. Concerns over future increases in inflation, economic recession, as well as interest rate volatility and fluctuations in oil and gas prices resulting from global production and demand levels, as well as geopolitical tension, have exacerbated market volatility. Market uncertainty and volatility have also been magnified by actual and potential shifts in U.S. and foreign, trade, economic and other policies, including with respect to treaties and tariffs and uncertainty related to the upcoming 2026 U.S. midterm elections. Persistent inflationary pressures, foreign currency exchange volatility, volatility in global capital markets and concerns over actual and potential tariffs and sanctions could affect our portfolio companies’ profit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1" w:name="cps"/>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i/>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w:t>
      </w:r>
      <w:r>
        <w:rPr>
          <w:rFonts w:ascii="Times New Roman" w:hAnsi="Times New Roman"/>
          <w:caps w:val="false"/>
          <w:smallCaps w:val="false"/>
          <w:sz w:val="20"/>
        </w:rPr>
        <w:t> </w:t>
      </w:r>
      <w:r>
        <w:rPr>
          <w:rFonts w:ascii="Times New Roman" w:hAnsi="Times New Roman"/>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we, including our Chief Executive Officer and Chief Financial Officer, evaluated the effectiveness of the design and operation of our disclosure controls and procedures (as defined in Rule 13a</w:t>
        <w:noBreakHyphen/>
        <w:t>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w:t>
      </w:r>
      <w:r>
        <w:rPr>
          <w:rFonts w:ascii="Times New Roman" w:hAnsi="Times New Roman"/>
          <w:caps w:val="false"/>
          <w:smallCaps w:val="false"/>
          <w:sz w:val="20"/>
        </w:rPr>
        <w:t> </w:t>
      </w:r>
      <w:r>
        <w:rPr>
          <w:rFonts w:ascii="Times New Roman" w:hAnsi="Times New Roman"/>
          <w:b/>
          <w:i/>
          <w:caps w:val="false"/>
          <w:smallCaps w:val="false"/>
          <w:sz w:val="20"/>
        </w:rPr>
        <w:t>Changes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our internal control over financial reporting (as defined in Rules 13a</w:t>
        <w:noBreakHyphen/>
        <w:t>15(f) and 15d</w:t>
        <w:noBreakHyphen/>
        <w:t>15(f) under the Exchange Act) during our most recently completed fiscal quarter,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legal"/>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subject to certain legal proceedings, from time to time, in the ordinary course of business. From time to time, we and our investment adviser may, in the ordinary course of business, be named as defendants in litigation arising from our investments in our portfolio companies and may, as a result, incur significant costs and expenses in connection with such litigation. We and our investment adviser are also subject to extensive regulation, which may result in regulatory proceedings or investigations against us or our investment adviser, respectively. While the outcome of any such future legal or regulatory proceedings cannot be predicted with certainty, neither us nor our investment adviser expect that any such future proceedings will have a material effect upon our financial condition or results of operations. As of September 30, 2026, the following developments have occurred with respect to the legal proceedings in which we are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i/>
          <w:caps w:val="false"/>
          <w:smallCaps w:val="false"/>
          <w:sz w:val="20"/>
        </w:rPr>
        <w:t>Notice of Dismissal of Monroe Merger Litigation and Agreement Upon Attorneys</w:t>
      </w:r>
      <w:r>
        <w:rPr>
          <w:rFonts w:ascii="Times New Roman" w:hAnsi="Times New Roman"/>
          <w:b/>
          <w:caps w:val="false"/>
          <w:smallCaps w:val="false"/>
          <w:sz w:val="20"/>
        </w:rPr>
        <w:t xml:space="preserve">’ </w:t>
      </w:r>
      <w:r>
        <w:rPr>
          <w:rFonts w:ascii="Times New Roman" w:hAnsi="Times New Roman"/>
          <w:b/>
          <w:i/>
          <w:caps w:val="false"/>
          <w:smallCaps w:val="false"/>
          <w:sz w:val="20"/>
        </w:rPr>
        <w:t>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January 30, 2026, plaintiff Stephen Bushansky (the “Plaintiff”), a purported stockholder of the Company, filed a putative class action lawsuit captioned Bushansky v. Horizon Technology Finance Corporation, C.A. No. 2026-0136-PAF (the “Action”) in the Court of Chancery of the State of Delaware (the “Court”), naming as defendants the Company and members of the Board (together, the “Defendants”). The Action alleged, among other things, that the Board violated its fiduciary duties under Delaware law by failing to disclose purportedly material information regarding the Monroe Merger in the proxy statement included in the Form 424B3 (the “Proxy”) filed on January 20, 2026 with the SEC. The Plaintiff also filed a motion for expedited proceedings and a motion for a preliminary injunction. On March 6, 2026, without admitting any liability or wrongdoing, or that any supplemental disclosures were required under applicable laws, the Company filed a Form 8-K with the SEC voluntarily making certain additional disclosures to supplement those contained in the Proxy. On May 11, 2026, the Court granted a stipulation and proposed order voluntarily dismissing the Action as to Plaintiff only, and retaining jurisdiction solely for the purpose of adjudicating the anticipated application of the Plaintiff’s counsel for an award of attorneys’ fees and reimbursement of expenses in connection with the Action (the “Fee and Expense Application”).  Following negotiations, the Company, while denying any and all liability on behalf of the Defendants and maintaining that the Proxy complies fully with all applicable laws, decided it was in its and its stockholders’ best interests to pay the Plaintiff’s counsel $32,500 in attorneys’ fees and expenses to resolve the Fee and Expense Application. The Court has not been asked to review, and will pass no judgment on, the payment of these attorneys’ fees and expenses.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risks"/>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other information set forth in this quarterly report on Form 10-Q, you should carefully consider the factors set forth in “Item 1A Risk Factors” in our annual report on Form 10</w:t>
        <w:noBreakHyphen/>
        <w:t>K for the year ended December 31, 2025, which could materially affect our business, financial condition and/or operating results. Additional risks and uncertainties not currently known to us or that we currently deem to be immaterial also may materially affect our business, financial condition and/or operating results. Except as set forth below, there have been no material changes during the nine months ended September 30, 2026 to the risk factors set forth in “Item 1A. Risk Factors” of our annual report on Form 10-K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conflicts in the Middle East</w:t>
      </w:r>
      <w:r>
        <w:rPr>
          <w:rFonts w:ascii="Times New Roman" w:hAnsi="Times New Roman"/>
          <w:caps w:val="false"/>
          <w:smallCaps w:val="false"/>
          <w:sz w:val="20"/>
        </w:rPr>
        <w:t> </w:t>
      </w:r>
      <w:r>
        <w:rPr>
          <w:rFonts w:ascii="Times New Roman" w:hAnsi="Times New Roman"/>
          <w:b/>
          <w:i/>
          <w:caps w:val="false"/>
          <w:smallCaps w:val="false"/>
          <w:sz w:val="20"/>
        </w:rPr>
        <w:t xml:space="preserve">may impact regional and global economic markets.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ongoing conflicts in the Middle East, including the involvement of the United States and other countries, including Israel and Iran, as well as political and civil unrest related to the foregoing, could have severe adverse effects on regional and global economic markets. It is difficult to predict the conflicts’ impact on global and market conditions and, as a result, there is material uncertainty and risk with respect to us and our portfolio companies, and our ability and the ability of the portfolio companies to achieve their investment objectives.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caps w:val="false"/>
          <w:smallCaps w:val="false"/>
          <w:sz w:val="20"/>
        </w:rPr>
      </w:pPr>
      <w:bookmarkStart w:id="15" w:name="uses"/>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our purchases of our common stock for each month in the three month period ended September 30,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4"/>
        <w:gridCol w:w="60"/>
        <w:gridCol w:w="94"/>
        <w:gridCol w:w="1328"/>
        <w:gridCol w:w="60"/>
        <w:gridCol w:w="60"/>
        <w:gridCol w:w="295"/>
        <w:gridCol w:w="898"/>
        <w:gridCol w:w="60"/>
        <w:gridCol w:w="60"/>
        <w:gridCol w:w="169"/>
        <w:gridCol w:w="2427"/>
        <w:gridCol w:w="60"/>
        <w:gridCol w:w="60"/>
        <w:gridCol w:w="498"/>
        <w:gridCol w:w="2353"/>
        <w:gridCol w:w="79"/>
      </w:tblGrid>
      <w:tr>
        <w:tc>
          <w:tcPr>
            <w:tcW w:w="164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pPr>
            <w:r>
              <w:t> </w:t>
            </w:r>
          </w:p>
        </w:tc>
        <w:tc>
          <w:tcPr>
            <w:tcW w:w="14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 Paid Per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as Part of Publicly Announced Plans or Programs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 of Shares that May Yet Be Purchased Under the Plans or Programs</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2026 through July 31, 2026</w:t>
            </w:r>
          </w:p>
        </w:tc>
        <w:tc>
          <w:tcPr>
            <w:tcW w:w="60"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ind w:left="0" w:right="0" w:hanging="0"/>
              <w:jc w:val="left"/>
            </w:pPr>
            <w:r>
              <w:t> </w:t>
            </w:r>
          </w:p>
        </w:tc>
        <w:tc>
          <w:tcPr>
            <w:tcW w:w="132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9" w:type="dxa"/>
            <w:tcBorders/>
            <w:shd w:fill="CCEEFF" w:val="clear"/>
            <w:vAlign w:val="center"/>
          </w:tcPr>
          <w:p>
            <w:pPr>
              <w:pStyle w:val="TableContents"/>
              <w:bidi w:val="0"/>
              <w:spacing w:before="0" w:after="283"/>
              <w:ind w:left="0" w:right="0" w:hanging="0"/>
              <w:jc w:val="left"/>
            </w:pPr>
            <w:r>
              <w:t> </w:t>
            </w:r>
          </w:p>
        </w:tc>
        <w:tc>
          <w:tcPr>
            <w:tcW w:w="242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3,769</w:t>
            </w:r>
          </w:p>
        </w:tc>
        <w:tc>
          <w:tcPr>
            <w:tcW w:w="79" w:type="dxa"/>
            <w:tcBorders/>
            <w:shd w:fill="CCEEFF" w:val="clear"/>
            <w:vAlign w:val="center"/>
          </w:tcPr>
          <w:p>
            <w:pPr>
              <w:pStyle w:val="TableContents"/>
              <w:bidi w:val="0"/>
              <w:spacing w:before="0" w:after="283"/>
              <w:jc w:val="left"/>
            </w:pPr>
            <w:r>
              <w:t> </w:t>
            </w:r>
          </w:p>
        </w:tc>
      </w:tr>
      <w:tr>
        <w:tc>
          <w:tcPr>
            <w:tcW w:w="16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2026 through August 31, 2026</w:t>
            </w:r>
          </w:p>
        </w:tc>
        <w:tc>
          <w:tcPr>
            <w:tcW w:w="60"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ind w:left="0" w:right="0" w:hanging="0"/>
              <w:jc w:val="left"/>
            </w:pPr>
            <w:r>
              <w:t> </w:t>
            </w:r>
          </w:p>
        </w:tc>
        <w:tc>
          <w:tcPr>
            <w:tcW w:w="13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1,005,324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9" w:type="dxa"/>
            <w:tcBorders/>
            <w:shd w:fill="FFFFFF" w:val="clear"/>
            <w:vAlign w:val="center"/>
          </w:tcPr>
          <w:p>
            <w:pPr>
              <w:pStyle w:val="TableContents"/>
              <w:bidi w:val="0"/>
              <w:spacing w:before="0" w:after="283"/>
              <w:ind w:left="0" w:right="0" w:hanging="0"/>
              <w:jc w:val="left"/>
            </w:pPr>
            <w:r>
              <w:t> </w:t>
            </w:r>
          </w:p>
        </w:tc>
        <w:tc>
          <w:tcPr>
            <w:tcW w:w="24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1,005,324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79" w:type="dxa"/>
            <w:tcBorders/>
            <w:shd w:fill="FFFFFF" w:val="clear"/>
            <w:vAlign w:val="center"/>
          </w:tcPr>
          <w:p>
            <w:pPr>
              <w:pStyle w:val="TableContents"/>
              <w:bidi w:val="0"/>
              <w:spacing w:before="0" w:after="283"/>
              <w:jc w:val="left"/>
            </w:pPr>
            <w:r>
              <w:t> </w:t>
            </w:r>
          </w:p>
        </w:tc>
      </w:tr>
      <w:tr>
        <w:tc>
          <w:tcPr>
            <w:tcW w:w="16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 2026 through September 30, 2026</w:t>
            </w:r>
          </w:p>
        </w:tc>
        <w:tc>
          <w:tcPr>
            <w:tcW w:w="60" w:type="dxa"/>
            <w:tcBorders/>
            <w:shd w:fill="CCEEFF" w:val="clear"/>
            <w:vAlign w:val="center"/>
          </w:tcPr>
          <w:p>
            <w:pPr>
              <w:pStyle w:val="TableContents"/>
              <w:bidi w:val="0"/>
              <w:spacing w:before="0" w:after="283"/>
              <w:jc w:val="left"/>
            </w:pPr>
            <w: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4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79" w:type="dxa"/>
            <w:tcBorders/>
            <w:shd w:fill="CCEEFF" w:val="clear"/>
            <w:vAlign w:val="center"/>
          </w:tcPr>
          <w:p>
            <w:pPr>
              <w:pStyle w:val="TableContents"/>
              <w:bidi w:val="0"/>
              <w:spacing w:before="0" w:after="283"/>
              <w:jc w:val="left"/>
            </w:pPr>
            <w:r>
              <w:t> </w:t>
            </w:r>
          </w:p>
        </w:tc>
      </w:tr>
      <w:tr>
        <w:tc>
          <w:tcPr>
            <w:tcW w:w="164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2,033,991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4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2,033,991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98" w:type="dxa"/>
            <w:tcBorders/>
            <w:shd w:fill="FFFFFF" w:val="clear"/>
            <w:vAlign w:val="center"/>
          </w:tcPr>
          <w:p>
            <w:pPr>
              <w:pStyle w:val="TableContents"/>
              <w:bidi w:val="0"/>
              <w:spacing w:before="0" w:after="283"/>
              <w:jc w:val="left"/>
            </w:pPr>
            <w:r>
              <w:t> </w:t>
            </w:r>
          </w:p>
        </w:tc>
        <w:tc>
          <w:tcPr>
            <w:tcW w:w="2353"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4" w:type="dxa"/>
            <w:tcBorders/>
            <w:vAlign w:val="center"/>
          </w:tcPr>
          <w:p>
            <w:pPr>
              <w:pStyle w:val="TableContents"/>
              <w:bidi w:val="0"/>
              <w:spacing w:before="0" w:after="283"/>
              <w:jc w:val="both"/>
              <w:rPr>
                <w:sz w:val="20"/>
              </w:rPr>
            </w:pPr>
            <w:r>
              <w:rPr>
                <w:sz w:val="20"/>
              </w:rPr>
              <w:t>On August 3, 2026, our Board extended a previously authorized stock repurchase program which allows us to repurchase up to $20.0 million of our common stock at prices below our net asset value (“NAV”) per share as reported in our most recent consolidated financial statements, provided such purchases, in the aggregate, do not exceed two percent (2%) of the shares outstanding at the time of purchase and such shares are purchased only when the such shares are trading below 90% of our most recently disclosed NAV per share. Under the repurchase program, we may, but are not obligated to, repurchase shares of our outstanding common stock in the open market or in privately negotiated transactions from time to time. Any repurchases by us will comply with the requirements of Rule 10b</w:t>
              <w:noBreakHyphen/>
              <w:t>18 under the Exchange Act and any applicable requirements of the 1940 Act. Unless extended by our Board, the repurchase program will terminate on the earlier of June 30, 2027 or the repurchase of $20.0 million of our common stock.</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duss"/>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msd"/>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bookmarkStart w:id="18" w:name="oi"/>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pPr>
      <w:r>
        <w:rPr>
          <w:rFonts w:ascii="Times New Roman" w:hAnsi="Times New Roman"/>
          <w:b/>
          <w:caps w:val="false"/>
          <w:smallCaps w:val="false"/>
          <w:sz w:val="20"/>
        </w:rPr>
        <w:t xml:space="preserve">Rule </w:t>
      </w:r>
      <w:r>
        <w:rPr>
          <w:rStyle w:val="Emphasis"/>
          <w:rFonts w:ascii="Times New Roman" w:hAnsi="Times New Roman"/>
          <w:b/>
          <w:caps w:val="false"/>
          <w:smallCaps w:val="false"/>
          <w:sz w:val="20"/>
        </w:rPr>
        <w:t>10b5</w:t>
      </w:r>
      <w:r>
        <w:rPr>
          <w:rFonts w:ascii="Times New Roman" w:hAnsi="Times New Roman"/>
          <w:b/>
          <w:caps w:val="false"/>
          <w:smallCaps w:val="false"/>
          <w:sz w:val="20"/>
        </w:rPr>
        <w:t>-</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fiscal quarter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none of our directors or executive officers adopted or terminated any contract, instruction or written plan for the purchase or sale of our securities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w:t>
      </w:r>
    </w:p>
    <w:p>
      <w:pPr>
        <w:pStyle w:val="TextBody"/>
        <w:bidi w:val="0"/>
        <w:spacing w:before="0" w:after="283"/>
        <w:jc w:val="left"/>
      </w:pPr>
      <w: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9" w:name="exs"/>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7"/>
        <w:gridCol w:w="60"/>
        <w:gridCol w:w="9408"/>
      </w:tblGrid>
      <w:tr>
        <w:tc>
          <w:tcPr>
            <w:tcW w:w="737"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br/>
            </w:r>
            <w:r>
              <w:rPr>
                <w:rFonts w:ascii="Times New Roman" w:hAnsi="Times New Roman"/>
                <w:b/>
                <w:caps w:val="false"/>
                <w:smallCaps w:val="false"/>
                <w:sz w:val="20"/>
              </w:rPr>
              <w:t>No.</w:t>
            </w:r>
          </w:p>
        </w:tc>
        <w:tc>
          <w:tcPr>
            <w:tcW w:w="60" w:type="dxa"/>
            <w:tcBorders>
              <w:bottom w:val="single" w:sz="2" w:space="0" w:color="000000"/>
            </w:tcBorders>
            <w:vAlign w:val="center"/>
          </w:tcPr>
          <w:p>
            <w:pPr>
              <w:pStyle w:val="TableContents"/>
              <w:bidi w:val="0"/>
              <w:spacing w:before="0" w:after="283"/>
              <w:jc w:val="left"/>
            </w:pPr>
            <w:r>
              <w:t> </w:t>
            </w:r>
          </w:p>
        </w:tc>
        <w:tc>
          <w:tcPr>
            <w:tcW w:w="9408"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c>
          <w:tcPr>
            <w:tcW w:w="737" w:type="dxa"/>
            <w:tcBorders/>
            <w:tcMar>
              <w:bottom w:w="0" w:type="dxa"/>
            </w:tcMar>
            <w:vAlign w:val="center"/>
          </w:tcPr>
          <w:p>
            <w:pPr>
              <w:pStyle w:val="TableContents"/>
              <w:bidi w:val="0"/>
              <w:spacing w:before="0" w:after="283"/>
              <w:jc w:val="center"/>
            </w:pPr>
            <w:r>
              <w:t>10.1</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hyperlink r:id="rId2">
              <w:r>
                <w:rPr>
                  <w:rStyle w:val="InternetLink"/>
                </w:rPr>
                <w:t>Second Supplemental Indenture, dated as of September 2, 2026, by and among Horizon Funding II, LLC, the issuer, and U.S. Bank Trust Company, National Association, the trustee (Incorporated by reference to Exhibit 10.3 of the Company’s Current Report on Form 8-K, filed on September 9, 2026)</w:t>
              </w:r>
            </w:hyperlink>
          </w:p>
        </w:tc>
      </w:tr>
      <w:tr>
        <w:tc>
          <w:tcPr>
            <w:tcW w:w="737" w:type="dxa"/>
            <w:tcBorders/>
            <w:tcMar>
              <w:bottom w:w="0" w:type="dxa"/>
            </w:tcMar>
            <w:vAlign w:val="center"/>
          </w:tcPr>
          <w:p>
            <w:pPr>
              <w:pStyle w:val="TableContents"/>
              <w:bidi w:val="0"/>
              <w:spacing w:before="0" w:after="283"/>
              <w:jc w:val="center"/>
            </w:pPr>
            <w:r>
              <w:t>10.2</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hyperlink r:id="rId3">
              <w:r>
                <w:rPr>
                  <w:rStyle w:val="InternetLink"/>
                </w:rPr>
                <w:t>Second Amended and Restated Note Funding Agreement, dated as of September 2, 2026, by and among Horizon Funding II, LLC, the issuer, and the Initial Purchasers (as defined therein) (Incorporated by reference to Exhibit 10.5 of the Company’s Current Report on Form 8-K, filed on September 9, 2026)</w:t>
              </w:r>
            </w:hyperlink>
          </w:p>
        </w:tc>
      </w:tr>
      <w:tr>
        <w:tc>
          <w:tcPr>
            <w:tcW w:w="737" w:type="dxa"/>
            <w:tcBorders/>
            <w:tcMar>
              <w:bottom w:w="0" w:type="dxa"/>
            </w:tcMar>
            <w:vAlign w:val="center"/>
          </w:tcPr>
          <w:p>
            <w:pPr>
              <w:pStyle w:val="TableContents"/>
              <w:bidi w:val="0"/>
              <w:spacing w:before="0" w:after="283"/>
              <w:jc w:val="center"/>
            </w:pPr>
            <w:r>
              <w:t>10.3</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hyperlink r:id="rId4">
              <w:r>
                <w:rPr>
                  <w:rStyle w:val="InternetLink"/>
                </w:rPr>
                <w:t>Amendment No. 2 to Sale and Servicing Agreement, dated as of September 2, 2026, by and among Horizon Funding II, LLC, the issuer, Horizon Technology Finance Corporation, the seller, originator and servicer, U.S. Bank Trust Company, National Association, the trustee, and U.S. Bank National Association, the backup servicer, custodian, lockbox and securities intermediary (Incorporated by reference to Exhibit 10.8 of the Company’s Current Report on Form 8-K, filed on September 9, 2026)</w:t>
              </w:r>
            </w:hyperlink>
          </w:p>
        </w:tc>
      </w:tr>
      <w:tr>
        <w:tc>
          <w:tcPr>
            <w:tcW w:w="73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0"/>
              <w:ind w:left="0" w:right="0" w:hanging="0"/>
              <w:jc w:val="left"/>
            </w:pPr>
            <w:hyperlink w:anchor="ex_1012969.htm">
              <w:r>
                <w:rPr>
                  <w:rStyle w:val="InternetLink"/>
                  <w:rFonts w:ascii="Times New Roman" w:hAnsi="Times New Roman"/>
                  <w:caps w:val="false"/>
                  <w:smallCaps w:val="false"/>
                  <w:sz w:val="20"/>
                </w:rPr>
                <w:t>Certifications by Chief Executive Officer pursuant to Exchange Act Rule 13a</w:t>
                <w:noBreakHyphen/>
                <w:t>14(a), as adopted pursuant to Section 302 of the Sarbanes-Oxley Act of 2002, as amended</w:t>
              </w:r>
            </w:hyperlink>
          </w:p>
        </w:tc>
      </w:tr>
      <w:tr>
        <w:tc>
          <w:tcPr>
            <w:tcW w:w="73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0"/>
              <w:ind w:left="0" w:right="0" w:hanging="0"/>
              <w:jc w:val="left"/>
            </w:pPr>
            <w:hyperlink w:anchor="ex_1012970.htm">
              <w:r>
                <w:rPr>
                  <w:rStyle w:val="InternetLink"/>
                  <w:rFonts w:ascii="Times New Roman" w:hAnsi="Times New Roman"/>
                  <w:caps w:val="false"/>
                  <w:smallCaps w:val="false"/>
                  <w:sz w:val="20"/>
                </w:rPr>
                <w:t>Certifications by Chief Financial Officer pursuant to Exchange Act Rule 13a</w:t>
                <w:noBreakHyphen/>
                <w:t>14(a), as adopted pursuant to Section 302 of the Sarbanes-Oxley Act of 2002, as amended</w:t>
              </w:r>
            </w:hyperlink>
          </w:p>
        </w:tc>
      </w:tr>
      <w:tr>
        <w:tc>
          <w:tcPr>
            <w:tcW w:w="73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0"/>
              <w:ind w:left="0" w:right="0" w:hanging="0"/>
              <w:jc w:val="left"/>
            </w:pPr>
            <w:hyperlink w:anchor="ex_1012971.htm">
              <w:r>
                <w:rPr>
                  <w:rStyle w:val="InternetLink"/>
                  <w:rFonts w:ascii="Times New Roman" w:hAnsi="Times New Roman"/>
                  <w:caps w:val="false"/>
                  <w:smallCaps w:val="false"/>
                  <w:sz w:val="20"/>
                </w:rPr>
                <w:t>Certification of the Chief Executive Officer pursuant to 18 U.S.C. Section 1350, as adopted pursuant to Section 906 of the Sarbanes-Oxley Act of 2002, as amended</w:t>
              </w:r>
            </w:hyperlink>
          </w:p>
        </w:tc>
      </w:tr>
      <w:tr>
        <w:tc>
          <w:tcPr>
            <w:tcW w:w="73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0"/>
              <w:ind w:left="0" w:right="0" w:hanging="0"/>
              <w:jc w:val="left"/>
            </w:pPr>
            <w:hyperlink w:anchor="ex_1012972.htm">
              <w:r>
                <w:rPr>
                  <w:rStyle w:val="InternetLink"/>
                  <w:rFonts w:ascii="Times New Roman" w:hAnsi="Times New Roman"/>
                  <w:caps w:val="false"/>
                  <w:smallCaps w:val="false"/>
                  <w:sz w:val="20"/>
                </w:rPr>
                <w:t>Certification of the Chief Financial Officer pursuant to 18 U.S.C. Section 1350, as adopted pursuant to Section 906 of the Sarbanes-Oxley Act of 2002, as amended</w:t>
              </w:r>
            </w:hyperlink>
          </w:p>
        </w:tc>
      </w:tr>
      <w:tr>
        <w:tc>
          <w:tcPr>
            <w:tcW w:w="737" w:type="dxa"/>
            <w:tcBorders/>
            <w:tcMar>
              <w:bottom w:w="0" w:type="dxa"/>
            </w:tcMar>
            <w:vAlign w:val="center"/>
          </w:tcPr>
          <w:p>
            <w:pPr>
              <w:pStyle w:val="TableContents"/>
              <w:bidi w:val="0"/>
              <w:spacing w:before="0" w:after="283"/>
              <w:jc w:val="center"/>
            </w:pPr>
            <w:r>
              <w:t>101.INS</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r>
              <w:t>Inline XBRL Instance Document (the Instance Document does not appear in the Interactive Data File because its XBRL tags are embedded within the Inline XBRL document)</w:t>
            </w:r>
          </w:p>
        </w:tc>
      </w:tr>
      <w:tr>
        <w:tc>
          <w:tcPr>
            <w:tcW w:w="737" w:type="dxa"/>
            <w:tcBorders/>
            <w:tcMar>
              <w:bottom w:w="0" w:type="dxa"/>
            </w:tcMar>
            <w:vAlign w:val="center"/>
          </w:tcPr>
          <w:p>
            <w:pPr>
              <w:pStyle w:val="TableContents"/>
              <w:bidi w:val="0"/>
              <w:spacing w:before="0" w:after="283"/>
              <w:jc w:val="center"/>
            </w:pPr>
            <w:r>
              <w:t>101.SCH</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r>
              <w:t>Inline XBRL Taxonomy Extension Schema Document</w:t>
            </w:r>
          </w:p>
        </w:tc>
      </w:tr>
      <w:tr>
        <w:tc>
          <w:tcPr>
            <w:tcW w:w="737" w:type="dxa"/>
            <w:tcBorders/>
            <w:tcMar>
              <w:bottom w:w="0" w:type="dxa"/>
            </w:tcMar>
            <w:vAlign w:val="center"/>
          </w:tcPr>
          <w:p>
            <w:pPr>
              <w:pStyle w:val="TableContents"/>
              <w:bidi w:val="0"/>
              <w:spacing w:before="0" w:after="283"/>
              <w:jc w:val="center"/>
            </w:pPr>
            <w:r>
              <w:t>101.CAL</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r>
              <w:t>Inline XBRL Taxonomy Extension Calculation Linkbase Document</w:t>
            </w:r>
          </w:p>
        </w:tc>
      </w:tr>
      <w:tr>
        <w:tc>
          <w:tcPr>
            <w:tcW w:w="737" w:type="dxa"/>
            <w:tcBorders/>
            <w:tcMar>
              <w:bottom w:w="0" w:type="dxa"/>
            </w:tcMar>
            <w:vAlign w:val="center"/>
          </w:tcPr>
          <w:p>
            <w:pPr>
              <w:pStyle w:val="TableContents"/>
              <w:bidi w:val="0"/>
              <w:spacing w:before="0" w:after="283"/>
              <w:jc w:val="center"/>
            </w:pPr>
            <w:r>
              <w:t>101.DEF</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r>
              <w:t>Inline XBRL Taxonomy Extension Definition Linkbase Document</w:t>
            </w:r>
          </w:p>
        </w:tc>
      </w:tr>
      <w:tr>
        <w:tc>
          <w:tcPr>
            <w:tcW w:w="737" w:type="dxa"/>
            <w:tcBorders/>
            <w:tcMar>
              <w:bottom w:w="0" w:type="dxa"/>
            </w:tcMar>
            <w:vAlign w:val="center"/>
          </w:tcPr>
          <w:p>
            <w:pPr>
              <w:pStyle w:val="TableContents"/>
              <w:bidi w:val="0"/>
              <w:spacing w:before="0" w:after="283"/>
              <w:jc w:val="center"/>
            </w:pPr>
            <w:r>
              <w:t>101.LAB</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r>
              <w:t>Inline XBRL Taxonomy Extension Label Linkbase Document</w:t>
            </w:r>
          </w:p>
        </w:tc>
      </w:tr>
      <w:tr>
        <w:tc>
          <w:tcPr>
            <w:tcW w:w="737" w:type="dxa"/>
            <w:tcBorders/>
            <w:tcMar>
              <w:bottom w:w="0" w:type="dxa"/>
            </w:tcMar>
            <w:vAlign w:val="center"/>
          </w:tcPr>
          <w:p>
            <w:pPr>
              <w:pStyle w:val="TableContents"/>
              <w:bidi w:val="0"/>
              <w:spacing w:before="0" w:after="283"/>
              <w:jc w:val="center"/>
            </w:pPr>
            <w:r>
              <w:t>101.PRE</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r>
              <w:t>Inline XBRL Taxonomy Extension Presentation Linkbase Document</w:t>
            </w:r>
          </w:p>
        </w:tc>
      </w:tr>
      <w:tr>
        <w:tc>
          <w:tcPr>
            <w:tcW w:w="737" w:type="dxa"/>
            <w:tcBorders/>
            <w:tcMar>
              <w:bottom w:w="0" w:type="dxa"/>
            </w:tcMar>
            <w:vAlign w:val="center"/>
          </w:tcPr>
          <w:p>
            <w:pPr>
              <w:pStyle w:val="TableContents"/>
              <w:bidi w:val="0"/>
              <w:spacing w:before="0" w:after="283"/>
              <w:jc w:val="center"/>
            </w:pPr>
            <w:r>
              <w:t>104</w:t>
            </w:r>
          </w:p>
        </w:tc>
        <w:tc>
          <w:tcPr>
            <w:tcW w:w="60" w:type="dxa"/>
            <w:tcBorders/>
            <w:tcMar>
              <w:bottom w:w="0" w:type="dxa"/>
            </w:tcMar>
            <w:vAlign w:val="center"/>
          </w:tcPr>
          <w:p>
            <w:pPr>
              <w:pStyle w:val="TableContents"/>
              <w:bidi w:val="0"/>
              <w:spacing w:before="0" w:after="283"/>
              <w:jc w:val="left"/>
            </w:pPr>
            <w:r>
              <w:t> </w:t>
            </w:r>
          </w:p>
        </w:tc>
        <w:tc>
          <w:tcPr>
            <w:tcW w:w="9408" w:type="dxa"/>
            <w:tcBorders/>
            <w:tcMar>
              <w:bottom w:w="0" w:type="dxa"/>
            </w:tcMar>
            <w:vAlign w:val="center"/>
          </w:tcPr>
          <w:p>
            <w:pPr>
              <w:pStyle w:val="TableContents"/>
              <w:bidi w:val="0"/>
              <w:spacing w:before="0" w:after="283"/>
              <w:jc w:val="left"/>
            </w:pPr>
            <w:r>
              <w:t>Cover Page Interactive Data File (formatted as Inline XBRL and contained in Exhibit 101)</w:t>
            </w:r>
          </w:p>
        </w:tc>
      </w:tr>
    </w:tbl>
    <w:p>
      <w:pPr>
        <w:pStyle w:val="HorizontalLine"/>
        <w:pBdr>
          <w:bottom w:val="double" w:sz="2" w:space="0" w:color="808080"/>
        </w:pBdr>
        <w:bidi w:val="0"/>
        <w:spacing w:before="0" w:after="283"/>
        <w:jc w:val="left"/>
      </w:pPr>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r>
        <w:t xml:space="preserve">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Horizon Technology Finance Corporation and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0" w:name="sigs"/>
      <w:bookmarkEnd w:id="2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Quarterly Report on Form 10</w:t>
        <w:noBreakHyphen/>
        <w:t>Q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504" w:type="dxa"/>
        <w:jc w:val="left"/>
        <w:tblInd w:w="0" w:type="dxa"/>
        <w:tblLayout w:type="fixed"/>
        <w:tblCellMar>
          <w:top w:w="0" w:type="dxa"/>
          <w:left w:w="0" w:type="dxa"/>
          <w:bottom w:w="0" w:type="dxa"/>
          <w:right w:w="0" w:type="dxa"/>
        </w:tblCellMar>
      </w:tblPr>
      <w:tblGrid>
        <w:gridCol w:w="2000"/>
        <w:gridCol w:w="988"/>
        <w:gridCol w:w="3516"/>
      </w:tblGrid>
      <w:tr>
        <w:tc>
          <w:tcPr>
            <w:tcW w:w="2000" w:type="dxa"/>
            <w:tcBorders/>
            <w:vAlign w:val="center"/>
          </w:tcPr>
          <w:p>
            <w:pPr>
              <w:pStyle w:val="TableContents"/>
              <w:bidi w:val="0"/>
              <w:spacing w:before="0" w:after="283"/>
              <w:jc w:val="left"/>
            </w:pPr>
            <w:r>
              <w:t> </w:t>
            </w:r>
          </w:p>
        </w:tc>
        <w:tc>
          <w:tcPr>
            <w:tcW w:w="450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HORIZON TECHNOLOGY FINANCE CORPORATION</w:t>
            </w:r>
          </w:p>
        </w:tc>
      </w:tr>
      <w:tr>
        <w:tc>
          <w:tcPr>
            <w:tcW w:w="2000" w:type="dxa"/>
            <w:tcBorders/>
            <w:vAlign w:val="center"/>
          </w:tcPr>
          <w:p>
            <w:pPr>
              <w:pStyle w:val="TableContents"/>
              <w:bidi w:val="0"/>
              <w:spacing w:before="0" w:after="283"/>
              <w:jc w:val="left"/>
            </w:pPr>
            <w:r>
              <w:t> </w:t>
            </w:r>
          </w:p>
        </w:tc>
        <w:tc>
          <w:tcPr>
            <w:tcW w:w="4504" w:type="dxa"/>
            <w:gridSpan w:val="2"/>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2026</w:t>
            </w:r>
          </w:p>
        </w:tc>
        <w:tc>
          <w:tcPr>
            <w:tcW w:w="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P. Balkin</w:t>
            </w:r>
          </w:p>
        </w:tc>
      </w:tr>
      <w:tr>
        <w:tc>
          <w:tcPr>
            <w:tcW w:w="2000"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516" w:type="dxa"/>
            <w:tcBorders/>
            <w:vAlign w:val="center"/>
          </w:tcPr>
          <w:p>
            <w:pPr>
              <w:pStyle w:val="TableContents"/>
              <w:bidi w:val="0"/>
              <w:spacing w:before="0" w:after="283"/>
              <w:jc w:val="left"/>
            </w:pPr>
            <w:r>
              <w:t>Michael P. Balkin</w:t>
            </w:r>
          </w:p>
        </w:tc>
      </w:tr>
      <w:tr>
        <w:tc>
          <w:tcPr>
            <w:tcW w:w="2000"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5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c>
          <w:tcPr>
            <w:tcW w:w="2000"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left"/>
            </w:pPr>
            <w:r>
              <w:t> </w:t>
            </w:r>
          </w:p>
        </w:tc>
        <w:tc>
          <w:tcPr>
            <w:tcW w:w="3516"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2026</w:t>
            </w:r>
          </w:p>
        </w:tc>
        <w:tc>
          <w:tcPr>
            <w:tcW w:w="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Daniel R. Trolio</w:t>
            </w:r>
          </w:p>
        </w:tc>
      </w:tr>
      <w:tr>
        <w:tc>
          <w:tcPr>
            <w:tcW w:w="2000"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5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Daniel R. Trolio</w:t>
            </w:r>
          </w:p>
        </w:tc>
      </w:tr>
      <w:tr>
        <w:tc>
          <w:tcPr>
            <w:tcW w:w="2000"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5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85 </w:t>
      </w:r>
    </w:p>
    <w:p>
      <w:pPr>
        <w:pStyle w:val="TextBody"/>
        <w:bidi w:val="0"/>
        <w:spacing w:before="0" w:after="0"/>
        <w:ind w:left="160" w:right="0" w:hanging="0"/>
        <w:jc w:val="right"/>
        <w:rPr>
          <w:rFonts w:ascii="Times New Roman" w:hAnsi="Times New Roman"/>
          <w:b/>
          <w:caps w:val="false"/>
          <w:smallCaps w:val="false"/>
          <w:sz w:val="20"/>
        </w:rPr>
      </w:pPr>
      <w:bookmarkStart w:id="21" w:name="ex_1012969.htm"/>
      <w:bookmarkStart w:id="22" w:name="ksex_1012969"/>
      <w:bookmarkEnd w:id="21"/>
      <w:bookmarkEnd w:id="22"/>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EXCHANGE ACT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 AND 15d-14, AS ADOPTED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Michael P. Balkin, as Chief Executive Officer of Horizon Technology Finance Corporation,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Horizon Technology Finance Corporation;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3" w:name="led290488F20228191663631889895"/>
      <w:bookmarkEnd w:id="23"/>
      <w:r>
        <w:rPr>
          <w:rFonts w:ascii="Times New Roman" w:hAnsi="Times New Roman"/>
          <w:caps w:val="false"/>
          <w:smallCaps w:val="false"/>
          <w:sz w:val="20"/>
        </w:rPr>
        <w:t>November 5, 2026</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320"/>
        <w:gridCol w:w="2000"/>
        <w:gridCol w:w="60"/>
        <w:gridCol w:w="60"/>
      </w:tblGrid>
      <w:tr>
        <w:tc>
          <w:tcPr>
            <w:tcW w:w="320" w:type="dxa"/>
            <w:tcBorders/>
            <w:vAlign w:val="center"/>
          </w:tcPr>
          <w:p>
            <w:pPr>
              <w:pStyle w:val="TableContents"/>
              <w:bidi w:val="0"/>
              <w:spacing w:before="0" w:after="283"/>
              <w:jc w:val="left"/>
            </w:pPr>
            <w:r>
              <w:t> </w:t>
            </w:r>
          </w:p>
        </w:tc>
        <w:tc>
          <w:tcPr>
            <w:tcW w:w="20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0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P. Balkin</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320" w:type="dxa"/>
            <w:tcBorders/>
            <w:vAlign w:val="center"/>
          </w:tcPr>
          <w:p>
            <w:pPr>
              <w:pStyle w:val="TableContents"/>
              <w:bidi w:val="0"/>
              <w:spacing w:before="0" w:after="283"/>
              <w:jc w:val="left"/>
            </w:pPr>
            <w:r>
              <w:t> </w:t>
            </w:r>
          </w:p>
        </w:tc>
        <w:tc>
          <w:tcPr>
            <w:tcW w:w="20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Executive Officer</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320" w:type="dxa"/>
            <w:tcBorders/>
            <w:vAlign w:val="center"/>
          </w:tcPr>
          <w:p>
            <w:pPr>
              <w:pStyle w:val="TableContents"/>
              <w:bidi w:val="0"/>
              <w:spacing w:before="0" w:after="283"/>
              <w:jc w:val="left"/>
            </w:pPr>
            <w:r>
              <w:t> </w:t>
            </w:r>
          </w:p>
        </w:tc>
        <w:tc>
          <w:tcPr>
            <w:tcW w:w="20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160" w:right="0" w:hanging="0"/>
        <w:jc w:val="right"/>
        <w:rPr>
          <w:rFonts w:ascii="Times New Roman" w:hAnsi="Times New Roman"/>
          <w:b/>
          <w:caps w:val="false"/>
          <w:smallCaps w:val="false"/>
          <w:sz w:val="20"/>
        </w:rPr>
      </w:pPr>
      <w:bookmarkStart w:id="24" w:name="ex_1012970.htm"/>
      <w:bookmarkStart w:id="25" w:name="ksex_1012970"/>
      <w:bookmarkEnd w:id="24"/>
      <w:bookmarkEnd w:id="2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EXCHANGE ACT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 AND 15d-14, AS ADOPTED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Daniel R. Trolio, as Chief Financial Officer of Horizon Technology Finance Corporation,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Horizon Technology Finance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6" w:name="led290488F20228191663631912570"/>
      <w:bookmarkEnd w:id="26"/>
      <w:r>
        <w:rPr>
          <w:rFonts w:ascii="Times New Roman" w:hAnsi="Times New Roman"/>
          <w:caps w:val="false"/>
          <w:smallCaps w:val="false"/>
          <w:sz w:val="20"/>
        </w:rPr>
        <w:t>November 5, 2026</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320"/>
        <w:gridCol w:w="1970"/>
        <w:gridCol w:w="60"/>
        <w:gridCol w:w="60"/>
      </w:tblGrid>
      <w:tr>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Daniel R. Trolio</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320" w:type="dxa"/>
            <w:tcBorders/>
            <w:vAlign w:val="center"/>
          </w:tcPr>
          <w:p>
            <w:pPr>
              <w:pStyle w:val="TableContents"/>
              <w:bidi w:val="0"/>
              <w:spacing w:before="0" w:after="283"/>
              <w:jc w:val="left"/>
            </w:pPr>
            <w:r>
              <w:t> </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Daniel R. Trolio</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320" w:type="dxa"/>
            <w:tcBorders/>
            <w:vAlign w:val="center"/>
          </w:tcPr>
          <w:p>
            <w:pPr>
              <w:pStyle w:val="TableContents"/>
              <w:bidi w:val="0"/>
              <w:spacing w:before="0" w:after="283"/>
              <w:jc w:val="left"/>
            </w:pPr>
            <w:r>
              <w:t> </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160" w:right="0" w:hanging="0"/>
        <w:jc w:val="right"/>
        <w:rPr>
          <w:rFonts w:ascii="Times New Roman" w:hAnsi="Times New Roman"/>
          <w:b/>
          <w:caps w:val="false"/>
          <w:smallCaps w:val="false"/>
          <w:sz w:val="20"/>
        </w:rPr>
      </w:pPr>
      <w:bookmarkStart w:id="27" w:name="ex_1012971.htm"/>
      <w:bookmarkStart w:id="28" w:name="ksex_1012971"/>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on Form 10-Q of Horizon Technology Finance Corporation (the “Company”) for the quarterly period ended </w:t>
      </w:r>
      <w:bookmarkStart w:id="29" w:name="led290488F20228191663631939952"/>
      <w:bookmarkEnd w:id="29"/>
      <w:r>
        <w:rPr>
          <w:rFonts w:ascii="Times New Roman" w:hAnsi="Times New Roman"/>
          <w:caps w:val="false"/>
          <w:smallCaps w:val="false"/>
          <w:sz w:val="20"/>
        </w:rPr>
        <w:t>September 30, 2026 as filed with the Securities and Exchange Commission on the date hereof (the “Report”), I, Michael P. Balkin, as Chief Executive Officer, certify, pursuant to 18 U.S.C. Section 1350, as adopted pursuant to Section 906 of Sarbanes-Oxley Act of 2002, as amended, that to my knowledge: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28" w:type="dxa"/>
          <w:right w:w="0" w:type="dxa"/>
        </w:tblCellMar>
      </w:tblPr>
      <w:tblGrid>
        <w:gridCol w:w="545"/>
        <w:gridCol w:w="2000"/>
        <w:gridCol w:w="60"/>
        <w:gridCol w:w="60"/>
      </w:tblGrid>
      <w:tr>
        <w:tc>
          <w:tcPr>
            <w:tcW w:w="2545" w:type="dxa"/>
            <w:gridSpan w:val="2"/>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P. Balkin</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r>
        <w:tc>
          <w:tcPr>
            <w:tcW w:w="54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000"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Michael P. Balkin</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r>
        <w:tc>
          <w:tcPr>
            <w:tcW w:w="54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000"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r>
        <w:tc>
          <w:tcPr>
            <w:tcW w:w="545" w:type="dxa"/>
            <w:tcBorders/>
            <w:tcMar>
              <w:bottom w:w="0" w:type="dxa"/>
            </w:tcMar>
            <w:vAlign w:val="center"/>
          </w:tcPr>
          <w:p>
            <w:pPr>
              <w:pStyle w:val="TableContents"/>
              <w:bidi w:val="0"/>
              <w:spacing w:before="0" w:after="283"/>
              <w:jc w:val="left"/>
            </w:pPr>
            <w:r>
              <w:t> </w:t>
            </w:r>
          </w:p>
        </w:tc>
        <w:tc>
          <w:tcPr>
            <w:tcW w:w="200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r>
        <w:tc>
          <w:tcPr>
            <w:tcW w:w="54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20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bookmarkStart w:id="30" w:name="led290488F20228191663631948933"/>
            <w:bookmarkEnd w:id="30"/>
            <w:r>
              <w:rPr>
                <w:rFonts w:ascii="Times New Roman" w:hAnsi="Times New Roman"/>
                <w:caps w:val="false"/>
                <w:smallCaps w:val="false"/>
                <w:sz w:val="20"/>
              </w:rPr>
              <w:t>November 5, 2026</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160" w:right="0" w:hanging="0"/>
        <w:jc w:val="right"/>
        <w:rPr>
          <w:rFonts w:ascii="Times New Roman" w:hAnsi="Times New Roman"/>
          <w:b/>
          <w:caps w:val="false"/>
          <w:smallCaps w:val="false"/>
          <w:sz w:val="20"/>
        </w:rPr>
      </w:pPr>
      <w:bookmarkStart w:id="31" w:name="ex_1012972.htm"/>
      <w:bookmarkStart w:id="32" w:name="ksex_1012972"/>
      <w:bookmarkEnd w:id="31"/>
      <w:bookmarkEnd w:id="32"/>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Horizon Technology Finance Corporation (the “Company”) for the quarterly period ended </w:t>
      </w:r>
      <w:bookmarkStart w:id="33" w:name="led290488F20228191663631991071"/>
      <w:bookmarkEnd w:id="33"/>
      <w:r>
        <w:rPr>
          <w:rFonts w:ascii="Times New Roman" w:hAnsi="Times New Roman"/>
          <w:caps w:val="false"/>
          <w:smallCaps w:val="false"/>
          <w:sz w:val="20"/>
        </w:rPr>
        <w:t>September 30, 2026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28" w:type="dxa"/>
          <w:right w:w="0" w:type="dxa"/>
        </w:tblCellMar>
      </w:tblPr>
      <w:tblGrid>
        <w:gridCol w:w="545"/>
        <w:gridCol w:w="1970"/>
        <w:gridCol w:w="60"/>
        <w:gridCol w:w="60"/>
      </w:tblGrid>
      <w:tr>
        <w:tc>
          <w:tcPr>
            <w:tcW w:w="2515" w:type="dxa"/>
            <w:gridSpan w:val="2"/>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Daniel R. Trolio</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r>
        <w:tc>
          <w:tcPr>
            <w:tcW w:w="54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70"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Daniel R. Trolio</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r>
        <w:tc>
          <w:tcPr>
            <w:tcW w:w="54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970"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r>
        <w:tc>
          <w:tcPr>
            <w:tcW w:w="545" w:type="dxa"/>
            <w:tcBorders/>
            <w:tcMar>
              <w:bottom w:w="0" w:type="dxa"/>
            </w:tcMar>
            <w:vAlign w:val="center"/>
          </w:tcPr>
          <w:p>
            <w:pPr>
              <w:pStyle w:val="TableContents"/>
              <w:bidi w:val="0"/>
              <w:spacing w:before="0" w:after="283"/>
              <w:jc w:val="left"/>
            </w:pPr>
            <w:r>
              <w:t> </w:t>
            </w:r>
          </w:p>
        </w:tc>
        <w:tc>
          <w:tcPr>
            <w:tcW w:w="197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r>
        <w:tc>
          <w:tcPr>
            <w:tcW w:w="54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9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bookmarkStart w:id="34" w:name="led290488F20228201663632021764"/>
            <w:bookmarkEnd w:id="34"/>
            <w:r>
              <w:rPr>
                <w:rFonts w:ascii="Times New Roman" w:hAnsi="Times New Roman"/>
                <w:caps w:val="false"/>
                <w:smallCaps w:val="false"/>
                <w:sz w:val="20"/>
              </w:rPr>
              <w:t>November 5, 2026</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87428/000143774926029978/ex_1014138.htm" TargetMode="External"/><Relationship Id="rId3" Type="http://schemas.openxmlformats.org/officeDocument/2006/relationships/hyperlink" Target="http://www.sec.gov/Archives/edgar/data/1487428/000143774926029978/ex_1014139.htm" TargetMode="External"/><Relationship Id="rId4" Type="http://schemas.openxmlformats.org/officeDocument/2006/relationships/hyperlink" Target="http://www.sec.gov/Archives/edgar/data/1487428/000143774926029978/ex_1014140.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58050</Words>
  <Characters>305826</Characters>
  <CharactersWithSpaces>375789</CharactersWithSpaces>
  <Paragraphs>34424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