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20" w:right="1680" w:hanging="3527"/>
        <w:spacing w:after="0" w:line="501" w:lineRule="auto"/>
        <w:tabs>
          <w:tab w:leader="none" w:pos="5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20" w:right="1660" w:hanging="3263"/>
        <w:spacing w:after="0" w:line="501" w:lineRule="auto"/>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w:t>
      </w:r>
    </w:p>
    <w:p>
      <w:pPr>
        <w:ind w:left="40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814-00802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HORIZON TECHNOLOGY FINANCE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DELAWARE</w:t>
            </w:r>
          </w:p>
        </w:tc>
        <w:tc>
          <w:tcPr>
            <w:tcW w:w="3760" w:type="dxa"/>
            <w:vAlign w:val="bottom"/>
          </w:tcPr>
          <w:p>
            <w:pPr>
              <w:jc w:val="right"/>
              <w:ind w:right="770"/>
              <w:spacing w:after="0"/>
              <w:rPr>
                <w:sz w:val="20"/>
                <w:szCs w:val="20"/>
                <w:color w:val="auto"/>
              </w:rPr>
            </w:pPr>
            <w:r>
              <w:rPr>
                <w:rFonts w:ascii="Arial" w:cs="Arial" w:eastAsia="Arial" w:hAnsi="Arial"/>
                <w:sz w:val="18"/>
                <w:szCs w:val="18"/>
                <w:b w:val="1"/>
                <w:bCs w:val="1"/>
                <w:color w:val="auto"/>
              </w:rPr>
              <w:t>27-2114934</w:t>
            </w:r>
          </w:p>
        </w:tc>
      </w:tr>
      <w:tr>
        <w:trPr>
          <w:trHeight w:val="230"/>
        </w:trPr>
        <w:tc>
          <w:tcPr>
            <w:tcW w:w="5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60" w:type="dxa"/>
            <w:vAlign w:val="bottom"/>
          </w:tcPr>
          <w:p>
            <w:pPr>
              <w:jc w:val="center"/>
              <w:ind w:left="10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312 Farmington Avenue</w:t>
            </w:r>
          </w:p>
        </w:tc>
        <w:tc>
          <w:tcPr>
            <w:tcW w:w="3760" w:type="dxa"/>
            <w:vAlign w:val="bottom"/>
          </w:tcPr>
          <w:p>
            <w:pPr>
              <w:spacing w:after="0"/>
              <w:rPr>
                <w:sz w:val="24"/>
                <w:szCs w:val="24"/>
                <w:color w:val="auto"/>
              </w:rPr>
            </w:pPr>
          </w:p>
        </w:tc>
      </w:tr>
      <w:tr>
        <w:trPr>
          <w:trHeight w:val="220"/>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4"/>
              </w:rPr>
              <w:t>Farmington, CT</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06032</w:t>
            </w:r>
          </w:p>
        </w:tc>
      </w:tr>
      <w:tr>
        <w:trPr>
          <w:trHeight w:val="230"/>
        </w:trPr>
        <w:tc>
          <w:tcPr>
            <w:tcW w:w="5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760" w:type="dxa"/>
            <w:vAlign w:val="bottom"/>
          </w:tcPr>
          <w:p>
            <w:pPr>
              <w:jc w:val="center"/>
              <w:ind w:left="109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(860) 676-8654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36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6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36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6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580" w:type="dxa"/>
            <w:vAlign w:val="bottom"/>
            <w:gridSpan w:val="2"/>
          </w:tcPr>
          <w:p>
            <w:pPr>
              <w:spacing w:after="0"/>
              <w:rPr>
                <w:sz w:val="20"/>
                <w:szCs w:val="20"/>
                <w:color w:val="auto"/>
              </w:rPr>
            </w:pPr>
            <w:r>
              <w:rPr>
                <w:rFonts w:ascii="Arial" w:cs="Arial" w:eastAsia="Arial" w:hAnsi="Arial"/>
                <w:sz w:val="18"/>
                <w:szCs w:val="18"/>
                <w:color w:val="auto"/>
                <w:w w:val="99"/>
              </w:rPr>
              <w:t>If an emerging growth company, indicate by check mark if the registrant has elected not to use the extended</w:t>
            </w: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transition period for complying with any new or revised financial accounting standards provided pursuant to Section</w:t>
            </w:r>
          </w:p>
        </w:tc>
        <w:tc>
          <w:tcPr>
            <w:tcW w:w="23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0"/>
                <w:szCs w:val="20"/>
                <w:color w:val="auto"/>
              </w:rPr>
            </w:pPr>
            <w:r>
              <w:rPr>
                <w:rFonts w:ascii="Arial" w:cs="Arial" w:eastAsia="Arial" w:hAnsi="Arial"/>
                <w:sz w:val="18"/>
                <w:szCs w:val="18"/>
                <w:color w:val="auto"/>
              </w:rPr>
              <w:t>13(a) of the Exchange Act</w:t>
            </w:r>
          </w:p>
        </w:tc>
        <w:tc>
          <w:tcPr>
            <w:tcW w:w="6280" w:type="dxa"/>
            <w:vAlign w:val="bottom"/>
          </w:tcPr>
          <w:p>
            <w:pPr>
              <w:spacing w:after="0"/>
              <w:rPr>
                <w:sz w:val="21"/>
                <w:szCs w:val="21"/>
                <w:color w:val="auto"/>
              </w:rPr>
            </w:pPr>
          </w:p>
        </w:tc>
        <w:tc>
          <w:tcPr>
            <w:tcW w:w="236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the registrant’s common stock traded under the symbol “HRZN” on the Nasdaq Global Select Market, $0.001 par value per share, outstanding as of July 30, 2019 was 13,544,212.</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3"/>
          </w:tcPr>
          <w:p>
            <w:pPr>
              <w:ind w:left="34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9"/>
        </w:trPr>
        <w:tc>
          <w:tcPr>
            <w:tcW w:w="4800" w:type="dxa"/>
            <w:vAlign w:val="bottom"/>
            <w:gridSpan w:val="3"/>
          </w:tcPr>
          <w:p>
            <w:pPr>
              <w:jc w:val="center"/>
              <w:ind w:right="1140"/>
              <w:spacing w:after="0"/>
              <w:rPr>
                <w:sz w:val="20"/>
                <w:szCs w:val="20"/>
                <w:color w:val="auto"/>
              </w:rPr>
            </w:pPr>
            <w:r>
              <w:rPr>
                <w:rFonts w:ascii="Arial" w:cs="Arial" w:eastAsia="Arial" w:hAnsi="Arial"/>
                <w:sz w:val="18"/>
                <w:szCs w:val="18"/>
                <w:color w:val="auto"/>
                <w:w w:val="90"/>
              </w:rPr>
              <w:t>Title of each class</w:t>
            </w:r>
          </w:p>
        </w:tc>
        <w:tc>
          <w:tcPr>
            <w:tcW w:w="2980" w:type="dxa"/>
            <w:vAlign w:val="bottom"/>
            <w:gridSpan w:val="2"/>
          </w:tcPr>
          <w:p>
            <w:pPr>
              <w:jc w:val="center"/>
              <w:ind w:right="1120"/>
              <w:spacing w:after="0"/>
              <w:rPr>
                <w:sz w:val="20"/>
                <w:szCs w:val="20"/>
                <w:color w:val="auto"/>
              </w:rPr>
            </w:pPr>
            <w:r>
              <w:rPr>
                <w:rFonts w:ascii="Arial" w:cs="Arial" w:eastAsia="Arial" w:hAnsi="Arial"/>
                <w:sz w:val="18"/>
                <w:szCs w:val="18"/>
                <w:color w:val="auto"/>
                <w:w w:val="92"/>
              </w:rPr>
              <w:t>Ticker 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gridSpan w:val="3"/>
          </w:tcPr>
          <w:p>
            <w:pPr>
              <w:jc w:val="center"/>
              <w:ind w:right="1120"/>
              <w:spacing w:after="0"/>
              <w:rPr>
                <w:sz w:val="20"/>
                <w:szCs w:val="20"/>
                <w:color w:val="auto"/>
              </w:rPr>
            </w:pPr>
            <w:r>
              <w:rPr>
                <w:rFonts w:ascii="Arial" w:cs="Arial" w:eastAsia="Arial" w:hAnsi="Arial"/>
                <w:sz w:val="18"/>
                <w:szCs w:val="18"/>
                <w:color w:val="auto"/>
                <w:w w:val="89"/>
              </w:rPr>
              <w:t>Common Stock, par value $0.001 per share</w:t>
            </w:r>
          </w:p>
        </w:tc>
        <w:tc>
          <w:tcPr>
            <w:tcW w:w="2980" w:type="dxa"/>
            <w:vAlign w:val="bottom"/>
            <w:gridSpan w:val="2"/>
          </w:tcPr>
          <w:p>
            <w:pPr>
              <w:jc w:val="center"/>
              <w:ind w:right="1120"/>
              <w:spacing w:after="0"/>
              <w:rPr>
                <w:sz w:val="20"/>
                <w:szCs w:val="20"/>
                <w:color w:val="auto"/>
              </w:rPr>
            </w:pPr>
            <w:r>
              <w:rPr>
                <w:rFonts w:ascii="Arial" w:cs="Arial" w:eastAsia="Arial" w:hAnsi="Arial"/>
                <w:sz w:val="18"/>
                <w:szCs w:val="18"/>
                <w:color w:val="auto"/>
                <w:w w:val="99"/>
              </w:rPr>
              <w:t>HRZN</w:t>
            </w: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70"/>
        </w:trPr>
        <w:tc>
          <w:tcPr>
            <w:tcW w:w="4800" w:type="dxa"/>
            <w:vAlign w:val="bottom"/>
            <w:gridSpan w:val="3"/>
          </w:tcPr>
          <w:p>
            <w:pPr>
              <w:jc w:val="center"/>
              <w:ind w:right="1120"/>
              <w:spacing w:after="0"/>
              <w:rPr>
                <w:sz w:val="20"/>
                <w:szCs w:val="20"/>
                <w:color w:val="auto"/>
              </w:rPr>
            </w:pPr>
            <w:r>
              <w:rPr>
                <w:rFonts w:ascii="Arial" w:cs="Arial" w:eastAsia="Arial" w:hAnsi="Arial"/>
                <w:sz w:val="18"/>
                <w:szCs w:val="18"/>
                <w:color w:val="auto"/>
                <w:w w:val="89"/>
              </w:rPr>
              <w:t>6.25% Notes due 2022</w:t>
            </w:r>
          </w:p>
        </w:tc>
        <w:tc>
          <w:tcPr>
            <w:tcW w:w="2980" w:type="dxa"/>
            <w:vAlign w:val="bottom"/>
            <w:gridSpan w:val="2"/>
          </w:tcPr>
          <w:p>
            <w:pPr>
              <w:jc w:val="center"/>
              <w:ind w:right="1120"/>
              <w:spacing w:after="0"/>
              <w:rPr>
                <w:sz w:val="20"/>
                <w:szCs w:val="20"/>
                <w:color w:val="auto"/>
              </w:rPr>
            </w:pPr>
            <w:r>
              <w:rPr>
                <w:rFonts w:ascii="Arial" w:cs="Arial" w:eastAsia="Arial" w:hAnsi="Arial"/>
                <w:sz w:val="18"/>
                <w:szCs w:val="18"/>
                <w:color w:val="auto"/>
                <w:w w:val="97"/>
              </w:rPr>
              <w:t>HTFA</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43"/>
        </w:trPr>
        <w:tc>
          <w:tcPr>
            <w:tcW w:w="3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29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700" w:type="dxa"/>
            <w:vAlign w:val="bottom"/>
            <w:gridSpan w:val="16"/>
          </w:tcPr>
          <w:p>
            <w:pPr>
              <w:jc w:val="center"/>
              <w:ind w:right="2120"/>
              <w:spacing w:after="0"/>
              <w:rPr>
                <w:sz w:val="20"/>
                <w:szCs w:val="20"/>
                <w:color w:val="auto"/>
              </w:rPr>
            </w:pPr>
            <w:r>
              <w:rPr>
                <w:rFonts w:ascii="Arial" w:cs="Arial" w:eastAsia="Arial" w:hAnsi="Arial"/>
                <w:sz w:val="18"/>
                <w:szCs w:val="18"/>
                <w:b w:val="1"/>
                <w:bCs w:val="1"/>
                <w:color w:val="auto"/>
              </w:rPr>
              <w:t>HORIZON TECHNOLOGY FINANCE CORPORATION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60" w:type="dxa"/>
            <w:vAlign w:val="bottom"/>
            <w:gridSpan w:val="14"/>
          </w:tcPr>
          <w:p>
            <w:pPr>
              <w:jc w:val="center"/>
              <w:ind w:right="2860"/>
              <w:spacing w:after="0"/>
              <w:rPr>
                <w:sz w:val="20"/>
                <w:szCs w:val="20"/>
                <w:color w:val="auto"/>
              </w:rPr>
            </w:pPr>
            <w:r>
              <w:rPr>
                <w:rFonts w:ascii="Arial" w:cs="Arial" w:eastAsia="Arial" w:hAnsi="Arial"/>
                <w:sz w:val="18"/>
                <w:szCs w:val="18"/>
                <w:b w:val="1"/>
                <w:bCs w:val="1"/>
                <w:color w:val="auto"/>
                <w:w w:val="99"/>
              </w:rPr>
              <w:t>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60" w:type="dxa"/>
            <w:vAlign w:val="bottom"/>
            <w:gridSpan w:val="14"/>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0" w:type="dxa"/>
            <w:vAlign w:val="bottom"/>
            <w:gridSpan w:val="12"/>
            <w:shd w:val="clear" w:color="auto" w:fill="CCEEFF"/>
          </w:tcPr>
          <w:p>
            <w:pPr>
              <w:jc w:val="center"/>
              <w:ind w:right="4620"/>
              <w:spacing w:after="0" w:line="15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260" w:type="dxa"/>
            <w:vAlign w:val="bottom"/>
            <w:tcBorders>
              <w:top w:val="single" w:sz="8" w:color="CCEEFF"/>
            </w:tcBorders>
            <w:gridSpan w:val="1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580" w:type="dxa"/>
            <w:vAlign w:val="bottom"/>
            <w:tcBorders>
              <w:top w:val="single" w:sz="8" w:color="0000EE"/>
            </w:tcBorders>
            <w:gridSpan w:val="4"/>
          </w:tcPr>
          <w:p>
            <w:pPr>
              <w:spacing w:after="0"/>
              <w:rPr>
                <w:sz w:val="15"/>
                <w:szCs w:val="15"/>
                <w:color w:val="auto"/>
              </w:rPr>
            </w:pPr>
          </w:p>
        </w:tc>
        <w:tc>
          <w:tcPr>
            <w:tcW w:w="4620" w:type="dxa"/>
            <w:vAlign w:val="bottom"/>
            <w:tcBorders>
              <w:top w:val="single" w:sz="8" w:color="CCEEFF"/>
            </w:tcBorders>
            <w:gridSpan w:val="8"/>
          </w:tcPr>
          <w:p>
            <w:pPr>
              <w:spacing w:after="0"/>
              <w:rPr>
                <w:sz w:val="15"/>
                <w:szCs w:val="15"/>
                <w:color w:val="auto"/>
              </w:rPr>
            </w:pPr>
          </w:p>
        </w:tc>
        <w:tc>
          <w:tcPr>
            <w:tcW w:w="180" w:type="dxa"/>
            <w:vAlign w:val="bottom"/>
            <w:tcBorders>
              <w:top w:val="single" w:sz="8" w:color="CCEEFF"/>
            </w:tcBorders>
            <w:gridSpan w:val="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60" w:type="dxa"/>
            <w:vAlign w:val="bottom"/>
            <w:gridSpan w:val="2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2019 (unaudited) and December 31, 2018</w:t>
              </w:r>
            </w:hyperlink>
          </w:p>
        </w:tc>
        <w:tc>
          <w:tcPr>
            <w:tcW w:w="180" w:type="dxa"/>
            <w:vAlign w:val="bottom"/>
            <w:gridSpan w:val="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9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six months ended June 30, 2019 and 2018 (unaudited)</w:t>
              </w:r>
            </w:hyperlink>
          </w:p>
        </w:tc>
        <w:tc>
          <w:tcPr>
            <w:tcW w:w="14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60" w:type="dxa"/>
            <w:vAlign w:val="bottom"/>
            <w:gridSpan w:val="22"/>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Changes in Net Assets for the three and six months ended June 30, 2019 and 2018 (unaudited)</w:t>
              </w:r>
            </w:hyperlink>
          </w:p>
        </w:tc>
        <w:tc>
          <w:tcPr>
            <w:tcW w:w="180" w:type="dxa"/>
            <w:vAlign w:val="bottom"/>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6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June 30, 2019 and 2018 (unaudited)</w:t>
              </w:r>
            </w:hyperlink>
          </w:p>
        </w:tc>
        <w:tc>
          <w:tcPr>
            <w:tcW w:w="180" w:type="dxa"/>
            <w:vAlign w:val="bottom"/>
            <w:gridSpan w:val="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320" w:type="dxa"/>
            <w:vAlign w:val="bottom"/>
            <w:tcBorders>
              <w:top w:val="single" w:sz="8" w:color="0000EE"/>
            </w:tcBorders>
            <w:gridSpan w:val="18"/>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Schedules of Investments as of June 30, 2019 (unaudited) and December 31, 2018</w:t>
              </w:r>
            </w:hyperlink>
          </w:p>
        </w:tc>
        <w:tc>
          <w:tcPr>
            <w:tcW w:w="2140" w:type="dxa"/>
            <w:vAlign w:val="bottom"/>
            <w:tcBorders>
              <w:top w:val="single" w:sz="8" w:color="CCEEFF"/>
            </w:tcBorders>
            <w:gridSpan w:val="4"/>
          </w:tcPr>
          <w:p>
            <w:pPr>
              <w:spacing w:after="0"/>
              <w:rPr>
                <w:sz w:val="15"/>
                <w:szCs w:val="15"/>
                <w:color w:val="auto"/>
              </w:rPr>
            </w:pPr>
          </w:p>
        </w:tc>
        <w:tc>
          <w:tcPr>
            <w:tcW w:w="100" w:type="dxa"/>
            <w:vAlign w:val="bottom"/>
            <w:tcBorders>
              <w:top w:val="single" w:sz="8" w:color="0000EE"/>
            </w:tcBorders>
          </w:tcPr>
          <w:p>
            <w:pPr>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60" w:type="dxa"/>
            <w:vAlign w:val="bottom"/>
            <w:gridSpan w:val="2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Notes to the Consolidated Financial Statements (unaudited)</w:t>
              </w:r>
            </w:hyperlink>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9460" w:type="dxa"/>
            <w:vAlign w:val="bottom"/>
            <w:gridSpan w:val="22"/>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3"/>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Item 3.</w:t>
              </w:r>
            </w:hyperlink>
          </w:p>
        </w:tc>
        <w:tc>
          <w:tcPr>
            <w:tcW w:w="640" w:type="dxa"/>
            <w:vAlign w:val="bottom"/>
            <w:gridSpan w:val="2"/>
            <w:shd w:val="clear" w:color="auto" w:fill="CCEEFF"/>
          </w:tcPr>
          <w:p>
            <w:pPr>
              <w:spacing w:after="0"/>
              <w:rPr>
                <w:sz w:val="15"/>
                <w:szCs w:val="15"/>
                <w:color w:val="auto"/>
              </w:rPr>
            </w:pPr>
          </w:p>
        </w:tc>
        <w:tc>
          <w:tcPr>
            <w:tcW w:w="4360" w:type="dxa"/>
            <w:vAlign w:val="bottom"/>
            <w:gridSpan w:val="13"/>
            <w:shd w:val="clear" w:color="auto" w:fill="CCEEFF"/>
          </w:tcPr>
          <w:p>
            <w:pPr>
              <w:spacing w:after="0" w:line="17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5100" w:type="dxa"/>
            <w:vAlign w:val="bottom"/>
            <w:gridSpan w:val="9"/>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4.</w:t>
              </w:r>
            </w:hyperlink>
          </w:p>
        </w:tc>
        <w:tc>
          <w:tcPr>
            <w:tcW w:w="640" w:type="dxa"/>
            <w:vAlign w:val="bottom"/>
            <w:gridSpan w:val="2"/>
          </w:tcPr>
          <w:p>
            <w:pPr>
              <w:spacing w:after="0"/>
              <w:rPr>
                <w:sz w:val="15"/>
                <w:szCs w:val="15"/>
                <w:color w:val="auto"/>
              </w:rPr>
            </w:pPr>
          </w:p>
        </w:tc>
        <w:tc>
          <w:tcPr>
            <w:tcW w:w="4360" w:type="dxa"/>
            <w:vAlign w:val="bottom"/>
            <w:gridSpan w:val="1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5100" w:type="dxa"/>
            <w:vAlign w:val="bottom"/>
            <w:gridSpan w:val="9"/>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40" w:type="dxa"/>
            <w:vAlign w:val="bottom"/>
            <w:gridSpan w:val="13"/>
          </w:tcPr>
          <w:p>
            <w:pPr>
              <w:jc w:val="center"/>
              <w:ind w:right="4580"/>
              <w:spacing w:after="0" w:line="17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1.</w:t>
              </w:r>
            </w:hyperlink>
          </w:p>
        </w:tc>
        <w:tc>
          <w:tcPr>
            <w:tcW w:w="640" w:type="dxa"/>
            <w:vAlign w:val="bottom"/>
            <w:gridSpan w:val="2"/>
            <w:shd w:val="clear" w:color="auto" w:fill="CCEEFF"/>
          </w:tcPr>
          <w:p>
            <w:pPr>
              <w:spacing w:after="0"/>
              <w:rPr>
                <w:sz w:val="15"/>
                <w:szCs w:val="15"/>
                <w:color w:val="auto"/>
              </w:rPr>
            </w:pPr>
          </w:p>
        </w:tc>
        <w:tc>
          <w:tcPr>
            <w:tcW w:w="1340" w:type="dxa"/>
            <w:vAlign w:val="bottom"/>
            <w:gridSpan w:val="5"/>
            <w:shd w:val="clear" w:color="auto" w:fill="CCEEFF"/>
          </w:tcPr>
          <w:p>
            <w:pPr>
              <w:spacing w:after="0" w:line="17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Legal Proceedings</w:t>
              </w:r>
            </w:hyperlink>
          </w:p>
        </w:tc>
        <w:tc>
          <w:tcPr>
            <w:tcW w:w="8120" w:type="dxa"/>
            <w:vAlign w:val="bottom"/>
            <w:gridSpan w:val="17"/>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1A.</w:t>
              </w:r>
            </w:hyperlink>
          </w:p>
        </w:tc>
        <w:tc>
          <w:tcPr>
            <w:tcW w:w="9460" w:type="dxa"/>
            <w:vAlign w:val="bottom"/>
            <w:gridSpan w:val="22"/>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Risk Factors</w:t>
              </w:r>
            </w:hyperlink>
          </w:p>
        </w:tc>
        <w:tc>
          <w:tcPr>
            <w:tcW w:w="800" w:type="dxa"/>
            <w:vAlign w:val="bottom"/>
            <w:gridSpan w:val="3"/>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2.</w:t>
              </w:r>
            </w:hyperlink>
          </w:p>
        </w:tc>
        <w:tc>
          <w:tcPr>
            <w:tcW w:w="640" w:type="dxa"/>
            <w:vAlign w:val="bottom"/>
            <w:gridSpan w:val="2"/>
            <w:shd w:val="clear" w:color="auto" w:fill="CCEEFF"/>
          </w:tcPr>
          <w:p>
            <w:pPr>
              <w:spacing w:after="0"/>
              <w:rPr>
                <w:sz w:val="15"/>
                <w:szCs w:val="15"/>
                <w:color w:val="auto"/>
              </w:rPr>
            </w:pPr>
          </w:p>
        </w:tc>
        <w:tc>
          <w:tcPr>
            <w:tcW w:w="9460" w:type="dxa"/>
            <w:vAlign w:val="bottom"/>
            <w:gridSpan w:val="22"/>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3.</w:t>
              </w:r>
            </w:hyperlink>
          </w:p>
        </w:tc>
        <w:tc>
          <w:tcPr>
            <w:tcW w:w="640" w:type="dxa"/>
            <w:vAlign w:val="bottom"/>
            <w:gridSpan w:val="2"/>
          </w:tcPr>
          <w:p>
            <w:pPr>
              <w:spacing w:after="0"/>
              <w:rPr>
                <w:sz w:val="15"/>
                <w:szCs w:val="15"/>
                <w:color w:val="auto"/>
              </w:rPr>
            </w:pPr>
          </w:p>
        </w:tc>
        <w:tc>
          <w:tcPr>
            <w:tcW w:w="4340" w:type="dxa"/>
            <w:vAlign w:val="bottom"/>
            <w:gridSpan w:val="12"/>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5120" w:type="dxa"/>
            <w:vAlign w:val="bottom"/>
            <w:gridSpan w:val="10"/>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4.</w:t>
              </w:r>
            </w:hyperlink>
          </w:p>
        </w:tc>
        <w:tc>
          <w:tcPr>
            <w:tcW w:w="640" w:type="dxa"/>
            <w:vAlign w:val="bottom"/>
            <w:gridSpan w:val="2"/>
            <w:shd w:val="clear" w:color="auto" w:fill="CCEEFF"/>
          </w:tcPr>
          <w:p>
            <w:pPr>
              <w:spacing w:after="0"/>
              <w:rPr>
                <w:sz w:val="15"/>
                <w:szCs w:val="15"/>
                <w:color w:val="auto"/>
              </w:rPr>
            </w:pPr>
          </w:p>
        </w:tc>
        <w:tc>
          <w:tcPr>
            <w:tcW w:w="9460" w:type="dxa"/>
            <w:vAlign w:val="bottom"/>
            <w:gridSpan w:val="22"/>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Item 5.</w:t>
              </w:r>
            </w:hyperlink>
          </w:p>
        </w:tc>
        <w:tc>
          <w:tcPr>
            <w:tcW w:w="640" w:type="dxa"/>
            <w:vAlign w:val="bottom"/>
            <w:gridSpan w:val="2"/>
          </w:tcPr>
          <w:p>
            <w:pPr>
              <w:spacing w:after="0"/>
              <w:rPr>
                <w:sz w:val="15"/>
                <w:szCs w:val="15"/>
                <w:color w:val="auto"/>
              </w:rPr>
            </w:pPr>
          </w:p>
        </w:tc>
        <w:tc>
          <w:tcPr>
            <w:tcW w:w="1760" w:type="dxa"/>
            <w:vAlign w:val="bottom"/>
            <w:gridSpan w:val="6"/>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700" w:type="dxa"/>
            <w:vAlign w:val="bottom"/>
            <w:gridSpan w:val="16"/>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Item 6.</w:t>
              </w:r>
            </w:hyperlink>
          </w:p>
        </w:tc>
        <w:tc>
          <w:tcPr>
            <w:tcW w:w="640" w:type="dxa"/>
            <w:vAlign w:val="bottom"/>
            <w:gridSpan w:val="2"/>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Exhibits</w:t>
              </w:r>
            </w:hyperlink>
          </w:p>
        </w:tc>
        <w:tc>
          <w:tcPr>
            <w:tcW w:w="8860" w:type="dxa"/>
            <w:vAlign w:val="bottom"/>
            <w:gridSpan w:val="21"/>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tcPr>
          <w:p>
            <w:pPr>
              <w:spacing w:after="0" w:line="176" w:lineRule="exact"/>
              <w:rPr>
                <w:rFonts w:ascii="Arial" w:cs="Arial" w:eastAsia="Arial" w:hAnsi="Arial"/>
                <w:sz w:val="18"/>
                <w:szCs w:val="18"/>
                <w:color w:val="0000EE"/>
                <w:w w:val="85"/>
              </w:rPr>
            </w:pPr>
            <w:hyperlink w:anchor="page70">
              <w:r>
                <w:rPr>
                  <w:rFonts w:ascii="Arial" w:cs="Arial" w:eastAsia="Arial" w:hAnsi="Arial"/>
                  <w:sz w:val="18"/>
                  <w:szCs w:val="18"/>
                  <w:color w:val="0000EE"/>
                  <w:w w:val="85"/>
                </w:rPr>
                <w:t>Signatures</w:t>
              </w:r>
            </w:hyperlink>
          </w:p>
        </w:tc>
        <w:tc>
          <w:tcPr>
            <w:tcW w:w="8700" w:type="dxa"/>
            <w:vAlign w:val="bottom"/>
            <w:gridSpan w:val="20"/>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(Dollars in thousands, except share and per share data)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Non-affiliate investments at fair value (cost of $253,480 and $229,772, respectively)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252,081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 investments at fair value (cost of $7,501 and $7,887, respectively) (Note 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Controlled affiliate investments at fair value (cost of $13,493 and $13,262, respectively) (Note 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 (cost of $274,474 and $250,921, respectively) (Note 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Borrowings (Note 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125,493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Base management fee payable (Note 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(Note 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spacing w:after="0" w:line="201" w:lineRule="exact"/>
              <w:rPr>
                <w:sz w:val="20"/>
                <w:szCs w:val="20"/>
                <w:color w:val="auto"/>
              </w:rPr>
            </w:pPr>
            <w:r>
              <w:rPr>
                <w:rFonts w:ascii="Arial" w:cs="Arial" w:eastAsia="Arial" w:hAnsi="Arial"/>
                <w:sz w:val="18"/>
                <w:szCs w:val="18"/>
                <w:color w:val="auto"/>
                <w:w w:val="91"/>
              </w:rPr>
              <w:t>Preferred stock, par value $0.001 per share, 1,000,000 shares authorized, zero shares issued and outstanding as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June 30, 2019 and December 31, 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13,710,338 and 11,702,594 shares issued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and 13,542,873 and 11,535,129 shares outstanding as of June 30, 2019 and December 31, 2018, respectively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202,855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179,616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157,136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289,302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11.60</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6"/>
              </w:rPr>
              <w:t>For the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Interest income on investments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non-affiliate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16,452</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income on 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interest income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Fee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Fee income on non-affiliate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Fee income on 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on controlled affiliate investments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dividend income</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Base management fee (Note 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2,662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(Note 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Administrative fee (Note 3)</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Performance based incentive fee waived (Note 3)</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expenses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realized loss on non-affiliate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(4,598)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(3,447)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realized loss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Net unrealized appreciation (depreciation) on non-affiliate investments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unrealized appreciation (depreciation) on non-controlled affiliate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unrealized depreciation on controlled 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unrealized appreciation (depreciation)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increase in net assets per common share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Distributions declared per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13,540,657</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11,525,874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12,610,593</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11,525,024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 Excess 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Distributable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Par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11,523,951</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1"/>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dividend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reinvestment plan</w:t>
            </w:r>
          </w:p>
        </w:tc>
        <w:tc>
          <w:tcPr>
            <w:tcW w:w="1280" w:type="dxa"/>
            <w:vAlign w:val="bottom"/>
          </w:tcPr>
          <w:p>
            <w:pPr>
              <w:jc w:val="right"/>
              <w:spacing w:after="0"/>
              <w:rPr>
                <w:sz w:val="20"/>
                <w:szCs w:val="20"/>
                <w:color w:val="auto"/>
              </w:rPr>
            </w:pPr>
            <w:r>
              <w:rPr>
                <w:rFonts w:ascii="Arial" w:cs="Arial" w:eastAsia="Arial" w:hAnsi="Arial"/>
                <w:sz w:val="18"/>
                <w:szCs w:val="18"/>
                <w:color w:val="auto"/>
              </w:rPr>
              <w:t>3,813</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June 30, 2018</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11,527,764</w:t>
            </w:r>
          </w:p>
        </w:tc>
        <w:tc>
          <w:tcPr>
            <w:tcW w:w="24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12</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179,720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(45,961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133,771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at March 31, 2019</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13,538,481</w:t>
            </w:r>
          </w:p>
        </w:tc>
        <w:tc>
          <w:tcPr>
            <w:tcW w:w="10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79"/>
              </w:rPr>
              <w:t>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202,818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(46,408)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156,424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costs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1"/>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(4,598)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dividend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reinvestment plan</w:t>
            </w:r>
          </w:p>
        </w:tc>
        <w:tc>
          <w:tcPr>
            <w:tcW w:w="1280" w:type="dxa"/>
            <w:vAlign w:val="bottom"/>
          </w:tcPr>
          <w:p>
            <w:pPr>
              <w:jc w:val="right"/>
              <w:spacing w:after="0"/>
              <w:rPr>
                <w:sz w:val="20"/>
                <w:szCs w:val="20"/>
                <w:color w:val="auto"/>
              </w:rPr>
            </w:pPr>
            <w:r>
              <w:rPr>
                <w:rFonts w:ascii="Arial" w:cs="Arial" w:eastAsia="Arial" w:hAnsi="Arial"/>
                <w:sz w:val="18"/>
                <w:szCs w:val="18"/>
                <w:color w:val="auto"/>
              </w:rPr>
              <w:t>4,392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13,542,873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14</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in Excess of</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Distributable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Par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11,520,406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1"/>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dividend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reinvestment plan</w:t>
            </w:r>
          </w:p>
        </w:tc>
        <w:tc>
          <w:tcPr>
            <w:tcW w:w="1280" w:type="dxa"/>
            <w:vAlign w:val="bottom"/>
          </w:tcPr>
          <w:p>
            <w:pPr>
              <w:jc w:val="right"/>
              <w:spacing w:after="0"/>
              <w:rPr>
                <w:sz w:val="20"/>
                <w:szCs w:val="20"/>
                <w:color w:val="auto"/>
              </w:rPr>
            </w:pPr>
            <w:r>
              <w:rPr>
                <w:rFonts w:ascii="Arial" w:cs="Arial" w:eastAsia="Arial" w:hAnsi="Arial"/>
                <w:sz w:val="18"/>
                <w:szCs w:val="18"/>
                <w:color w:val="auto"/>
              </w:rPr>
              <w:t>7,358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June 30, 2018</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11,527,764</w:t>
            </w:r>
          </w:p>
        </w:tc>
        <w:tc>
          <w:tcPr>
            <w:tcW w:w="24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12</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(45,961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133,771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11,535,129</w:t>
            </w:r>
          </w:p>
        </w:tc>
        <w:tc>
          <w:tcPr>
            <w:tcW w:w="10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79"/>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(45,371)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134,257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costs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1"/>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dividend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reinvestment plan</w:t>
            </w:r>
          </w:p>
        </w:tc>
        <w:tc>
          <w:tcPr>
            <w:tcW w:w="1280" w:type="dxa"/>
            <w:vAlign w:val="bottom"/>
          </w:tcPr>
          <w:p>
            <w:pPr>
              <w:jc w:val="right"/>
              <w:spacing w:after="0"/>
              <w:rPr>
                <w:sz w:val="20"/>
                <w:szCs w:val="20"/>
                <w:color w:val="auto"/>
              </w:rPr>
            </w:pPr>
            <w:r>
              <w:rPr>
                <w:rFonts w:ascii="Arial" w:cs="Arial" w:eastAsia="Arial" w:hAnsi="Arial"/>
                <w:sz w:val="18"/>
                <w:szCs w:val="18"/>
                <w:color w:val="auto"/>
              </w:rPr>
              <w:t>7,744</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13,542,873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14</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60" w:type="dxa"/>
            <w:vAlign w:val="bottom"/>
          </w:tcPr>
          <w:p>
            <w:pPr>
              <w:jc w:val="center"/>
              <w:ind w:left="30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(Dollars in thousands)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7,563</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 cash (used in) provided by</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(2,765)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(93,137)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65,204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 in controlled affiliate investments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controlled affiliate investment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Dividends from controlled affiliate investment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Equity received in settlement of fee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interest receivable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Increase in end-of-term payments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unearned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Increase in other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accrued expenses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Increase in base management fee payable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incentive fee payable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offering costs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Advances on credit facility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28,500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increase in cash</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12,591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investments received and recorded as unearned income</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1,367</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Distributions payable</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4,063</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End-of-term payments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3,573</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r>
      <w:tr>
        <w:trPr>
          <w:trHeight w:val="171"/>
        </w:trPr>
        <w:tc>
          <w:tcPr>
            <w:tcW w:w="284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2540" w:type="dxa"/>
            <w:vAlign w:val="bottom"/>
          </w:tcPr>
          <w:p>
            <w:pPr>
              <w:ind w:left="110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2520" w:type="dxa"/>
            <w:vAlign w:val="bottom"/>
          </w:tcPr>
          <w:p>
            <w:pPr>
              <w:ind w:left="28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Investments — 160.5% (8)</w:t>
            </w:r>
          </w:p>
        </w:tc>
        <w:tc>
          <w:tcPr>
            <w:tcW w:w="2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Non-Affiliate Debt Investments — 150.1% (8)</w:t>
            </w: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51.3%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Celsion Corporation (2)(5)(12)</w:t>
            </w:r>
          </w:p>
        </w:tc>
        <w:tc>
          <w:tcPr>
            <w:tcW w:w="2540" w:type="dxa"/>
            <w:vAlign w:val="bottom"/>
          </w:tcPr>
          <w:p>
            <w:pPr>
              <w:ind w:left="40"/>
              <w:spacing w:after="0" w:line="130" w:lineRule="exact"/>
              <w:rPr>
                <w:sz w:val="20"/>
                <w:szCs w:val="20"/>
                <w:color w:val="auto"/>
              </w:rPr>
            </w:pPr>
            <w:r>
              <w:rPr>
                <w:rFonts w:ascii="Arial" w:cs="Arial" w:eastAsia="Arial" w:hAnsi="Arial"/>
                <w:sz w:val="14"/>
                <w:szCs w:val="14"/>
                <w:color w:val="auto"/>
              </w:rPr>
              <w:t>Biotechnology</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(10.07% cash (Libor + 7.63%;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9.63%), 4.00% ETP, Due 7/1/22)</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2,500</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2,457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2,457</w:t>
            </w:r>
          </w:p>
        </w:tc>
      </w:tr>
      <w:tr>
        <w:trPr>
          <w:trHeight w:val="130"/>
        </w:trPr>
        <w:tc>
          <w:tcPr>
            <w:tcW w:w="28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(10.07% cash (Libor + 7.63%;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9.63%), 4.00% ETP, Due 7/1/22)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2,457</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Encore Dermatology, Inc. (2)(12)</w:t>
            </w:r>
          </w:p>
        </w:tc>
        <w:tc>
          <w:tcPr>
            <w:tcW w:w="2540" w:type="dxa"/>
            <w:vAlign w:val="bottom"/>
          </w:tcPr>
          <w:p>
            <w:pPr>
              <w:ind w:left="40"/>
              <w:spacing w:after="0" w:line="130" w:lineRule="exact"/>
              <w:rPr>
                <w:sz w:val="20"/>
                <w:szCs w:val="20"/>
                <w:color w:val="auto"/>
              </w:rPr>
            </w:pPr>
            <w:r>
              <w:rPr>
                <w:rFonts w:ascii="Arial" w:cs="Arial" w:eastAsia="Arial" w:hAnsi="Arial"/>
                <w:sz w:val="14"/>
                <w:szCs w:val="14"/>
                <w:color w:val="auto"/>
              </w:rPr>
              <w:t>Biotechnology</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(10.00% cash (Libor + 7.50%;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10.00%), 3.00% ETP, Due 4/1/23)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4,830</w:t>
            </w:r>
          </w:p>
        </w:tc>
      </w:tr>
      <w:tr>
        <w:trPr>
          <w:trHeight w:val="130"/>
        </w:trPr>
        <w:tc>
          <w:tcPr>
            <w:tcW w:w="28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(10.00% cash (Libor + 7.50%;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10.00%), 3.00% ETP, Due 4/1/23)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4,918</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Espero BioPharma, Inc. (2)(12)</w:t>
            </w:r>
          </w:p>
        </w:tc>
        <w:tc>
          <w:tcPr>
            <w:tcW w:w="2540" w:type="dxa"/>
            <w:vAlign w:val="bottom"/>
          </w:tcPr>
          <w:p>
            <w:pPr>
              <w:ind w:left="40"/>
              <w:spacing w:after="0" w:line="130" w:lineRule="exact"/>
              <w:rPr>
                <w:sz w:val="20"/>
                <w:szCs w:val="20"/>
                <w:color w:val="auto"/>
              </w:rPr>
            </w:pPr>
            <w:r>
              <w:rPr>
                <w:rFonts w:ascii="Arial" w:cs="Arial" w:eastAsia="Arial" w:hAnsi="Arial"/>
                <w:sz w:val="14"/>
                <w:szCs w:val="14"/>
                <w:color w:val="auto"/>
              </w:rPr>
              <w:t>Biotechnology</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(12.34% cash (Libor + 9.9%;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w w:val="97"/>
              </w:rPr>
              <w:t>Floor 12.00%), 4.00% ETP, Due 6/30/19)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4,900</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Mustang Bio, Inc. (2)(5)(12)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Biotechnology</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(9.00% cash (Libor + 6.50%;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9.00%), 5.00% ETP, Due 10/1/22)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4,814</w:t>
            </w:r>
          </w:p>
        </w:tc>
      </w:tr>
      <w:tr>
        <w:trPr>
          <w:trHeight w:val="130"/>
        </w:trPr>
        <w:tc>
          <w:tcPr>
            <w:tcW w:w="2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(9.00% cash (Libor + 6.50%;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9.00%), 5.00% ETP, Due 10/1/22)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4,910</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Palatin Technologies, Inc. (2)(5)(12)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Biotechnology</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(10.94% cash (Libor + 8.50%;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9.00%), 5.00% ETP, Due 8/1/19)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r>
      <w:tr>
        <w:trPr>
          <w:trHeight w:val="130"/>
        </w:trPr>
        <w:tc>
          <w:tcPr>
            <w:tcW w:w="2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(10.94% cash (Libor + 8.50%;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9.00%), 3.27% ETP, Due 8/1/19)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167</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Biotechnology</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Term Loan (12.44% cash (Libor + 10.00%;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10.50%), 6.00% ETP, Due 5/1/20)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2,585</w:t>
            </w:r>
          </w:p>
        </w:tc>
      </w:tr>
      <w:tr>
        <w:trPr>
          <w:trHeight w:val="130"/>
        </w:trPr>
        <w:tc>
          <w:tcPr>
            <w:tcW w:w="2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4"/>
              </w:rPr>
              <w:t>Term Loan (12.44% cash (Libor + 10.00%;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w w:val="97"/>
              </w:rPr>
              <w:t>Floor 10.50%), 6.00% ETP, Due 10/1/20)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2,321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2,321</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Titan Pharmaceuticals, Inc. (2)(5)(12)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Drug Delivery</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(10.84% cash (Libor + 8.40%;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9.50%), 5.00% ETP, Due 6/1/21)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1,517</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Conventus Orthopaedics, Inc. (2)(12)</w:t>
            </w:r>
          </w:p>
        </w:tc>
        <w:tc>
          <w:tcPr>
            <w:tcW w:w="254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Revolving Loan (10.44% cash (Libor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8.00%; Floor 9.25%), 6.00% ETP, Due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7/1/21)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11,371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11,228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11,228</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CSA Medical, Inc. (2)(12)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(10.37% cash (Libor + 7.93%;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7"/>
              </w:rPr>
              <w:t>Floor 10.00%), 5.00% ETP, Due 10/1/22)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5,867</w:t>
            </w:r>
          </w:p>
        </w:tc>
      </w:tr>
      <w:tr>
        <w:trPr>
          <w:trHeight w:val="130"/>
        </w:trPr>
        <w:tc>
          <w:tcPr>
            <w:tcW w:w="2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(10.34% cash (Libor + 7.93%;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10.00%), 5.00% ETP, Due 7/1/23)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5,891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5,891</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(10.87% cash (Libor + 8.43%;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7"/>
              </w:rPr>
              <w:t>Floor 10.00%), 10.00% ETP, Due 9/1/21)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3,473</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MacuLogix, Inc. (2)(12)</w:t>
            </w:r>
          </w:p>
        </w:tc>
        <w:tc>
          <w:tcPr>
            <w:tcW w:w="254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(10.12% cash (Libor + 7.68%;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9.50%), 4.00% ETP, Due 8/1/22)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3,641</w:t>
            </w:r>
          </w:p>
        </w:tc>
      </w:tr>
      <w:tr>
        <w:trPr>
          <w:trHeight w:val="130"/>
        </w:trPr>
        <w:tc>
          <w:tcPr>
            <w:tcW w:w="28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(10.12% cash (Libor + 7.68%;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9.50%), 4.00% ETP, Due 8/1/22)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3,654</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Meditrina, Inc. (12)</w:t>
            </w:r>
          </w:p>
        </w:tc>
        <w:tc>
          <w:tcPr>
            <w:tcW w:w="254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(9.70% cash (Libor + 7.10%;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9.70%), 4.00% ETP, Due 5/1/20)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2,876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2,876</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VERO Biotech LLC (2)(12)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(10.44% cash (Libor + 8.00%;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9.25%), 5.00% ETP, Due 1/1/22)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3,959</w:t>
            </w:r>
          </w:p>
        </w:tc>
      </w:tr>
      <w:tr>
        <w:trPr>
          <w:trHeight w:val="130"/>
        </w:trPr>
        <w:tc>
          <w:tcPr>
            <w:tcW w:w="2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(10.44% cash (Libor + 8.00%;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1"/>
        </w:trPr>
        <w:tc>
          <w:tcPr>
            <w:tcW w:w="2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9.25%), 5.00% ETP, Due 1/1/22)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3,959</w:t>
            </w:r>
          </w:p>
        </w:tc>
      </w:tr>
      <w:tr>
        <w:trPr>
          <w:trHeight w:val="142"/>
        </w:trPr>
        <w:tc>
          <w:tcPr>
            <w:tcW w:w="53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1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80,589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80,589</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5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79.7% (8)</w:t>
            </w: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Audacy Corporation (2)(12)(15)</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Communications</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(10.34% cash (Libor + 7.90%;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9.50%), 5.00% ETP, Due 7/1/22)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1,274</w:t>
            </w:r>
          </w:p>
        </w:tc>
      </w:tr>
      <w:tr>
        <w:trPr>
          <w:trHeight w:val="130"/>
        </w:trPr>
        <w:tc>
          <w:tcPr>
            <w:tcW w:w="2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(10.28% cash (Libor + 7.90%;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9.50%), 0.00% ETP, Due 2/1/20)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226</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Intelepeer Holdings, Inc. (2)(12)</w:t>
            </w:r>
          </w:p>
        </w:tc>
        <w:tc>
          <w:tcPr>
            <w:tcW w:w="25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Communications</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(12.39% cash (Libor + 9.95%;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11.25%), 2.50% ETP, Due 1/1/22)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3,936</w:t>
            </w:r>
          </w:p>
        </w:tc>
      </w:tr>
      <w:tr>
        <w:trPr>
          <w:trHeight w:val="130"/>
        </w:trPr>
        <w:tc>
          <w:tcPr>
            <w:tcW w:w="2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(12.39% cash (Libor + 9.95%;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11.25%), 2.50% ETP, Due 2/1/22)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2,947</w:t>
            </w:r>
          </w:p>
        </w:tc>
      </w:tr>
      <w:tr>
        <w:trPr>
          <w:trHeight w:val="130"/>
        </w:trPr>
        <w:tc>
          <w:tcPr>
            <w:tcW w:w="28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(12.45% cash (Libor + 9.95%;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7"/>
              </w:rPr>
              <w:t>Floor 12.45%), 2.50% ETP, Due 10/1/22)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1,055</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Betabrand Corporation (2)(12)</w:t>
            </w:r>
          </w:p>
        </w:tc>
        <w:tc>
          <w:tcPr>
            <w:tcW w:w="2540" w:type="dxa"/>
            <w:vAlign w:val="bottom"/>
          </w:tcPr>
          <w:p>
            <w:pPr>
              <w:ind w:left="40"/>
              <w:spacing w:after="0" w:line="130" w:lineRule="exact"/>
              <w:rPr>
                <w:sz w:val="20"/>
                <w:szCs w:val="20"/>
                <w:color w:val="auto"/>
              </w:rPr>
            </w:pPr>
            <w:r>
              <w:rPr>
                <w:rFonts w:ascii="Arial" w:cs="Arial" w:eastAsia="Arial" w:hAnsi="Arial"/>
                <w:sz w:val="14"/>
                <w:szCs w:val="14"/>
                <w:color w:val="auto"/>
              </w:rPr>
              <w:t>Consumer-related Technologies</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(10.05% cash (Libor + 7.50%;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Floor 10.05%), 4.50% ETP, Due 9/1/23)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4,250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4,106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4,106</w:t>
            </w:r>
          </w:p>
        </w:tc>
      </w:tr>
      <w:tr>
        <w:trPr>
          <w:trHeight w:val="130"/>
        </w:trPr>
        <w:tc>
          <w:tcPr>
            <w:tcW w:w="28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(10.05% cash (Libor + 7.50%;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10.05%), 4.50% ETP, Due 9/1/23)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2620" w:type="dxa"/>
            <w:vAlign w:val="bottom"/>
            <w:gridSpan w:val="2"/>
          </w:tcPr>
          <w:p>
            <w:pPr>
              <w:ind w:left="280"/>
              <w:spacing w:after="0"/>
              <w:rPr>
                <w:sz w:val="20"/>
                <w:szCs w:val="20"/>
                <w:color w:val="auto"/>
              </w:rPr>
            </w:pPr>
            <w:r>
              <w:rPr>
                <w:rFonts w:ascii="Arial" w:cs="Arial" w:eastAsia="Arial" w:hAnsi="Arial"/>
                <w:sz w:val="14"/>
                <w:szCs w:val="14"/>
                <w:b w:val="1"/>
                <w:bCs w:val="1"/>
                <w:color w:val="auto"/>
              </w:rPr>
              <w:t>Type of Investment (4)(7)(9)(10)</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Investments (6)</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Food52, Inc. (2)(12)</w:t>
            </w:r>
          </w:p>
        </w:tc>
        <w:tc>
          <w:tcPr>
            <w:tcW w:w="140" w:type="dxa"/>
            <w:vAlign w:val="bottom"/>
            <w:tcBorders>
              <w:top w:val="single" w:sz="8" w:color="CCEEFF"/>
            </w:tcBorders>
            <w:shd w:val="clear" w:color="auto" w:fill="CCEEFF"/>
          </w:tcPr>
          <w:p>
            <w:pPr>
              <w:spacing w:after="0"/>
              <w:rPr>
                <w:sz w:val="10"/>
                <w:szCs w:val="10"/>
                <w:color w:val="auto"/>
              </w:rPr>
            </w:pPr>
          </w:p>
        </w:tc>
        <w:tc>
          <w:tcPr>
            <w:tcW w:w="25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Consumer-related Technologies</w:t>
            </w:r>
          </w:p>
        </w:tc>
        <w:tc>
          <w:tcPr>
            <w:tcW w:w="120" w:type="dxa"/>
            <w:vAlign w:val="bottom"/>
            <w:tcBorders>
              <w:top w:val="single" w:sz="8" w:color="CCEEFF"/>
            </w:tcBorders>
            <w:shd w:val="clear" w:color="auto" w:fill="CCEEFF"/>
          </w:tcPr>
          <w:p>
            <w:pPr>
              <w:spacing w:after="0"/>
              <w:rPr>
                <w:sz w:val="10"/>
                <w:szCs w:val="10"/>
                <w:color w:val="auto"/>
              </w:rPr>
            </w:pPr>
          </w:p>
        </w:tc>
        <w:tc>
          <w:tcPr>
            <w:tcW w:w="25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Term Loan (10.90% cash (Libor + 8.40%;</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10.90%), 3.00% ETP, Due 1/1/23)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2,928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(10.90% cash (Libor + 8.40%;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10.90%), 3.00% ETP, Due 1/1/23)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2,928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Mohawk Group Holdings, Inc. (2)(5)(12)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(9.90% cash (Libor + 7.40%;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9.90%), 4.00% ETP, Due 1/1/23)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4,899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(9.90% cash (Libor + 7.40%;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9.90%), 4.00% ETP, Due 1/1/23)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4,899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4,899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(9.90% cash (Libor + 7.40%;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9.90%), 4.00% ETP, Due 1/1/23)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4,899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Canara,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Data Storage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(11.04% cash (Libor + 8.60%;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11.00%), 1.00% ETP, Due 2/1/23)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4,847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(11.04% cash (Libor + 8.60%;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11.00%), 1.00% ETP, Due 2/1/23)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4,847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Kaminario,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Data Storage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(10.84% cash (Libor + 8.40%;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10.65%), 3.00% ETP, Due 1/1/23)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4,928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(10.84% cash (Libor + 8.40%;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10.65%), 3.00% ETP, Due 1/1/23)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4,928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IgnitionOne,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8"/>
              </w:rPr>
              <w:t>Term Loan (12.67% cash (Libor + 10.23%;</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10.23%), 4.00% ETP, Due 4/1/22)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2,891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(12.67% cash (Libor + 10.23%;</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10.23%), 4.00% ETP, Due 4/1/22)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2,891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8"/>
              </w:rPr>
              <w:t>Term Loan (12.67% cash (Libor + 10.23%;</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10.23%), 4.00% ETP, Due 4/1/22)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2,891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(12.67% cash (Libor + 10.23%;</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10.23%), 4.00% ETP, Due 4/1/22)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2,891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Verve Wireless,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(11.24% cash (Libor + 8.80%;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10.80%), 3.33% ETP, Due 9/1/21)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2,596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Materials</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(11.00% cash (Libor + 8.50%;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11.00%), 4.00% ETP, Due 6/1/22)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4,195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(11.00% cash (Libor + 8.50%;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11.00%), 4.00% ETP, Due 6/1/22)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4,250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4,195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4,195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Bridge2 Solutions, LLC. (2)(12)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(11.00% cash (Libor + 8.40%;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11.00%), 2.00% ETP, Due 6/1/23)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6,101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(11.00% cash (Libor + 8.40%;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11.00%), 2.00% ETP, Due 6/1/23)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6,250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6,101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6,101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Signature US, Inc. (2)(12)(13)</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(10.94% cash (Libor + 8.50%;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10.50%), 3.50% ETP, Due 7/1/22)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2,715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(10.94% cash (Libor + 8.50%;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10.50%), 3.50% ETP, Due 2/1/23)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985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SIGNiX, Inc. (12)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(13.44% cash (Libor + 11.00%;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11.50%), 8.67% ETP, Due 2/1/20)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1,539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OutboundEngine,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(11.15% cash (Libor + 8.40%;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11.15%), 3.00% ETP, Due 7/1/23)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3,919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(11.15% cash (Libor + 8.40%;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11.15%), 3.00% ETP, Due 7/1/23)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3,919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Revinate,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(9.50% cash (Libor + 7.00%;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9.50%), 4.00% ETP, Due 6/1/23)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3,824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3,824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(9.50% cash (Libor + 7.00%;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9.50%), 4.00% ETP, Due 6/1/23)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986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xAd,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(11.14% cash (Libor + 8.70%;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4,936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(11.14% cash (Libor + 8.70%;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4,936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(11.14% cash (Libor + 8.70%;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2,962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(11.14% cash (Libor + 8.70%;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1,975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Non-Affiliate Debt Investments — Technology</w:t>
            </w: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127,412</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125,174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Non-Affiliate Debt Investments — Healthcare information and services — 19.1% (8)</w:t>
            </w: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Catasys, Inc. (2)(5)(12)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(10.19% cash (Libor + 7.75%;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9.75%), 6.00% ETP, Due 3/1/22)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2,482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2620" w:type="dxa"/>
            <w:vAlign w:val="bottom"/>
            <w:gridSpan w:val="2"/>
          </w:tcPr>
          <w:p>
            <w:pPr>
              <w:ind w:left="280"/>
              <w:spacing w:after="0"/>
              <w:rPr>
                <w:sz w:val="20"/>
                <w:szCs w:val="20"/>
                <w:color w:val="auto"/>
              </w:rPr>
            </w:pPr>
            <w:r>
              <w:rPr>
                <w:rFonts w:ascii="Arial" w:cs="Arial" w:eastAsia="Arial" w:hAnsi="Arial"/>
                <w:sz w:val="14"/>
                <w:szCs w:val="14"/>
                <w:b w:val="1"/>
                <w:bCs w:val="1"/>
                <w:color w:val="auto"/>
              </w:rPr>
              <w:t>Type of Investment (4)(7)(9)(10)</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Investments (6)</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5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Term Loan (10.19% cash (Libor + 7.75%;</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9.75%), 6.00% ETP, Due 3/1/22)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2,482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(10.19% cash (Libor + 7.75%;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color w:val="auto"/>
              </w:rPr>
              <w:t>Floor 9.75%), 6.00% ETP, Due 3/1/22)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2,500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2,481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Revolving Loan (10.19% cash (Libor +</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7.75%; Floor 9.75%), 6.00% ETP, Due</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8/31/22)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7,241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HealthEdge Software,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(10.69% cash (Libor + 8.25%;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color w:val="auto"/>
              </w:rPr>
              <w:t>Floor 9.25%), 3.00% ETP, Due 7/1/22)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4,286</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4,240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4,240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(10.69% cash (Libor + 8.25%;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9.25%), 3.00% ETP, Due 1/1/23)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3,710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(10.69% cash (Libor + 8.25%;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color w:val="auto"/>
              </w:rPr>
              <w:t>Floor 9.25%), 3.00% ETP, Due 4/1/23)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3,750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3,707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(10.69% cash (Libor + 8.25%;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9.25%), 3.00% ETP, Due 1/1/24)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3,702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Non-Affiliate Debt Investments — Healthcare information and services</w:t>
            </w:r>
          </w:p>
        </w:tc>
        <w:tc>
          <w:tcPr>
            <w:tcW w:w="1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30,045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 Affiliate Debt Investments</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238,046</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235,808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Non-Affiliate Warrant Investments — 6.1% (8)</w:t>
            </w: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1.2%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ACT Biotech Corporation</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130,872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Alpine Immune Sciences, Inc. (5)(12)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4,634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Celsion Corporation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95,057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Corvium,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661,956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Encore Dermatology,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1,510,878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Espero BioPharma, Inc. (2)(5)(12)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1,507,917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Mustang Bio, Inc.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216,138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Pharmaceuticals Corporation (5)(12)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7,051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Palatin Technologies, Inc.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608,058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 (5)(12)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34,113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Strongbridge U.S. Inc.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160,714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2,050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vTv Therapeutics Inc.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95,293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Drug Delivery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373,333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AccuVein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1,174,881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Aerin Medical,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1,818,182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Conventus Orthopaedics,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720,000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CSA Medical,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958,580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Lantos Technologies,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1,715,926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MacuLogix,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234,742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Meditrina,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243,391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29,102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Tryton Medical,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122,362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VERO Biotech LLC (2)(12)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800 Common Stock Warrants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Life Science</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1,942</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Technology — 4.1%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Audacy Corporation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1,545,575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1,561,068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PebblePost,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598,850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Betabrand Corporation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248,210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Caastle,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268,591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Food52,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102,941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Le Tote,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202,974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Mohawk Group Holdings, Inc. (2)(5)(12)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76,923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Rhapsody International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852,273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Canara,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Data Storage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500,000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Kaminario,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Data Storage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9,981,346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Global Worldwide LLC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245,810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IgnitionOne,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262,910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672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261,721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Verve Wireless,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112,805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Materials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467,277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Avalanche Technology, Inc. (2)(12)</w:t>
            </w:r>
          </w:p>
        </w:tc>
        <w:tc>
          <w:tcPr>
            <w:tcW w:w="2500" w:type="dxa"/>
            <w:vAlign w:val="bottom"/>
          </w:tcPr>
          <w:p>
            <w:pPr>
              <w:spacing w:after="0"/>
              <w:rPr>
                <w:sz w:val="20"/>
                <w:szCs w:val="20"/>
                <w:color w:val="auto"/>
              </w:rPr>
            </w:pPr>
            <w:r>
              <w:rPr>
                <w:rFonts w:ascii="Arial" w:cs="Arial" w:eastAsia="Arial" w:hAnsi="Arial"/>
                <w:sz w:val="14"/>
                <w:szCs w:val="14"/>
                <w:color w:val="auto"/>
              </w:rPr>
              <w:t>Semiconductors</w:t>
            </w: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202,602 Preferred Stock Warrants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101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2520" w:type="dxa"/>
            <w:vAlign w:val="bottom"/>
            <w:gridSpan w:val="2"/>
          </w:tcPr>
          <w:p>
            <w:pPr>
              <w:ind w:left="28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Soraa, Inc. (2)(12)</w:t>
            </w:r>
          </w:p>
        </w:tc>
        <w:tc>
          <w:tcPr>
            <w:tcW w:w="14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Semiconductors</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4"/>
              </w:rPr>
              <w:t>203,616</w:t>
            </w:r>
          </w:p>
        </w:tc>
        <w:tc>
          <w:tcPr>
            <w:tcW w:w="2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Preferred Stock Warrants</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Bridge2 Solutions,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162,958</w:t>
            </w: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Common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BSI Platform Holdings, LLC (2)(12)(13)</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187,500</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53,486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Elements,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238,121</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Lotame Solutions,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288,115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OutboundEngine,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640,000</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Revinate,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540,906</w:t>
            </w: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 Data Corp.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321,428</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ShopKeep.com,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193,962</w:t>
            </w: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SIGNiX,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133,560</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Skyword,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301,056</w:t>
            </w: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375,000</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Weblinc Corporation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195,122</w:t>
            </w: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xAd, Inc. (2)(12)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4,343,350 Preferred Stock Warrants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6,548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Cleantech — 0.1% (8)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Tigo Energy, Inc. (2)(12)</w:t>
            </w:r>
          </w:p>
        </w:tc>
        <w:tc>
          <w:tcPr>
            <w:tcW w:w="2500" w:type="dxa"/>
            <w:vAlign w:val="bottom"/>
          </w:tcPr>
          <w:p>
            <w:pPr>
              <w:spacing w:after="0"/>
              <w:rPr>
                <w:sz w:val="20"/>
                <w:szCs w:val="20"/>
                <w:color w:val="auto"/>
              </w:rPr>
            </w:pPr>
            <w:r>
              <w:rPr>
                <w:rFonts w:ascii="Arial" w:cs="Arial" w:eastAsia="Arial" w:hAnsi="Arial"/>
                <w:sz w:val="14"/>
                <w:szCs w:val="14"/>
                <w:color w:val="auto"/>
              </w:rPr>
              <w:t>Energy Efficiency</w:t>
            </w:r>
          </w:p>
        </w:tc>
        <w:tc>
          <w:tcPr>
            <w:tcW w:w="620" w:type="dxa"/>
            <w:vAlign w:val="bottom"/>
            <w:gridSpan w:val="2"/>
          </w:tcPr>
          <w:p>
            <w:pPr>
              <w:ind w:left="120"/>
              <w:spacing w:after="0"/>
              <w:rPr>
                <w:sz w:val="20"/>
                <w:szCs w:val="20"/>
                <w:color w:val="auto"/>
              </w:rPr>
            </w:pPr>
            <w:r>
              <w:rPr>
                <w:rFonts w:ascii="Arial" w:cs="Arial" w:eastAsia="Arial" w:hAnsi="Arial"/>
                <w:sz w:val="14"/>
                <w:szCs w:val="14"/>
                <w:color w:val="auto"/>
                <w:w w:val="94"/>
              </w:rPr>
              <w:t>804,604</w:t>
            </w:r>
          </w:p>
        </w:tc>
        <w:tc>
          <w:tcPr>
            <w:tcW w:w="2020" w:type="dxa"/>
            <w:vAlign w:val="bottom"/>
          </w:tcPr>
          <w:p>
            <w:pPr>
              <w:spacing w:after="0"/>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Cleantech</w:t>
            </w: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Non-Affiliate Warrants — Healthcare information and services — 0.7% (8)</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26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49,000 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ProterixBio,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Diagnostics</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2,676 Common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Singulex,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294,231</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Verity Solutions Group,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Other Healthcare</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300,360</w:t>
            </w: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26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27,373 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Catasys, Inc.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51,188 Common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HealthEdge Software,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205,481</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Medsphere Systems Corporation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7,097,792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Recondo Technology, Inc. (2)(12)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4"/>
              </w:rPr>
              <w:t>556,796</w:t>
            </w: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Non-Affiliate Other Investments — 4.0% (8)</w:t>
            </w: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Espero Pharmaceuticals,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Royalty Agreement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ZetrOZ,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6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Royalty Agreement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Triple Double Holdings, LLC (12)</w:t>
            </w:r>
          </w:p>
        </w:tc>
        <w:tc>
          <w:tcPr>
            <w:tcW w:w="2500" w:type="dxa"/>
            <w:vAlign w:val="bottom"/>
          </w:tcPr>
          <w:p>
            <w:pPr>
              <w:spacing w:after="0"/>
              <w:rPr>
                <w:sz w:val="20"/>
                <w:szCs w:val="20"/>
                <w:color w:val="auto"/>
              </w:rPr>
            </w:pPr>
            <w:r>
              <w:rPr>
                <w:rFonts w:ascii="Arial" w:cs="Arial" w:eastAsia="Arial" w:hAnsi="Arial"/>
                <w:sz w:val="14"/>
                <w:szCs w:val="14"/>
                <w:color w:val="auto"/>
              </w:rPr>
              <w:t>Software</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License Agreement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Other Investments</w:t>
            </w: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7,590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6,200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Equity — 0.3% (8)</w:t>
            </w: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Inc.(5)</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5,125 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6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13,082 Common Stock</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SnagAJob.com,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82,974 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Verve Wireless,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100,598</w:t>
            </w: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Formetrix, Inc. (2)(12)</w:t>
            </w:r>
          </w:p>
        </w:tc>
        <w:tc>
          <w:tcPr>
            <w:tcW w:w="2500" w:type="dxa"/>
            <w:vAlign w:val="bottom"/>
          </w:tcPr>
          <w:p>
            <w:pPr>
              <w:spacing w:after="0"/>
              <w:rPr>
                <w:sz w:val="20"/>
                <w:szCs w:val="20"/>
                <w:color w:val="auto"/>
              </w:rPr>
            </w:pPr>
            <w:r>
              <w:rPr>
                <w:rFonts w:ascii="Arial" w:cs="Arial" w:eastAsia="Arial" w:hAnsi="Arial"/>
                <w:sz w:val="14"/>
                <w:szCs w:val="14"/>
                <w:color w:val="auto"/>
              </w:rPr>
              <w:t>Materials</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74,286 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gridSpan w:val="3"/>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253,480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252,081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Investments — 5.8% (8)</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Debt Investments — Technology — 4.1% (8)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Decisyon, Inc. (12)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6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4"/>
              </w:rPr>
              <w:t>Term Loan (14.75% cash (Libor + 12.31%;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w w:val="97"/>
              </w:rPr>
              <w:t>Floor 12.50%), 8.00% ETP, Due 12/1/20)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1,267</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1,266</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6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Term Loan (14.75% cash (Libor + 12.31%;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Floor 12.50%), 8.00% ETP, Due 12/1/20)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8"/>
              </w:rPr>
              <w:t>Term Loan (12.02% cash, Due 12/31/19)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Term Loan (12.03% cash, Due 12/31/19)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8"/>
              </w:rPr>
              <w:t>Term Loan (12.24% cash, Due 12/31/19)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Term Loan (13.08% cash, Due 12/31/19)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8"/>
              </w:rPr>
              <w:t>Term Loan (13.10% cash, Due 12/31/19)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StereoVision Imaging, Inc. (12)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6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(9.47% Cash (Libor + 7.03%;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Floor 8.50%), 8.50% ETP, Due 9/1/21)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(11)</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2,798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gridSpan w:val="3"/>
          </w:tcPr>
          <w:p>
            <w:pPr>
              <w:spacing w:after="0" w:line="142" w:lineRule="exact"/>
              <w:rPr>
                <w:sz w:val="20"/>
                <w:szCs w:val="20"/>
                <w:color w:val="auto"/>
              </w:rPr>
            </w:pPr>
            <w:r>
              <w:rPr>
                <w:rFonts w:ascii="Arial" w:cs="Arial" w:eastAsia="Arial" w:hAnsi="Arial"/>
                <w:sz w:val="14"/>
                <w:szCs w:val="14"/>
                <w:color w:val="auto"/>
              </w:rPr>
              <w:t>Total Non-controlled Affiliate Debt Investments — Technology</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6,479</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2060" w:type="dxa"/>
            <w:vAlign w:val="bottom"/>
          </w:tcPr>
          <w:p>
            <w:pPr>
              <w:ind w:left="1080"/>
              <w:spacing w:after="0"/>
              <w:rPr>
                <w:sz w:val="20"/>
                <w:szCs w:val="20"/>
                <w:color w:val="auto"/>
              </w:rPr>
            </w:pPr>
            <w:r>
              <w:rPr>
                <w:rFonts w:ascii="Arial" w:cs="Arial" w:eastAsia="Arial" w:hAnsi="Arial"/>
                <w:sz w:val="14"/>
                <w:szCs w:val="14"/>
                <w:b w:val="1"/>
                <w:bCs w:val="1"/>
                <w:color w:val="auto"/>
              </w:rPr>
              <w:t>Sector</w:t>
            </w:r>
          </w:p>
        </w:tc>
        <w:tc>
          <w:tcPr>
            <w:tcW w:w="3200" w:type="dxa"/>
            <w:vAlign w:val="bottom"/>
            <w:gridSpan w:val="2"/>
          </w:tcPr>
          <w:p>
            <w:pPr>
              <w:ind w:left="860"/>
              <w:spacing w:after="0"/>
              <w:rPr>
                <w:sz w:val="20"/>
                <w:szCs w:val="20"/>
                <w:color w:val="auto"/>
              </w:rPr>
            </w:pPr>
            <w:r>
              <w:rPr>
                <w:rFonts w:ascii="Arial" w:cs="Arial" w:eastAsia="Arial" w:hAnsi="Arial"/>
                <w:sz w:val="14"/>
                <w:szCs w:val="14"/>
                <w:b w:val="1"/>
                <w:bCs w:val="1"/>
                <w:color w:val="auto"/>
              </w:rPr>
              <w:t>Type of Investment (4)(7)(9)(10)</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Non-controlled Affiliate Warrants — Technology — 0.0% (8)</w:t>
            </w:r>
          </w:p>
        </w:tc>
        <w:tc>
          <w:tcPr>
            <w:tcW w:w="3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Decisyon, Inc. (12)</w:t>
            </w:r>
          </w:p>
        </w:tc>
        <w:tc>
          <w:tcPr>
            <w:tcW w:w="2060" w:type="dxa"/>
            <w:vAlign w:val="bottom"/>
          </w:tcPr>
          <w:p>
            <w:pPr>
              <w:ind w:left="20"/>
              <w:spacing w:after="0"/>
              <w:rPr>
                <w:sz w:val="20"/>
                <w:szCs w:val="20"/>
                <w:color w:val="auto"/>
              </w:rPr>
            </w:pPr>
            <w:r>
              <w:rPr>
                <w:rFonts w:ascii="Arial" w:cs="Arial" w:eastAsia="Arial" w:hAnsi="Arial"/>
                <w:sz w:val="14"/>
                <w:szCs w:val="14"/>
                <w:color w:val="auto"/>
              </w:rPr>
              <w:t>Software</w:t>
            </w:r>
          </w:p>
        </w:tc>
        <w:tc>
          <w:tcPr>
            <w:tcW w:w="3200" w:type="dxa"/>
            <w:vAlign w:val="bottom"/>
            <w:gridSpan w:val="2"/>
          </w:tcPr>
          <w:p>
            <w:pPr>
              <w:ind w:left="580"/>
              <w:spacing w:after="0"/>
              <w:rPr>
                <w:sz w:val="20"/>
                <w:szCs w:val="20"/>
                <w:color w:val="auto"/>
              </w:rPr>
            </w:pPr>
            <w:r>
              <w:rPr>
                <w:rFonts w:ascii="Arial" w:cs="Arial" w:eastAsia="Arial" w:hAnsi="Arial"/>
                <w:sz w:val="14"/>
                <w:szCs w:val="14"/>
                <w:color w:val="auto"/>
              </w:rPr>
              <w:t>82,967 Common Stock Warrants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Non-controlled Affiliate Warrants — Technology</w:t>
            </w:r>
          </w:p>
        </w:tc>
        <w:tc>
          <w:tcPr>
            <w:tcW w:w="3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Equity — Technology — 1.7% (8)</w:t>
            </w: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Decisyon, Inc. (12)</w:t>
            </w:r>
          </w:p>
        </w:tc>
        <w:tc>
          <w:tcPr>
            <w:tcW w:w="2060" w:type="dxa"/>
            <w:vAlign w:val="bottom"/>
          </w:tcPr>
          <w:p>
            <w:pPr>
              <w:ind w:left="20"/>
              <w:spacing w:after="0" w:line="149" w:lineRule="exact"/>
              <w:rPr>
                <w:sz w:val="20"/>
                <w:szCs w:val="20"/>
                <w:color w:val="auto"/>
              </w:rPr>
            </w:pPr>
            <w:r>
              <w:rPr>
                <w:rFonts w:ascii="Arial" w:cs="Arial" w:eastAsia="Arial" w:hAnsi="Arial"/>
                <w:sz w:val="14"/>
                <w:szCs w:val="14"/>
                <w:color w:val="auto"/>
              </w:rPr>
              <w:t>Software</w:t>
            </w:r>
          </w:p>
        </w:tc>
        <w:tc>
          <w:tcPr>
            <w:tcW w:w="3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45,365,936 Common Stock</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StereoVision Imaging, Inc. (12)</w:t>
            </w: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32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1,943,572 Common Stock</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Non-controlled Affiliate Equity</w:t>
            </w:r>
          </w:p>
        </w:tc>
        <w:tc>
          <w:tcPr>
            <w:tcW w:w="206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Non-controlled Affiliate Portfolio Investment Assets</w:t>
            </w: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Controlled Affiliate Investments — 8.6% (8)</w:t>
            </w:r>
          </w:p>
        </w:tc>
        <w:tc>
          <w:tcPr>
            <w:tcW w:w="206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Controlled Affiliate Equity — Financial — 8.6% (8)</w:t>
            </w: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Horizon Secured Loan Fund I LLC (12)(14)</w:t>
            </w: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funds</w:t>
            </w: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13,493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Controlled Affiliate Equity</w:t>
            </w:r>
          </w:p>
        </w:tc>
        <w:tc>
          <w:tcPr>
            <w:tcW w:w="206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13,493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13,471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Controlled Affiliate Portfolio Investment Assets</w:t>
            </w:r>
          </w:p>
        </w:tc>
        <w:tc>
          <w:tcPr>
            <w:tcW w:w="3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13,493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13,471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 — 174.9%(8)</w:t>
            </w:r>
          </w:p>
        </w:tc>
        <w:tc>
          <w:tcPr>
            <w:tcW w:w="3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274,474</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80" w:right="2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been pledged as collateral under the revolving credit facility with KeyBank National Association (the “Key Facility”).</w:t>
      </w:r>
    </w:p>
    <w:p>
      <w:pPr>
        <w:spacing w:after="0" w:line="225"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88"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June 30, 2019 is provided.</w:t>
      </w:r>
    </w:p>
    <w:p>
      <w:pPr>
        <w:spacing w:after="0" w:line="188"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June 30, 2019, 4.7% of the Company’s total assets on a cost and fair value basis are in non-qualifying assets. Under the Investment Company Act of 1940, as amended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1, 2018, the Company entered into an agreement with Arena Sunset SPV, LLC (“Arena”) to co-invest through Horizon Secured Loan Fund I (“HSLFI”), a joint venture, which is expected to make investments, either directly or indirectly through subsidiaries, primarily in the form of secured loans to development-stage companies in the technology, life science, healthcare information and services and cleantech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193"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investment is on non-accrual status as of June 30,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904" w:right="239" w:bottom="0" w:gutter="0" w:footer="0" w:header="0"/>
        </w:sectPr>
      </w:pPr>
    </w:p>
    <w:bookmarkStart w:id="11" w:name="page12"/>
    <w:bookmarkEnd w:id="11"/>
    <w:p>
      <w:pPr>
        <w:jc w:val="center"/>
        <w:ind w:right="-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r>
      <w:tr>
        <w:trPr>
          <w:trHeight w:val="171"/>
        </w:trPr>
        <w:tc>
          <w:tcPr>
            <w:tcW w:w="284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2260" w:type="dxa"/>
            <w:vAlign w:val="bottom"/>
          </w:tcPr>
          <w:p>
            <w:pPr>
              <w:ind w:left="1100"/>
              <w:spacing w:after="0"/>
              <w:rPr>
                <w:sz w:val="20"/>
                <w:szCs w:val="20"/>
                <w:color w:val="auto"/>
              </w:rPr>
            </w:pPr>
            <w:r>
              <w:rPr>
                <w:rFonts w:ascii="Arial" w:cs="Arial" w:eastAsia="Arial" w:hAnsi="Arial"/>
                <w:sz w:val="14"/>
                <w:szCs w:val="14"/>
                <w:b w:val="1"/>
                <w:bCs w:val="1"/>
                <w:color w:val="auto"/>
              </w:rPr>
              <w:t>Sector</w:t>
            </w:r>
          </w:p>
        </w:tc>
        <w:tc>
          <w:tcPr>
            <w:tcW w:w="2920" w:type="dxa"/>
            <w:vAlign w:val="bottom"/>
          </w:tcPr>
          <w:p>
            <w:pPr>
              <w:ind w:left="40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Investments — 169.6% (8)</w:t>
            </w:r>
          </w:p>
        </w:tc>
        <w:tc>
          <w:tcPr>
            <w:tcW w:w="2260" w:type="dxa"/>
            <w:vAlign w:val="bottom"/>
            <w:tcBorders>
              <w:top w:val="single" w:sz="8" w:color="auto"/>
            </w:tcBorders>
            <w:shd w:val="clear" w:color="auto" w:fill="CCEEFF"/>
          </w:tcPr>
          <w:p>
            <w:pPr>
              <w:spacing w:after="0"/>
              <w:rPr>
                <w:sz w:val="12"/>
                <w:szCs w:val="12"/>
                <w:color w:val="auto"/>
              </w:rPr>
            </w:pPr>
          </w:p>
        </w:tc>
        <w:tc>
          <w:tcPr>
            <w:tcW w:w="2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Non-Affiliate Debt Investments — 156.3% (8)</w:t>
            </w:r>
          </w:p>
        </w:tc>
        <w:tc>
          <w:tcPr>
            <w:tcW w:w="2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49.9% (8)</w:t>
            </w:r>
          </w:p>
        </w:tc>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Celsion Corporation (2)(5)(12)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Biotechnology</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rPr>
              <w:t>Term Loan (9.98% cash (Libor + 7.63%;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9.63%), 4.00% ETP, Due 7/1/22)</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2,500</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2,450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2,450</w:t>
            </w:r>
          </w:p>
        </w:tc>
      </w:tr>
      <w:tr>
        <w:trPr>
          <w:trHeight w:val="130"/>
        </w:trPr>
        <w:tc>
          <w:tcPr>
            <w:tcW w:w="28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Term Loan (9.98% cash (Libor + 7.63%;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9.63%), 4.00% ETP, Due 7/1/22)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2,450</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Espero BioPharma, Inc. (2)(12)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Biotechnology</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rPr>
              <w:t>Term Loan (12.25% cash (Libor + 9.9%;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w w:val="97"/>
              </w:rPr>
              <w:t>Floor 12.00%), 4.00% ETP, Due 6/30/19)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4,760</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Palatin Technologies, Inc. (2)(5)(12)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Biotechnology</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(10.85% cash (Libor + 8.50%;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9.00%), 5.00% ETP, Due 8/1/19)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1,156</w:t>
            </w:r>
          </w:p>
        </w:tc>
      </w:tr>
      <w:tr>
        <w:trPr>
          <w:trHeight w:val="130"/>
        </w:trPr>
        <w:tc>
          <w:tcPr>
            <w:tcW w:w="2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(10.85% cash (Libor + 8.50%;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9.00%), 3.27% ETP, Due 8/1/19)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1,167</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Biotechnology</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4"/>
              </w:rPr>
              <w:t>Term Loan (12.35% cash (Libor + 10.00%;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10.50%), 6.00% ETP, Due 5/1/20)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4,136</w:t>
            </w:r>
          </w:p>
        </w:tc>
      </w:tr>
      <w:tr>
        <w:trPr>
          <w:trHeight w:val="130"/>
        </w:trPr>
        <w:tc>
          <w:tcPr>
            <w:tcW w:w="2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4"/>
              </w:rPr>
              <w:t>Term Loan (12.35% cash (Libor + 10.00%;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w w:val="97"/>
              </w:rPr>
              <w:t>Floor 10.50%), 6.00% ETP, Due 10/1/20)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3,281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3,250</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Titan Pharmaceuticals, Inc. (2)(5)(12)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Drug Delivery</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(10.75% cash (Libor + 8.40%;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9.50%), 5.00% ETP, Due 6/1/21)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1,495</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Aerin Medical, Inc. (2)(12)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rPr>
              <w:t>Term Loan (9.80% cash (Libor + 7.45%;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8.75%), 4.00% ETP, Due 1/1/22)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3,891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3,891</w:t>
            </w:r>
          </w:p>
        </w:tc>
      </w:tr>
      <w:tr>
        <w:trPr>
          <w:trHeight w:val="130"/>
        </w:trPr>
        <w:tc>
          <w:tcPr>
            <w:tcW w:w="28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Term Loan (9.80% cash (Libor + 7.45%;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8.75%), 4.00% ETP, Due 1/1/22)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2,966</w:t>
            </w:r>
          </w:p>
        </w:tc>
      </w:tr>
      <w:tr>
        <w:trPr>
          <w:trHeight w:val="130"/>
        </w:trPr>
        <w:tc>
          <w:tcPr>
            <w:tcW w:w="2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rPr>
              <w:t>Term Loan (9.80% cash (Libor + 7.45%;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8.75%), 4.00% ETP, Due 1/1/22)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2,966</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Conventus Orthopaedics, Inc. (2)(12)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(10.35% cash (Libor + 8.00%;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9.25%), 6.00% ETP, Due 6/1/21)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3,949</w:t>
            </w:r>
          </w:p>
        </w:tc>
      </w:tr>
      <w:tr>
        <w:trPr>
          <w:trHeight w:val="130"/>
        </w:trPr>
        <w:tc>
          <w:tcPr>
            <w:tcW w:w="2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(10.35% cash (Libor + 8.00%;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9.25%), 6.00% ETP, Due 6/1/21)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3,949</w:t>
            </w:r>
          </w:p>
        </w:tc>
      </w:tr>
      <w:tr>
        <w:trPr>
          <w:trHeight w:val="130"/>
        </w:trPr>
        <w:tc>
          <w:tcPr>
            <w:tcW w:w="28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(10.35% cash (Libor + 8.00%;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9.25%), 6.00% ETP, Due 6/1/21)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3,949</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CSA Medical, Inc. (2)(12)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(10.28% cash (Libor + 7.93%;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w w:val="97"/>
              </w:rPr>
              <w:t>Floor 10.00%), 5.00% ETP, Due 10/1/22)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5,768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5,768</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(10.78% cash (Libor + 8.43%;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10.00%), 6.00% ETP, Due 9/1/21)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3,563</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MacuLogix, Inc. (2)(12)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(10.02% cash (Libor + 7.68%;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9.50%), 4.00% ETP, Due 8/1/22)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3,623</w:t>
            </w:r>
          </w:p>
        </w:tc>
      </w:tr>
      <w:tr>
        <w:trPr>
          <w:trHeight w:val="130"/>
        </w:trPr>
        <w:tc>
          <w:tcPr>
            <w:tcW w:w="28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(10.14% cash (Libor + 7.68%;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9.50%), 4.00% ETP, Due 8/1/22)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3,638</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VERO Biotech LLC (2)(12)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(10.35% cash (Libor + 8.00%;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9.25%), 5.00% ETP, Due 1/1/22)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3,950</w:t>
            </w:r>
          </w:p>
        </w:tc>
      </w:tr>
      <w:tr>
        <w:trPr>
          <w:trHeight w:val="130"/>
        </w:trPr>
        <w:tc>
          <w:tcPr>
            <w:tcW w:w="28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(10.35% cash (Libor + 8.00%;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1"/>
        </w:trPr>
        <w:tc>
          <w:tcPr>
            <w:tcW w:w="28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9.25%), 5.00% ETP, Due 1/1/22)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3,950</w:t>
            </w:r>
          </w:p>
        </w:tc>
      </w:tr>
      <w:tr>
        <w:trPr>
          <w:trHeight w:val="142"/>
        </w:trPr>
        <w:tc>
          <w:tcPr>
            <w:tcW w:w="51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29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67,026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67,026</w:t>
            </w:r>
          </w:p>
        </w:tc>
        <w:tc>
          <w:tcPr>
            <w:tcW w:w="100" w:type="dxa"/>
            <w:vAlign w:val="bottom"/>
            <w:tcBorders>
              <w:bottom w:val="single" w:sz="8" w:color="CCEEFF"/>
            </w:tcBorders>
          </w:tcPr>
          <w:p>
            <w:pPr>
              <w:spacing w:after="0"/>
              <w:rPr>
                <w:sz w:val="12"/>
                <w:szCs w:val="12"/>
                <w:color w:val="auto"/>
              </w:rPr>
            </w:pPr>
          </w:p>
        </w:tc>
      </w:tr>
      <w:tr>
        <w:trPr>
          <w:trHeight w:val="142"/>
        </w:trPr>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88.9% (8)</w:t>
            </w:r>
          </w:p>
        </w:tc>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Audacy Corporation (2)(12)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Communications</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(10.25% cash (Libor + 7.90%;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9.50%), 5.00% ETP, Due 7/1/22)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3,636</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Intelepeer Holdings, Inc. (2)(12)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Communications</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(12.30% cash (Libor + 9.95%;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11.25%), 2.50% ETP, Due 7/1/21)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r>
      <w:tr>
        <w:trPr>
          <w:trHeight w:val="130"/>
        </w:trPr>
        <w:tc>
          <w:tcPr>
            <w:tcW w:w="2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(12.30% cash (Libor + 9.95%;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11.25%), 2.50% ETP, Due 2/1/21)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2,955</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Food52, Inc. (2)(12)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Consumer-related Technologies</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Term Loan (10.90% cash (Libor + 8.40%;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10.90%), 3.00% ETP, Due 1/1/23)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2,918</w:t>
            </w:r>
          </w:p>
        </w:tc>
      </w:tr>
      <w:tr>
        <w:trPr>
          <w:trHeight w:val="130"/>
        </w:trPr>
        <w:tc>
          <w:tcPr>
            <w:tcW w:w="2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(10.90% cash (Libor + 8.40%;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10.90%), 3.00% ETP, Due 1/1/23)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2,918</w:t>
            </w: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Mohawk Group Holdings, Inc. (2)(12)</w:t>
            </w:r>
          </w:p>
        </w:tc>
        <w:tc>
          <w:tcPr>
            <w:tcW w:w="22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Consumer-related Technologies</w:t>
            </w: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Term Loan (9.90% cash (Libor + 7.40%;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9.90%), 4.00% ETP, Due 1/1/23)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4,885</w:t>
            </w:r>
          </w:p>
        </w:tc>
      </w:tr>
      <w:tr>
        <w:trPr>
          <w:trHeight w:val="130"/>
        </w:trPr>
        <w:tc>
          <w:tcPr>
            <w:tcW w:w="2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rPr>
              <w:t>Term Loan (9.90% cash (Libor + 7.40%;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9.90%), 4.00% ETP, Due 1/1/23)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4,885</w:t>
            </w:r>
          </w:p>
        </w:tc>
      </w:tr>
      <w:tr>
        <w:trPr>
          <w:trHeight w:val="130"/>
        </w:trPr>
        <w:tc>
          <w:tcPr>
            <w:tcW w:w="28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29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Term Loan (9.90% cash (Libor + 7.40%;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Floor 9.90%), 4.00% ETP, Due 1/1/23)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4,885</w:t>
            </w: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Kaminario, Inc. (2)(12)</w:t>
            </w:r>
          </w:p>
        </w:tc>
        <w:tc>
          <w:tcPr>
            <w:tcW w:w="2260" w:type="dxa"/>
            <w:vAlign w:val="bottom"/>
          </w:tcPr>
          <w:p>
            <w:pPr>
              <w:ind w:left="40"/>
              <w:spacing w:after="0" w:line="130" w:lineRule="exact"/>
              <w:rPr>
                <w:sz w:val="20"/>
                <w:szCs w:val="20"/>
                <w:color w:val="auto"/>
              </w:rPr>
            </w:pPr>
            <w:r>
              <w:rPr>
                <w:rFonts w:ascii="Arial" w:cs="Arial" w:eastAsia="Arial" w:hAnsi="Arial"/>
                <w:sz w:val="14"/>
                <w:szCs w:val="14"/>
                <w:color w:val="auto"/>
              </w:rPr>
              <w:t>Data Storage</w:t>
            </w:r>
          </w:p>
        </w:tc>
        <w:tc>
          <w:tcPr>
            <w:tcW w:w="2920" w:type="dxa"/>
            <w:vAlign w:val="bottom"/>
          </w:tcPr>
          <w:p>
            <w:pPr>
              <w:ind w:left="400"/>
              <w:spacing w:after="0" w:line="130" w:lineRule="exact"/>
              <w:rPr>
                <w:sz w:val="20"/>
                <w:szCs w:val="20"/>
                <w:color w:val="auto"/>
              </w:rPr>
            </w:pPr>
            <w:r>
              <w:rPr>
                <w:rFonts w:ascii="Arial" w:cs="Arial" w:eastAsia="Arial" w:hAnsi="Arial"/>
                <w:sz w:val="14"/>
                <w:szCs w:val="14"/>
                <w:color w:val="auto"/>
                <w:w w:val="97"/>
              </w:rPr>
              <w:t>Term Loan (10.87% cash (Libor + 8.40%;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2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920" w:type="dxa"/>
            <w:vAlign w:val="bottom"/>
          </w:tcPr>
          <w:p>
            <w:pPr>
              <w:ind w:left="400"/>
              <w:spacing w:after="0"/>
              <w:rPr>
                <w:sz w:val="20"/>
                <w:szCs w:val="20"/>
                <w:color w:val="auto"/>
              </w:rPr>
            </w:pPr>
            <w:r>
              <w:rPr>
                <w:rFonts w:ascii="Arial" w:cs="Arial" w:eastAsia="Arial" w:hAnsi="Arial"/>
                <w:sz w:val="14"/>
                <w:szCs w:val="14"/>
                <w:color w:val="auto"/>
              </w:rPr>
              <w:t>Floor 10.65%), 3.00% ETP, Due 1/1/23)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4,918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Sector</w:t>
            </w:r>
          </w:p>
        </w:tc>
        <w:tc>
          <w:tcPr>
            <w:tcW w:w="2740" w:type="dxa"/>
            <w:vAlign w:val="bottom"/>
            <w:gridSpan w:val="3"/>
          </w:tcPr>
          <w:p>
            <w:pPr>
              <w:ind w:left="120"/>
              <w:spacing w:after="0"/>
              <w:rPr>
                <w:sz w:val="20"/>
                <w:szCs w:val="20"/>
                <w:color w:val="auto"/>
              </w:rPr>
            </w:pPr>
            <w:r>
              <w:rPr>
                <w:rFonts w:ascii="Arial" w:cs="Arial" w:eastAsia="Arial" w:hAnsi="Arial"/>
                <w:sz w:val="14"/>
                <w:szCs w:val="14"/>
                <w:b w:val="1"/>
                <w:bCs w:val="1"/>
                <w:color w:val="auto"/>
              </w:rPr>
              <w:t>Type of Investment (4)(7)(9)(10)</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Investments (6)</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123"/>
        </w:trPr>
        <w:tc>
          <w:tcPr>
            <w:tcW w:w="2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5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Term Loan (10.87% cash (Libor + 8.40%;</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10.65%), 3.00% ETP, Due 1/1/23)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4,917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4,917</w:t>
            </w: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IgnitionOne,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8"/>
              </w:rPr>
              <w:t>Term Loan (12.58% cash (Libor + 10.23%;</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10.23%), 2.00% ETP, Due 4/1/22)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2,871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2,871</w:t>
            </w:r>
          </w:p>
        </w:tc>
      </w:tr>
      <w:tr>
        <w:trPr>
          <w:trHeight w:val="130"/>
        </w:trPr>
        <w:tc>
          <w:tcPr>
            <w:tcW w:w="2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(12.58% cash (Libor + 10.23%;</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10.23%), 2.00% ETP, Due 4/1/22)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2,871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2,871</w:t>
            </w: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8"/>
              </w:rPr>
              <w:t>Term Loan (12.58% cash (Libor + 10.23%;</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10.23%), 2.00% ETP, Due 4/1/22)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2,871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2,871</w:t>
            </w:r>
          </w:p>
        </w:tc>
      </w:tr>
      <w:tr>
        <w:trPr>
          <w:trHeight w:val="130"/>
        </w:trPr>
        <w:tc>
          <w:tcPr>
            <w:tcW w:w="2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(12.58% cash (Libor + 10.23%;</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10.23%), 2.00% ETP, Due 4/1/22)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2,871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2,871</w:t>
            </w: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Jump Ramp Games,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(12.08% cash (Libor + 9.73%),</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3.00% ETP, Due 4/1/21)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3,960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3,960</w:t>
            </w: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Kixeye, Inc. (2)(12)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(11.95% cash (Libor + 9.60%;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10.75%), 2.00% ETP, Due 5/1/21)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2,617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2,617</w:t>
            </w: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(11.95% cash (Libor + 9.60%;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10.75%), 2.00% ETP, Due 5/1/21)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2,661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2,661</w:t>
            </w: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Rocket Lawyer Incorporated (2)(12)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(11.75% cash (Libor + 9.40%;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10.50%), 3.00% ETP, Due 7/1/21)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3,952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3,952</w:t>
            </w: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(11.75% cash (Libor + 9.40%;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10.50%), 3.00% ETP, Due 7/1/21)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3,952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3,952</w:t>
            </w:r>
          </w:p>
        </w:tc>
      </w:tr>
      <w:tr>
        <w:trPr>
          <w:trHeight w:val="130"/>
        </w:trPr>
        <w:tc>
          <w:tcPr>
            <w:tcW w:w="2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(11.75% cash (Libor + 9.40%;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10.50%), 3.00% ETP, Due 11/1/21)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1,973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1,973</w:t>
            </w: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Verve Wireless,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(11.15% cash (Libor + 8.80%;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10.80%), 3.33% ETP, Due 9/1/21)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3,300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3,172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3,172</w:t>
            </w: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Zinio Holdings, LLC (2)(12)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(13.60% cash (Libor + 11.25%;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11.75%), 6.00% ETP, Due 2/1/20)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3,213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3,213</w:t>
            </w: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The NanoSteel Company,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Materials</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(11.00% cash (Libor + 8.50%;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11.00%), 4.0% ETP, Due 6/1/22)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4,250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4,186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4,186</w:t>
            </w:r>
          </w:p>
        </w:tc>
      </w:tr>
      <w:tr>
        <w:trPr>
          <w:trHeight w:val="130"/>
        </w:trPr>
        <w:tc>
          <w:tcPr>
            <w:tcW w:w="2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(11.00% cash (Libor + 8.50%;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11.00%), 4.0% ETP, Due 6/1/22)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4,186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4,186</w:t>
            </w: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Powerhouse Dynamics,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Power Management</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8"/>
              </w:rPr>
              <w:t>Term Loan (13.05% cash (Libor + 10.70%;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11.20%), 3.32% ETP, Due 9/1/19)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512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512</w:t>
            </w: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Luxtera, Inc. (12)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Semiconductors</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(12.00% cash (Prime + 6.75%),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3/28/20)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1,945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1,945</w:t>
            </w: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7"/>
              </w:rPr>
              <w:t>Term Loan (12.00% cash (Prime + 6.75%),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Due 3/28/20)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1,500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1,468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1,468</w:t>
            </w: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Bridge2 Solutions, LLC. (2)(12)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(11.60% cash (Libor + 9.25%;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10.50%), 2.00% ETP, Due 11/1/21)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4,835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4,835</w:t>
            </w: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(11.60% cash (Libor + 9.25%;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10.50%), 2.00% ETP, Due 11/1/21)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4,835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4,835</w:t>
            </w: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 Elements, Inc. (2)(12)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(12.35% cash (Libor + 10.00%;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10.50%), 4.00% ETP, Due 8/1/19)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346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w:t>
            </w: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New Signature US, Inc. (2)(12)(13)</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(10.85% cash (Libor + 8.50%;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10.50%), 3.50% ETP, Due 7/1/22)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2,750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2,699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2,699</w:t>
            </w: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SIGNiX, Inc. (12)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Term Loan (13.35% cash (Libor + 11.00%;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11.50%), 8.67% ETP, Due 2/1/20)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1,845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1,790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1,555</w:t>
            </w: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xAd, Inc. (2)(12)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(11.05% cash (Libor + 8.70%;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4,923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4,923</w:t>
            </w:r>
          </w:p>
        </w:tc>
      </w:tr>
      <w:tr>
        <w:trPr>
          <w:trHeight w:val="130"/>
        </w:trPr>
        <w:tc>
          <w:tcPr>
            <w:tcW w:w="2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(11.05% cash (Libor + 8.70%;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4,923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4,923</w:t>
            </w: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(11.05% cash (Libor + 8.70%;</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2,954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2,954</w:t>
            </w:r>
          </w:p>
        </w:tc>
      </w:tr>
      <w:tr>
        <w:trPr>
          <w:trHeight w:val="130"/>
        </w:trPr>
        <w:tc>
          <w:tcPr>
            <w:tcW w:w="2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(11.05% cash (Libor + 8.70%;</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1"/>
        </w:trPr>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10.00%), 4.75% ETP, Due 11/1/21)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1,969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1,969</w:t>
            </w:r>
          </w:p>
        </w:tc>
      </w:tr>
      <w:tr>
        <w:trPr>
          <w:trHeight w:val="142"/>
        </w:trPr>
        <w:tc>
          <w:tcPr>
            <w:tcW w:w="538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Non-Affiliate Debt Investments — Technology</w:t>
            </w: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119,720</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119,185</w:t>
            </w:r>
          </w:p>
        </w:tc>
        <w:tc>
          <w:tcPr>
            <w:tcW w:w="100" w:type="dxa"/>
            <w:vAlign w:val="bottom"/>
            <w:tcBorders>
              <w:bottom w:val="single" w:sz="8" w:color="CCEEFF"/>
            </w:tcBorders>
          </w:tcPr>
          <w:p>
            <w:pPr>
              <w:spacing w:after="0"/>
              <w:rPr>
                <w:sz w:val="12"/>
                <w:szCs w:val="12"/>
                <w:color w:val="auto"/>
              </w:rPr>
            </w:pPr>
          </w:p>
        </w:tc>
      </w:tr>
      <w:tr>
        <w:trPr>
          <w:trHeight w:val="142"/>
        </w:trPr>
        <w:tc>
          <w:tcPr>
            <w:tcW w:w="53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Non-Affiliate Debt Investments — Healthcare information and services — 17.5%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Catasys, Inc. (2)(5)(12)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(10.10% cash (Libor + 7.75%;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color w:val="auto"/>
              </w:rPr>
              <w:t>Floor 9.75%), 6.00% ETP, Due 3/1/22)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2,500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2,478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2,478</w:t>
            </w:r>
          </w:p>
        </w:tc>
      </w:tr>
      <w:tr>
        <w:trPr>
          <w:trHeight w:val="130"/>
        </w:trPr>
        <w:tc>
          <w:tcPr>
            <w:tcW w:w="2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(10.10% cash (Libor + 7.75%;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9.75%), 6.00% ETP, Due 3/1/22)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2,478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2,478</w:t>
            </w: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(10.10% cash (Libor + 7.75%;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color w:val="auto"/>
              </w:rPr>
              <w:t>Floor 9.75%), 6.00% ETP, Due 3/1/22)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2,500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2,477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2,477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Sector</w:t>
            </w:r>
          </w:p>
        </w:tc>
        <w:tc>
          <w:tcPr>
            <w:tcW w:w="2740" w:type="dxa"/>
            <w:vAlign w:val="bottom"/>
            <w:gridSpan w:val="3"/>
          </w:tcPr>
          <w:p>
            <w:pPr>
              <w:ind w:left="120"/>
              <w:spacing w:after="0"/>
              <w:rPr>
                <w:sz w:val="20"/>
                <w:szCs w:val="20"/>
                <w:color w:val="auto"/>
              </w:rPr>
            </w:pPr>
            <w:r>
              <w:rPr>
                <w:rFonts w:ascii="Arial" w:cs="Arial" w:eastAsia="Arial" w:hAnsi="Arial"/>
                <w:sz w:val="14"/>
                <w:szCs w:val="14"/>
                <w:b w:val="1"/>
                <w:bCs w:val="1"/>
                <w:color w:val="auto"/>
              </w:rPr>
              <w:t>Type of Investment (4)(7)(9)(10)</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Investments (6)</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HealthEdge Software, Inc. (2)(12)</w:t>
            </w:r>
          </w:p>
        </w:tc>
        <w:tc>
          <w:tcPr>
            <w:tcW w:w="140" w:type="dxa"/>
            <w:vAlign w:val="bottom"/>
            <w:tcBorders>
              <w:top w:val="single" w:sz="8" w:color="CCEEFF"/>
            </w:tcBorders>
            <w:shd w:val="clear" w:color="auto" w:fill="CCEEFF"/>
          </w:tcPr>
          <w:p>
            <w:pPr>
              <w:spacing w:after="0"/>
              <w:rPr>
                <w:sz w:val="10"/>
                <w:szCs w:val="10"/>
                <w:color w:val="auto"/>
              </w:rPr>
            </w:pPr>
          </w:p>
        </w:tc>
        <w:tc>
          <w:tcPr>
            <w:tcW w:w="25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Software</w:t>
            </w:r>
          </w:p>
        </w:tc>
        <w:tc>
          <w:tcPr>
            <w:tcW w:w="120" w:type="dxa"/>
            <w:vAlign w:val="bottom"/>
            <w:tcBorders>
              <w:top w:val="single" w:sz="8" w:color="CCEEFF"/>
            </w:tcBorders>
            <w:shd w:val="clear" w:color="auto" w:fill="CCEEFF"/>
          </w:tcPr>
          <w:p>
            <w:pPr>
              <w:spacing w:after="0"/>
              <w:rPr>
                <w:sz w:val="10"/>
                <w:szCs w:val="10"/>
                <w:color w:val="auto"/>
              </w:rPr>
            </w:pPr>
          </w:p>
        </w:tc>
        <w:tc>
          <w:tcPr>
            <w:tcW w:w="25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Term Loan (10.60% cash (Libor + 8.25%;</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9.25%), 3.00% ETP, Due 7/1/22)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4,948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(10.60% cash (Libor + 8.25%;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color w:val="auto"/>
              </w:rPr>
              <w:t>Floor 9.25%), 3.00% ETP, Due 1/1/23)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3,750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3,704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(10.60% cash (Libor + 8.25%;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9.25%), 3.00% ETP, Due 4/1/23)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3,701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7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(10.69% cash (Libor + 8.25%;</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color w:val="auto"/>
              </w:rPr>
              <w:t>Floor 9.25%), 3.00% ETP, Due 1/1/24)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3,750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3,696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3,696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Healthcare information and services</w:t>
            </w:r>
          </w:p>
        </w:tc>
        <w:tc>
          <w:tcPr>
            <w:tcW w:w="1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23,482</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23,482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 Affiliate Debt Investments</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210,228</w:t>
            </w: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209,693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Non-Affiliate Warrant Investments — 6.9% (8)</w:t>
            </w: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1.5%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ACT Biotech Corporation</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130,872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Alpine Immune Sciences, Inc. (5)(12)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4,634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Celsion Corporation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95,465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Espero BioPharma, Inc. (2)(5)(12)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1,506,937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Rocket Pharmaceuticals Corporation (5)(12)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7,051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608,058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 (5)(12)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34,113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Sample6,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661,956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Strongbridge U.S. Inc.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160,714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2,050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vTv Therapeutics Inc. (2)(5)(12)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95,293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Drug Delivery</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2,240,000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AccuVein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1,174,881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Aerin Medical,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1,818,182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Conventus Orthopaedics,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720,000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CSA Medical,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745,562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Lantos Technologies,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1,715,926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MacuLogix,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234,742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Mitralign,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64,190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29,102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ReShape Lifesciences Inc. (5)(12)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121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341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Tryton Medical,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122,362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VERO Biotech LLC (2)(12)</w:t>
            </w:r>
          </w:p>
        </w:tc>
        <w:tc>
          <w:tcPr>
            <w:tcW w:w="2500" w:type="dxa"/>
            <w:vAlign w:val="bottom"/>
          </w:tcPr>
          <w:p>
            <w:pPr>
              <w:spacing w:after="0"/>
              <w:rPr>
                <w:sz w:val="20"/>
                <w:szCs w:val="20"/>
                <w:color w:val="auto"/>
              </w:rPr>
            </w:pPr>
            <w:r>
              <w:rPr>
                <w:rFonts w:ascii="Arial" w:cs="Arial" w:eastAsia="Arial" w:hAnsi="Arial"/>
                <w:sz w:val="14"/>
                <w:szCs w:val="14"/>
                <w:color w:val="auto"/>
              </w:rPr>
              <w:t>Medical Device</w:t>
            </w: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800 Common Stock Warrants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53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Life Science</w:t>
            </w: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2,002</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Non-Affiliate Warrants — Technology — 4.8% (8)</w:t>
            </w: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Audacy Corporation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1,545,575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Intelepeer Holdings,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1,171,549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PebblePost,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598,850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Food52,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102,941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Gwynnie Bee,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268,591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Le Tote,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202,974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Mohawk Group Holdings,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300,000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Rhapsody International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852,273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Kaminario,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Data Storage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9,981,346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IgnitionOne,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262,910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672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Jump Ramp Games,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159,766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Kixeye,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791,251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261,721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Verve Wireless,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112,805 Common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Materials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467,277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Powerhouse Dynamics,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Power Management</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348,838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Avalanche Technology,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Semiconductors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202,602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Luxtera, Inc.(2)(12)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Semiconductors</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3,546,553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Soraa,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Semiconductors</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203,616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Bolt Solutions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202,892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125,458 Common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BSI Platform Holdings, LLC (2)(12)(13)</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137,500 Preferred Stock Warrants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Clarabridge,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53,486 Preferred Stock Warrants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Education Elements, Inc. (2)(12)</w:t>
            </w:r>
          </w:p>
        </w:tc>
        <w:tc>
          <w:tcPr>
            <w:tcW w:w="2500" w:type="dxa"/>
            <w:vAlign w:val="bottom"/>
          </w:tcPr>
          <w:p>
            <w:pPr>
              <w:spacing w:after="0"/>
              <w:rPr>
                <w:sz w:val="20"/>
                <w:szCs w:val="20"/>
                <w:color w:val="auto"/>
              </w:rPr>
            </w:pPr>
            <w:r>
              <w:rPr>
                <w:rFonts w:ascii="Arial" w:cs="Arial" w:eastAsia="Arial" w:hAnsi="Arial"/>
                <w:sz w:val="14"/>
                <w:szCs w:val="14"/>
                <w:color w:val="auto"/>
              </w:rPr>
              <w:t>Software</w:t>
            </w:r>
          </w:p>
        </w:tc>
        <w:tc>
          <w:tcPr>
            <w:tcW w:w="2740" w:type="dxa"/>
            <w:vAlign w:val="bottom"/>
            <w:gridSpan w:val="3"/>
          </w:tcPr>
          <w:p>
            <w:pPr>
              <w:ind w:left="120"/>
              <w:spacing w:after="0"/>
              <w:rPr>
                <w:sz w:val="20"/>
                <w:szCs w:val="20"/>
                <w:color w:val="auto"/>
              </w:rPr>
            </w:pPr>
            <w:r>
              <w:rPr>
                <w:rFonts w:ascii="Arial" w:cs="Arial" w:eastAsia="Arial" w:hAnsi="Arial"/>
                <w:sz w:val="14"/>
                <w:szCs w:val="14"/>
                <w:color w:val="auto"/>
              </w:rPr>
              <w:t>238,121 Preferred Stock Warrants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Sector</w:t>
            </w:r>
          </w:p>
        </w:tc>
        <w:tc>
          <w:tcPr>
            <w:tcW w:w="2640" w:type="dxa"/>
            <w:vAlign w:val="bottom"/>
            <w:gridSpan w:val="2"/>
          </w:tcPr>
          <w:p>
            <w:pPr>
              <w:ind w:left="12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Lotame Solutions, Inc. (2)(12)</w:t>
            </w:r>
          </w:p>
        </w:tc>
        <w:tc>
          <w:tcPr>
            <w:tcW w:w="14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Software</w:t>
            </w:r>
          </w:p>
        </w:tc>
        <w:tc>
          <w:tcPr>
            <w:tcW w:w="1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288,115 Preferred Stock Warrants</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Metricly,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41,569 Common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 Data Corp.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321,428 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ShopKeep.com,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193,962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SIGNiX,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133,560 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Skyword,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301,056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375,000 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Weblinc Corporation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195,122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xAd, Inc. (2)(12)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4,343,350 Preferred Stock Warrants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6,634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Cleantech — 0.1%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Renmatix,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Alternative Energy</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53,022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Tigo Energy, Inc. (2)(12)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Energy Efficiency</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804,604 Preferred Stock Warrants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Cleantech</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Healthcare information and services — 0.5%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LifePrint Group,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Diagnostics</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49,000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ProterixBio,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2,676 Common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Singulex,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Other Healthcare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294,231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Verity Solutions Group,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300,360 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Watermark Medical,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Other Healthcare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27,373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HealthEdge Software,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205,481 Preferred Stock Warrants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Medsphere Systems Corporation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7,097,792 Preferred Stock Warrants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Recondo Technology, Inc. (2)(12)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556,796 Preferred Stock Warrants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Non-Affiliate Other Investments — 5.7% (8)</w:t>
            </w: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Espero Pharmaceuticals,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Royalty Agreement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ZetrOZ, Inc. (12)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Royalty Agreement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Vette Technology, LLC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Data Storage</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Royalty Agreement Due 4/18/2019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Triple Double Holdings, LLC (12)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License Agreement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Non-Affiliate Other Investments</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11,815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Equity — 0.7% (8)</w:t>
            </w: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Insmed Incorporated (5)</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33,208 Common Stock</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Inc.(5)</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5,125 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13,082 Common Stock</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SnagAJob.com, Inc. (12)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82,974 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Verve Wireless, Inc. (2)(12)</w:t>
            </w: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100,598 Preferred Stock</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Formetrix, Inc. (2)(12)</w:t>
            </w: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Materials</w:t>
            </w: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74,286 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TruSignal, Inc. (12)</w:t>
            </w: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32,637 Common Stock</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120" w:type="dxa"/>
            <w:vAlign w:val="bottom"/>
            <w:tcBorders>
              <w:bottom w:val="single" w:sz="8" w:color="CCEEFF"/>
            </w:tcBorders>
            <w:shd w:val="clear" w:color="auto" w:fill="CCEEFF"/>
          </w:tcPr>
          <w:p>
            <w:pPr>
              <w:spacing w:after="0"/>
              <w:rPr>
                <w:sz w:val="13"/>
                <w:szCs w:val="13"/>
                <w:color w:val="auto"/>
              </w:rPr>
            </w:pPr>
          </w:p>
        </w:tc>
        <w:tc>
          <w:tcPr>
            <w:tcW w:w="2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229,772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227,624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Investments — 5.6%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Debt Investments — Technology — 5.0% (8)</w:t>
            </w: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Decisyon, Inc. (12)</w:t>
            </w: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26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(14.658% cash (Libor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12.308%; Floor 12.50%), 8.00% ETP, Due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1,522</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(14.658% cash (Libor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12.308%; Floor 12.50%), 8.00% ETP, Due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12/1/20)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Term Loan (12.02% cash, Due 12/31/19)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8"/>
              </w:rPr>
              <w:t>Term Loan (12.03% cash, Due 12/31/19)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Term Loan (12.24% cash, Due 12/31/19)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8"/>
              </w:rPr>
              <w:t>Term Loan (13.08% cash, Due 12/31/19)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Term Loan (13.10% cash, Due 12/31/19)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StereoVision Imaging, Inc. (12)</w:t>
            </w: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264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9"/>
              </w:rPr>
              <w:t>Term Loan (9.38% Cash (Libor + 7.03%;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Floor 8.50%), 8.50% ETP, Due 9/1/21)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2,798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Non-controlled Affiliate Debt Investments — Technology</w:t>
            </w:r>
          </w:p>
        </w:tc>
        <w:tc>
          <w:tcPr>
            <w:tcW w:w="1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Warrants — Technology — 0.0% (8)</w:t>
            </w:r>
          </w:p>
        </w:tc>
        <w:tc>
          <w:tcPr>
            <w:tcW w:w="1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Decisyon, Inc. (12)</w:t>
            </w:r>
          </w:p>
        </w:tc>
        <w:tc>
          <w:tcPr>
            <w:tcW w:w="2500" w:type="dxa"/>
            <w:vAlign w:val="bottom"/>
          </w:tcPr>
          <w:p>
            <w:pPr>
              <w:spacing w:after="0"/>
              <w:rPr>
                <w:sz w:val="20"/>
                <w:szCs w:val="20"/>
                <w:color w:val="auto"/>
              </w:rPr>
            </w:pPr>
            <w:r>
              <w:rPr>
                <w:rFonts w:ascii="Arial" w:cs="Arial" w:eastAsia="Arial" w:hAnsi="Arial"/>
                <w:sz w:val="14"/>
                <w:szCs w:val="14"/>
                <w:color w:val="auto"/>
              </w:rPr>
              <w:t>Software</w:t>
            </w: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82,967 Common Stock Warrants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Non-controlled Affiliate Warrants — Technology</w:t>
            </w:r>
          </w:p>
        </w:tc>
        <w:tc>
          <w:tcPr>
            <w:tcW w:w="12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2060" w:type="dxa"/>
            <w:vAlign w:val="bottom"/>
          </w:tcPr>
          <w:p>
            <w:pPr>
              <w:ind w:left="1080"/>
              <w:spacing w:after="0"/>
              <w:rPr>
                <w:sz w:val="20"/>
                <w:szCs w:val="20"/>
                <w:color w:val="auto"/>
              </w:rPr>
            </w:pPr>
            <w:r>
              <w:rPr>
                <w:rFonts w:ascii="Arial" w:cs="Arial" w:eastAsia="Arial" w:hAnsi="Arial"/>
                <w:sz w:val="14"/>
                <w:szCs w:val="14"/>
                <w:b w:val="1"/>
                <w:bCs w:val="1"/>
                <w:color w:val="auto"/>
              </w:rPr>
              <w:t>Sector</w:t>
            </w:r>
          </w:p>
        </w:tc>
        <w:tc>
          <w:tcPr>
            <w:tcW w:w="3200" w:type="dxa"/>
            <w:vAlign w:val="bottom"/>
            <w:gridSpan w:val="2"/>
          </w:tcPr>
          <w:p>
            <w:pPr>
              <w:ind w:left="580"/>
              <w:spacing w:after="0"/>
              <w:rPr>
                <w:sz w:val="20"/>
                <w:szCs w:val="20"/>
                <w:color w:val="auto"/>
              </w:rPr>
            </w:pPr>
            <w:r>
              <w:rPr>
                <w:rFonts w:ascii="Arial" w:cs="Arial" w:eastAsia="Arial" w:hAnsi="Arial"/>
                <w:sz w:val="14"/>
                <w:szCs w:val="14"/>
                <w:b w:val="1"/>
                <w:bCs w:val="1"/>
                <w:color w:val="auto"/>
              </w:rPr>
              <w:t>Type of Investment (4)(7)(9)(10)</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Non-controlled Affiliate Equity — Technology — 0.6% (8)</w:t>
            </w:r>
          </w:p>
        </w:tc>
        <w:tc>
          <w:tcPr>
            <w:tcW w:w="3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4"/>
                <w:szCs w:val="14"/>
                <w:color w:val="auto"/>
              </w:rPr>
              <w:t>Decisyon, Inc. (12)</w:t>
            </w:r>
          </w:p>
        </w:tc>
        <w:tc>
          <w:tcPr>
            <w:tcW w:w="2060" w:type="dxa"/>
            <w:vAlign w:val="bottom"/>
          </w:tcPr>
          <w:p>
            <w:pPr>
              <w:ind w:left="20"/>
              <w:spacing w:after="0"/>
              <w:rPr>
                <w:sz w:val="20"/>
                <w:szCs w:val="20"/>
                <w:color w:val="auto"/>
              </w:rPr>
            </w:pPr>
            <w:r>
              <w:rPr>
                <w:rFonts w:ascii="Arial" w:cs="Arial" w:eastAsia="Arial" w:hAnsi="Arial"/>
                <w:sz w:val="14"/>
                <w:szCs w:val="14"/>
                <w:color w:val="auto"/>
              </w:rPr>
              <w:t>Software</w:t>
            </w:r>
          </w:p>
        </w:tc>
        <w:tc>
          <w:tcPr>
            <w:tcW w:w="3200" w:type="dxa"/>
            <w:vAlign w:val="bottom"/>
            <w:gridSpan w:val="2"/>
          </w:tcPr>
          <w:p>
            <w:pPr>
              <w:ind w:left="580"/>
              <w:spacing w:after="0"/>
              <w:rPr>
                <w:sz w:val="20"/>
                <w:szCs w:val="20"/>
                <w:color w:val="auto"/>
              </w:rPr>
            </w:pPr>
            <w:r>
              <w:rPr>
                <w:rFonts w:ascii="Arial" w:cs="Arial" w:eastAsia="Arial" w:hAnsi="Arial"/>
                <w:sz w:val="14"/>
                <w:szCs w:val="14"/>
                <w:color w:val="auto"/>
              </w:rPr>
              <w:t>45,365,936 Common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StereoVision Imaging, Inc. (12)</w:t>
            </w: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32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1,943,572 Common Stock</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Non-controlled Affiliate Equity</w:t>
            </w:r>
          </w:p>
        </w:tc>
        <w:tc>
          <w:tcPr>
            <w:tcW w:w="206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Non-controlled Affiliate Portfolio Investment Assets</w:t>
            </w: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Controlled Affiliate Investments — 9.9% (8)</w:t>
            </w:r>
          </w:p>
        </w:tc>
        <w:tc>
          <w:tcPr>
            <w:tcW w:w="206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Controlled Affiliate Equity — Financial — 9.9% (8)</w:t>
            </w: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Horizon Secured Loan Fund I LLC (12)(14)</w:t>
            </w: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funds</w:t>
            </w: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13,262</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Controlled Affiliate Equity</w:t>
            </w:r>
          </w:p>
        </w:tc>
        <w:tc>
          <w:tcPr>
            <w:tcW w:w="206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13,262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13,243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Controlled Affiliate Portfolio Investment Assets</w:t>
            </w:r>
          </w:p>
        </w:tc>
        <w:tc>
          <w:tcPr>
            <w:tcW w:w="3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13,262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13,243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 — 185.1%(8)</w:t>
            </w:r>
          </w:p>
        </w:tc>
        <w:tc>
          <w:tcPr>
            <w:tcW w:w="3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250,921</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right="2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88"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88"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2018, 5.0% of the Company’s total assets on a cost and fair value basis are in non-qualifying assets.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investment has a PIK feature.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1, 2018, the Company entered into an agreement with Arena to co-invest through HSLFI, a joint venture, which is expected to make investments, either directly or indirectly through subsidiaries, primarily in the form of secured loans to development-stage companies in the technology, life science, healthcare information and services and cleantech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March 26, 2019, the Company completed a follow-on public offering of 2,000,000 shares of its common stock at a public offering price of $12.14 per share, for total net proceeds to the Company of $23.1 million, after deducting underwriting commission and discounts and other offering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Although the Company owns more than 25% of the voting securities of HSLFI, the Company does not have sole control over significant actions of HSLFI for purposes of the 1940 Act or otherwise, and thus does not consolidate its interest.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Investments are recorded at fair value. The Company’s board of directors (the “Board”) determines the fair value of the Company’s portfolio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intent to hold its debt investments for the foreseeable future or until maturity or payoff.</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June 30, 2019, there was one debt investment on non-accrual status with a cost of $3.6 million and a fair value of $1.5 million. As of December 31, 2018, there were no debt investments on non-accrual status. For the three and six months ended June 30, 2019 and 2018, the Company did not recognize any interest income from debt investments on non-accrual status.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June 30, 2019 and 2018 was 5.6% and 6.6%, respectively. The proportion of the Company’s total investment income that resulted from the portion of ETPs not received in cash for the six months ended June 30, 2019 and 2018 was 6.7% and 7.1%, respectively.</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and six months ended June 30, 2019, HSLFI distributed $0.3 million and $0.5 million, respectively, classified as dividend income to the Company. For the period June 1, 2018 (the commencement of HSLFI’s operations) through June 30, 2018, there were no distributions from HSLFI.</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Debt issuance costs are fees and other direct incremental costs incurred by the Company in obtaining debt financing from its lenders and issuing debt securities. The unamortized balance of debt issuance costs as of June 30, 2019 and December 31, 2018 was $1.9 million and $2.2 million, respectively. These amounts are amortized and included in interest expense in the consolidated statements of operations over the life of the borrowings. The accumulated amortization balances as of June 30, 2019 and December 31, 2018 were $2.7 million and $2.4 million, respectively. The amortization expense for the three months ended June 30, 2019 and 2018 was $0.2 million and $0.1 million, respectively. The amortization expense for the six months ended June 30, 2019 and 2018 was $0.3 million.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2018, the Company reclassified $0.03 million to paid-in capital from distributions in excess of net investment income, which related to excise taxes payable.</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and six months ended June 30, 2019 and 2018, there was no U.S. federal excise tax recorded.</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June 30, 2019 and December 31, 2018. The Company’s income tax returns for the 2017, 2016 and 2015 tax years remain subject to examination by U.S. federal and state tax authorities.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issue new shares or purchase shares in the open market to fulfill its obligations under the plan.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April 26, 2019,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2020 or the repurchase of $5.0 million of the Company’s common stock. During the three and six months ended June 30, 2019 and 2018, the Company did not make any repurchases of its common stock. From the inception of the stock repurchase program through June 30, 2019, the Company repurchased 167,465 shares of its common stock at an average price of $11.22 on the open market at a total cost of $1.9 million.</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the Company adopted ASU 2014-09 effective January 1, 2018, and such adoption did not have an impact on the Company’s consolidated financial statements and disclosures.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(“ASU 2018-13”), which modifies disclosure requirements for the fair value measurement of Level 3 securities of public companies. This guidance is effective for annual and interim periods beginning on or after December 15, 2019 and early adoption is permitted. The Company elected to early adopt ASU 2018-13 for the year ended December 31, 2018. As a result, no significant changes were made to the Company’s disclosures in the notes to the consolidated financial statements.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Securities and Exchange Commission Disclosure Update and Simplification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2018, the Securities and Exchange Commission (the “SEC”) adopted the final rule under SEC Release No. 33-10532, Disclosure Update and Simplification (the “SEC Release”), amending certain disclosure requirements that were redundant, duplicative, overlapping, outdated or superseded. The SEC Release is effective for all filings on or after November 5, 2018. As required, the Company adopted the SEC Release for the year ended December 31, 2018. The SEC Release required changes to the presentation of the Company's Consolidated Statements of Assets and Liabilities and the Consolidated Statements of Changes in Net Assets. Prior to adoption, the Company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the Company presents distributable earnings in total on the Consolidated Statements of Assets and Liabilities and the Consolidated Statements of Changes in Net Assets. The changes in presentation have been retrospectively applied to the Consolidated Statements of Changes in Net Assets for the six months ended June 30, 2018.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a reconciliation of previously disclosed components of distributable earnings on the Consolidated Statement of Changes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Assets as of June 30, 2018 to currently disclosed total distributable earnings on the Consolidated Statement of Assets and Liabilities as of June 30, 2018:</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net of excise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depreciation on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loss on investments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increase in net assets resulting from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Net</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Undistributed</w:t>
            </w:r>
          </w:p>
        </w:tc>
        <w:tc>
          <w:tcPr>
            <w:tcW w:w="1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(Distributions in</w:t>
            </w: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Net 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Excess of) Net</w:t>
            </w: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Loss 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Distributable</w:t>
            </w:r>
          </w:p>
        </w:tc>
      </w:tr>
      <w:tr>
        <w:trPr>
          <w:trHeight w:val="234"/>
        </w:trPr>
        <w:tc>
          <w:tcPr>
            <w:tcW w:w="20" w:type="dxa"/>
            <w:vAlign w:val="bottom"/>
          </w:tcPr>
          <w:p>
            <w:pPr>
              <w:spacing w:after="0"/>
              <w:rPr>
                <w:sz w:val="20"/>
                <w:szCs w:val="20"/>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Investment Income</w:t>
            </w: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Earnings</w:t>
            </w: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6"/>
          </w:tcPr>
          <w:p>
            <w:pPr>
              <w:jc w:val="right"/>
              <w:ind w:right="104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(665)</w:t>
            </w: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-599440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-325120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2">
            <w:col w:w="4740" w:space="720"/>
            <w:col w:w="5960"/>
          </w:cols>
          <w:pgMar w:left="240" w:top="904" w:right="239" w:bottom="1440" w:gutter="0" w:footer="0" w:header="0"/>
          <w:type w:val="continuous"/>
        </w:sectPr>
      </w:pPr>
    </w:p>
    <w:p>
      <w:pPr>
        <w:spacing w:after="0" w:line="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a special meeting of the stockholders on October 30, 2018, the stockholders approved a new Investment Management Agreement which became effective on March 7, 2019 upon a change of control of the Advisor. The new Investment Management Agreement replaced the previously effective Amended and Restated Investment Management Agreement dated as of October 28, 2010 and amended effective July 1, 2014.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Through October 30, 2018, the base management fee was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applied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base management fee payable at June 30, 2019 and December 31, 2018 was $0.5 million and $0.4 million, respectively. The base management fee expense was $1.4 million and $1.1 million for the three months ended June 30, 2019 and 2018, respectively. The base management fee expense was $2.7 million and $2.2 million for the six months ended June 30, 2019 and 2018,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3" w:name="page24"/>
    <w:bookmarkEnd w:id="23"/>
    <w:p>
      <w:pPr>
        <w:jc w:val="center"/>
        <w:ind w:right="320"/>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7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increased by one quarter in length at the end of each calendar quarter until June 30, 2017, after which time,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6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and six months ended June 30, 2019, the Advisor waived performance based incentive fees of $0.7 million and $1.8 million, respectively, which the Advisor would have otherwise been paid by the Company.</w:t>
      </w:r>
    </w:p>
    <w:p>
      <w:pPr>
        <w:spacing w:after="0" w:line="17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three and six months ended June 30, 2018, the Advisor waived performance based incentive fees of $0.2 million which the Advisor would have otherwise been paid by the Company.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performance based incentive fee expense was $1.3 million and $0.8 million for the three months ended June 30, 2019 and 2018, respectively. The net performance based incentive fee expense was $2.1 million and $1.4 million for the six months ended June 30, 2019 and 2018, respectively. The incentive fee on Pre-Incentive Fee Net Investment Income was subject to the Incentive Fee Cap and Deferral Mechanism for the six months ended June 30, 2018, which resulted in $0.2 million of reduced expense and additional net investment income. The performance based incentive fee payable as of June 30, 2019 and December 31, 2018 was $1.3 million and $1.0 million, respectively. The entire incentive fee payable as of June 30, 2019 and December 31, 2018 represented part one of the incentive fee.</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for the three months ended June 30, 2019 and 2018. The administrative fee expense was $0.4 million for the six months ended June 30, 2019 and 2018.</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investments as of June 30, 2019 and December 31, 2018:</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4"/>
          </w:tcPr>
          <w:p>
            <w:pPr>
              <w:ind w:left="540"/>
              <w:spacing w:after="0"/>
              <w:rPr>
                <w:sz w:val="20"/>
                <w:szCs w:val="20"/>
                <w:color w:val="auto"/>
              </w:rPr>
            </w:pPr>
            <w:r>
              <w:rPr>
                <w:rFonts w:ascii="Arial" w:cs="Arial" w:eastAsia="Arial" w:hAnsi="Arial"/>
                <w:sz w:val="18"/>
                <w:szCs w:val="18"/>
                <w:b w:val="1"/>
                <w:bCs w:val="1"/>
                <w:color w:val="auto"/>
                <w:w w:val="97"/>
              </w:rPr>
              <w:t>June 30, 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8"/>
              </w:rPr>
              <w:t>December 31, 2018</w:t>
            </w: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32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9"/>
                <w:szCs w:val="19"/>
                <w:color w:val="auto"/>
              </w:rPr>
            </w:pPr>
          </w:p>
        </w:tc>
      </w:t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4"/>
          </w:tcPr>
          <w:p>
            <w:pPr>
              <w:ind w:left="240"/>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Debt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244,525</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242,287</w:t>
            </w:r>
          </w:p>
        </w:tc>
        <w:tc>
          <w:tcPr>
            <w:tcW w:w="120" w:type="dxa"/>
            <w:vAlign w:val="bottom"/>
          </w:tcPr>
          <w:p>
            <w:pPr>
              <w:spacing w:after="0"/>
              <w:rPr>
                <w:sz w:val="18"/>
                <w:szCs w:val="18"/>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217,093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216,401</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9,324</w:t>
            </w: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7,640</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1,833</w:t>
            </w: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Equity interest in HSLFI</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13,493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13,262</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13,243</w:t>
            </w: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Additionally, as of June 30, 2019 and December 31, 2018, the Company had no commitments to fund undrawn revolvers to its portfolio companies.</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Company’s investments by industry sector as of June 30, 2019 and December 31, 2018:</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June 30, 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8"/>
              </w:rPr>
              <w:t>December 31, 2018</w:t>
            </w: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9"/>
                <w:szCs w:val="19"/>
                <w:color w:val="auto"/>
              </w:rPr>
            </w:pPr>
          </w:p>
        </w:tc>
      </w:t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39,824</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25,770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25,426</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45,551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46,329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47,504</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47,869</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10,754</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22,061</w:t>
            </w: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19,916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19,940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14,132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10,036</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38,132</w:t>
            </w: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8,679</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9,013</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Management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Semiconductors</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3,807</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4,636</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40,912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Cleantech</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Alternative Energy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Energy Efficiency</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Diagnostics</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30,476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30,963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23,720</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23,977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HSLFI</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13,493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13,262</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13,243</w:t>
            </w: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25" w:lineRule="exact"/>
        <w:rPr>
          <w:sz w:val="20"/>
          <w:szCs w:val="20"/>
          <w:color w:val="auto"/>
        </w:rPr>
      </w:pPr>
    </w:p>
    <w:p>
      <w:pPr>
        <w:jc w:val="both"/>
        <w:ind w:firstLine="492"/>
        <w:spacing w:after="0" w:line="288" w:lineRule="auto"/>
        <w:rPr>
          <w:sz w:val="20"/>
          <w:szCs w:val="20"/>
          <w:color w:val="auto"/>
        </w:rPr>
      </w:pPr>
      <w:r>
        <w:rPr>
          <w:rFonts w:ascii="Arial" w:cs="Arial" w:eastAsia="Arial" w:hAnsi="Arial"/>
          <w:sz w:val="16"/>
          <w:szCs w:val="16"/>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cleantech industries. HSLFI was formed as a Delaware limited liability company and is not consolidated by either the Company or Arena for financial reporting purposes. Investments held by HSLFI are measured at fair value using the same valuation methodology as described in Note 6. As of June 30, 2019 and December 31, 2018, HSLFI had total assets of $41.0 million and $26.4 million, respectively. HSLFI’s portfolio consisted of debt investments in six and four portfolio companies as of June 30, 2019 and December 31, 2018, respectively. As of June 30, 2019, the largest investment in a single portfolio company in the HSLFI’s portfolio in aggregate principal amount was $11.3 million, and the five largest investments in portfolio companies in the HSLFI totaled $35.5 million. As of December 31, 2018, the largest investment in a single portfolio company in the HSLFI’s portfolio in aggregate principal amount was $8.3 million, and the four largest investments in portfolio companies in the HSLFI totaled $25.0 million. As of June 30, 2019 and December 31, 2018, HSLFI had no investments on non-accrual status. HSLFI invests in portfolio companies in the same industries in which the Company may directly invest.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58"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Company invests cash or securities in portfolio companies in HSLFI in exchange for limited liability company equity interests in HSLFI. As of June 30, 2019 and December 31, 2018, the Company and Arena each owned 50.0% of the equity interests of HSLFI. The Company had an original commitment to fund $25.0 million of equity interests in HSLFI. As of June 30, 2019 and December 31, 2018, $11.7 million was unfunded. The Company’s investment in HSLFI consisted of an equity contribution of $13.3 million as of June 30, 2019 and December 31, 2018. During the three and six months ended June 30, 2019, HSLFI distributed $0.6 million and $1.1 million, respectively. For the period June 1, 2018 (the commencement of HSLFI’s operations) through June 30, 2018, there were no distributions from HSLFI.</w:t>
      </w:r>
    </w:p>
    <w:p>
      <w:pPr>
        <w:spacing w:after="0" w:line="193" w:lineRule="exact"/>
        <w:rPr>
          <w:sz w:val="20"/>
          <w:szCs w:val="20"/>
          <w:color w:val="auto"/>
        </w:rPr>
      </w:pPr>
    </w:p>
    <w:p>
      <w:pPr>
        <w:jc w:val="both"/>
        <w:ind w:firstLine="492"/>
        <w:spacing w:after="0" w:line="297" w:lineRule="auto"/>
        <w:rPr>
          <w:sz w:val="20"/>
          <w:szCs w:val="20"/>
          <w:color w:val="auto"/>
        </w:rPr>
      </w:pPr>
      <w:r>
        <w:rPr>
          <w:rFonts w:ascii="Arial" w:cs="Arial" w:eastAsia="Arial" w:hAnsi="Arial"/>
          <w:sz w:val="16"/>
          <w:szCs w:val="16"/>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Funding I, LLC (“HFI”) was formed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(the “NYL Facility”)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$14.1 million in advances made by the Noteholders as of June 30, 2019 at an interest rate of 5.13%. There were no advances made by the Noteholders as of December 31, 2018.</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HSLFI’s investments as of June 30,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rPr>
              <w:t>Cost of</w:t>
            </w:r>
          </w:p>
        </w:tc>
        <w:tc>
          <w:tcPr>
            <w:tcW w:w="280" w:type="dxa"/>
            <w:vAlign w:val="bottom"/>
          </w:tcPr>
          <w:p>
            <w:pPr>
              <w:spacing w:after="0"/>
              <w:rPr>
                <w:sz w:val="14"/>
                <w:szCs w:val="14"/>
                <w:color w:val="auto"/>
              </w:rPr>
            </w:pP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w:t>
            </w:r>
          </w:p>
        </w:tc>
      </w:tr>
      <w:tr>
        <w:trPr>
          <w:trHeight w:val="202"/>
        </w:trPr>
        <w:tc>
          <w:tcPr>
            <w:tcW w:w="2440" w:type="dxa"/>
            <w:vAlign w:val="bottom"/>
            <w:tcBorders>
              <w:bottom w:val="single" w:sz="8" w:color="auto"/>
            </w:tcBorders>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22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Sector</w:t>
            </w:r>
          </w:p>
        </w:tc>
        <w:tc>
          <w:tcPr>
            <w:tcW w:w="3360" w:type="dxa"/>
            <w:vAlign w:val="bottom"/>
            <w:tcBorders>
              <w:bottom w:val="single" w:sz="8" w:color="auto"/>
            </w:tcBorders>
          </w:tcPr>
          <w:p>
            <w:pPr>
              <w:ind w:left="126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gridSpan w:val="2"/>
          </w:tcPr>
          <w:p>
            <w:pPr>
              <w:ind w:left="120"/>
              <w:spacing w:after="0" w:line="202" w:lineRule="exact"/>
              <w:rPr>
                <w:sz w:val="20"/>
                <w:szCs w:val="20"/>
                <w:color w:val="auto"/>
              </w:rPr>
            </w:pPr>
            <w:r>
              <w:rPr>
                <w:rFonts w:ascii="Arial" w:cs="Arial" w:eastAsia="Arial" w:hAnsi="Arial"/>
                <w:sz w:val="14"/>
                <w:szCs w:val="14"/>
                <w:b w:val="1"/>
                <w:bCs w:val="1"/>
                <w:color w:val="auto"/>
                <w:w w:val="97"/>
              </w:rPr>
              <w:t>Investments</w:t>
            </w:r>
            <w:r>
              <w:rPr>
                <w:rFonts w:ascii="Arial" w:cs="Arial" w:eastAsia="Arial" w:hAnsi="Arial"/>
                <w:sz w:val="23"/>
                <w:szCs w:val="23"/>
                <w:b w:val="1"/>
                <w:bCs w:val="1"/>
                <w:color w:val="auto"/>
                <w:w w:val="97"/>
                <w:vertAlign w:val="superscript"/>
              </w:rPr>
              <w:t>(5)</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Value</w:t>
            </w:r>
          </w:p>
        </w:tc>
      </w:tr>
      <w:tr>
        <w:trPr>
          <w:trHeight w:val="142"/>
        </w:trPr>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3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 Investments — Life science</w:t>
            </w:r>
          </w:p>
        </w:tc>
        <w:tc>
          <w:tcPr>
            <w:tcW w:w="22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Celsion Corporation (6)(7)(8)</w:t>
            </w:r>
          </w:p>
        </w:tc>
        <w:tc>
          <w:tcPr>
            <w:tcW w:w="2240" w:type="dxa"/>
            <w:vAlign w:val="bottom"/>
          </w:tcPr>
          <w:p>
            <w:pPr>
              <w:ind w:left="440"/>
              <w:spacing w:after="0" w:line="130" w:lineRule="exact"/>
              <w:rPr>
                <w:sz w:val="20"/>
                <w:szCs w:val="20"/>
                <w:color w:val="auto"/>
              </w:rPr>
            </w:pPr>
            <w:r>
              <w:rPr>
                <w:rFonts w:ascii="Arial" w:cs="Arial" w:eastAsia="Arial" w:hAnsi="Arial"/>
                <w:sz w:val="14"/>
                <w:szCs w:val="14"/>
                <w:color w:val="auto"/>
              </w:rPr>
              <w:t>Biotechnology</w:t>
            </w: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(10.07% cash (Libor + 7.63%;</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360" w:type="dxa"/>
            <w:vAlign w:val="bottom"/>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2,500</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2,457</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2,457</w:t>
            </w:r>
          </w:p>
        </w:tc>
      </w:tr>
      <w:tr>
        <w:trPr>
          <w:trHeight w:val="130"/>
        </w:trPr>
        <w:tc>
          <w:tcPr>
            <w:tcW w:w="24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(10.07% cash (Libor + 7.63%;</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2,457</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2,457</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276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920" w:type="dxa"/>
            <w:vAlign w:val="bottom"/>
          </w:tcPr>
          <w:p>
            <w:pPr>
              <w:ind w:left="1180"/>
              <w:spacing w:after="0"/>
              <w:rPr>
                <w:sz w:val="20"/>
                <w:szCs w:val="20"/>
                <w:color w:val="auto"/>
              </w:rPr>
            </w:pPr>
            <w:r>
              <w:rPr>
                <w:rFonts w:ascii="Arial" w:cs="Arial" w:eastAsia="Arial" w:hAnsi="Arial"/>
                <w:sz w:val="14"/>
                <w:szCs w:val="14"/>
                <w:b w:val="1"/>
                <w:bCs w:val="1"/>
                <w:color w:val="auto"/>
              </w:rPr>
              <w:t>Sector</w:t>
            </w:r>
          </w:p>
        </w:tc>
        <w:tc>
          <w:tcPr>
            <w:tcW w:w="3440" w:type="dxa"/>
            <w:vAlign w:val="bottom"/>
          </w:tcPr>
          <w:p>
            <w:pPr>
              <w:ind w:left="126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Encore Dermatology, Inc. (6)(7)</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44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rPr>
              <w:t>Term Loan (10.00% cash (Libor + 7.50%;</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10.00%), 3.00% ETP, Due 4/1/23)</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4,918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4,918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Mustang Bio, Inc. (6)(7)(8)</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440" w:type="dxa"/>
            <w:vAlign w:val="bottom"/>
          </w:tcPr>
          <w:p>
            <w:pPr>
              <w:ind w:left="820"/>
              <w:spacing w:after="0" w:line="130" w:lineRule="exact"/>
              <w:rPr>
                <w:sz w:val="20"/>
                <w:szCs w:val="20"/>
                <w:color w:val="auto"/>
              </w:rPr>
            </w:pPr>
            <w:r>
              <w:rPr>
                <w:rFonts w:ascii="Arial" w:cs="Arial" w:eastAsia="Arial" w:hAnsi="Arial"/>
                <w:sz w:val="14"/>
                <w:szCs w:val="14"/>
                <w:color w:val="auto"/>
              </w:rPr>
              <w:t>Term Loan (9.00% cash (Libor + 6.50%;</w:t>
            </w: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40" w:type="dxa"/>
            <w:vAlign w:val="bottom"/>
          </w:tcPr>
          <w:p>
            <w:pPr>
              <w:ind w:left="820"/>
              <w:spacing w:after="0"/>
              <w:rPr>
                <w:sz w:val="20"/>
                <w:szCs w:val="20"/>
                <w:color w:val="auto"/>
              </w:rPr>
            </w:pPr>
            <w:r>
              <w:rPr>
                <w:rFonts w:ascii="Arial" w:cs="Arial" w:eastAsia="Arial" w:hAnsi="Arial"/>
                <w:sz w:val="14"/>
                <w:szCs w:val="14"/>
                <w:color w:val="auto"/>
              </w:rPr>
              <w:t>Floor 9.00%), 5.00% ETP, Due 10/1/22)</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4,910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4,910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Life science</w:t>
            </w:r>
          </w:p>
        </w:tc>
        <w:tc>
          <w:tcPr>
            <w:tcW w:w="1920" w:type="dxa"/>
            <w:vAlign w:val="bottom"/>
            <w:tcBorders>
              <w:top w:val="single" w:sz="8" w:color="CCEEFF"/>
            </w:tcBorders>
            <w:shd w:val="clear" w:color="auto" w:fill="CCEEFF"/>
          </w:tcPr>
          <w:p>
            <w:pPr>
              <w:spacing w:after="0"/>
              <w:rPr>
                <w:sz w:val="12"/>
                <w:szCs w:val="12"/>
                <w:color w:val="auto"/>
              </w:rPr>
            </w:pPr>
          </w:p>
        </w:tc>
        <w:tc>
          <w:tcPr>
            <w:tcW w:w="34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14,742</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14,742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line="142" w:lineRule="exact"/>
              <w:rPr>
                <w:sz w:val="20"/>
                <w:szCs w:val="20"/>
                <w:color w:val="auto"/>
              </w:rPr>
            </w:pPr>
            <w:r>
              <w:rPr>
                <w:rFonts w:ascii="Arial" w:cs="Arial" w:eastAsia="Arial" w:hAnsi="Arial"/>
                <w:sz w:val="14"/>
                <w:szCs w:val="14"/>
                <w:b w:val="1"/>
                <w:bCs w:val="1"/>
                <w:color w:val="auto"/>
              </w:rPr>
              <w:t>Debt Investments — Technology</w:t>
            </w:r>
          </w:p>
        </w:tc>
        <w:tc>
          <w:tcPr>
            <w:tcW w:w="1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Intelepeer Holdings, Inc. (6)(7)</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44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rPr>
              <w:t>Term Loan (12.39% cash (Libor + 9.95%;</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11.25%), 3.30% ETP, Due 1/1/22)</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3,936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40" w:type="dxa"/>
            <w:vAlign w:val="bottom"/>
          </w:tcPr>
          <w:p>
            <w:pPr>
              <w:ind w:left="820"/>
              <w:spacing w:after="0" w:line="130" w:lineRule="exact"/>
              <w:rPr>
                <w:sz w:val="20"/>
                <w:szCs w:val="20"/>
                <w:color w:val="auto"/>
              </w:rPr>
            </w:pPr>
            <w:r>
              <w:rPr>
                <w:rFonts w:ascii="Arial" w:cs="Arial" w:eastAsia="Arial" w:hAnsi="Arial"/>
                <w:sz w:val="14"/>
                <w:szCs w:val="14"/>
                <w:color w:val="auto"/>
              </w:rPr>
              <w:t>Term Loan (12.39% cash (Libor + 9.95%;</w:t>
            </w: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40" w:type="dxa"/>
            <w:vAlign w:val="bottom"/>
          </w:tcPr>
          <w:p>
            <w:pPr>
              <w:ind w:left="820"/>
              <w:spacing w:after="0"/>
              <w:rPr>
                <w:sz w:val="20"/>
                <w:szCs w:val="20"/>
                <w:color w:val="auto"/>
              </w:rPr>
            </w:pPr>
            <w:r>
              <w:rPr>
                <w:rFonts w:ascii="Arial" w:cs="Arial" w:eastAsia="Arial" w:hAnsi="Arial"/>
                <w:sz w:val="14"/>
                <w:szCs w:val="14"/>
                <w:color w:val="auto"/>
              </w:rPr>
              <w:t>Floor 11.25%), 3.30% ETP, Due 1/1/22)</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3,936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3,936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44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rPr>
              <w:t>Term Loan (12.45% cash (Libor + 9.95%;</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12.45%), 2.50% ETP, Due 10/1/22)</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1,227</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New Signature US, Inc. (6)(7)(9)</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tcPr>
          <w:p>
            <w:pPr>
              <w:ind w:left="820"/>
              <w:spacing w:after="0" w:line="130" w:lineRule="exact"/>
              <w:rPr>
                <w:sz w:val="20"/>
                <w:szCs w:val="20"/>
                <w:color w:val="auto"/>
              </w:rPr>
            </w:pPr>
            <w:r>
              <w:rPr>
                <w:rFonts w:ascii="Arial" w:cs="Arial" w:eastAsia="Arial" w:hAnsi="Arial"/>
                <w:sz w:val="14"/>
                <w:szCs w:val="14"/>
                <w:color w:val="auto"/>
              </w:rPr>
              <w:t>Term Loan (10.94% cash (Libor + 8.50%;</w:t>
            </w: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40" w:type="dxa"/>
            <w:vAlign w:val="bottom"/>
          </w:tcPr>
          <w:p>
            <w:pPr>
              <w:ind w:left="820"/>
              <w:spacing w:after="0"/>
              <w:rPr>
                <w:sz w:val="20"/>
                <w:szCs w:val="20"/>
                <w:color w:val="auto"/>
              </w:rPr>
            </w:pPr>
            <w:r>
              <w:rPr>
                <w:rFonts w:ascii="Arial" w:cs="Arial" w:eastAsia="Arial" w:hAnsi="Arial"/>
                <w:sz w:val="14"/>
                <w:szCs w:val="14"/>
                <w:color w:val="auto"/>
              </w:rPr>
              <w:t>Floor 10.50%), 3.50% ETP, Due 7/1/22)</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8,250</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8,145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8,145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44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rPr>
              <w:t>Term Loan (10.94% cash (Libor + 8.50%;</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34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10.50%), 3.50% ETP, Due 2/1/23)</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2,955</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Debt Investments — Technology</w:t>
            </w:r>
          </w:p>
        </w:tc>
        <w:tc>
          <w:tcPr>
            <w:tcW w:w="19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Healthcare information and services</w:t>
            </w:r>
          </w:p>
        </w:tc>
        <w:tc>
          <w:tcPr>
            <w:tcW w:w="3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HealthEdge Software, Inc. (6)(7)</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tcPr>
          <w:p>
            <w:pPr>
              <w:ind w:left="820"/>
              <w:spacing w:after="0" w:line="130" w:lineRule="exact"/>
              <w:rPr>
                <w:sz w:val="20"/>
                <w:szCs w:val="20"/>
                <w:color w:val="auto"/>
              </w:rPr>
            </w:pPr>
            <w:r>
              <w:rPr>
                <w:rFonts w:ascii="Arial" w:cs="Arial" w:eastAsia="Arial" w:hAnsi="Arial"/>
                <w:sz w:val="14"/>
                <w:szCs w:val="14"/>
                <w:color w:val="auto"/>
              </w:rPr>
              <w:t>Term Loan (10.69% cash (Libor + 8.25%;</w:t>
            </w: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40" w:type="dxa"/>
            <w:vAlign w:val="bottom"/>
          </w:tcPr>
          <w:p>
            <w:pPr>
              <w:ind w:left="820"/>
              <w:spacing w:after="0"/>
              <w:rPr>
                <w:sz w:val="20"/>
                <w:szCs w:val="20"/>
                <w:color w:val="auto"/>
              </w:rPr>
            </w:pPr>
            <w:r>
              <w:rPr>
                <w:rFonts w:ascii="Arial" w:cs="Arial" w:eastAsia="Arial" w:hAnsi="Arial"/>
                <w:sz w:val="14"/>
                <w:szCs w:val="14"/>
                <w:color w:val="auto"/>
              </w:rPr>
              <w:t>Floor 9.25%), 3.00% ETP, Due 10/1/23)</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3,750</w:t>
            </w: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3,704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3,704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Healthcare information and services</w:t>
            </w:r>
          </w:p>
        </w:tc>
        <w:tc>
          <w:tcPr>
            <w:tcW w:w="34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3,704</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9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38,624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Warrant Investments — Life science</w:t>
            </w:r>
          </w:p>
        </w:tc>
        <w:tc>
          <w:tcPr>
            <w:tcW w:w="1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(6)(7)(8)</w:t>
            </w:r>
          </w:p>
        </w:tc>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Biotechnology</w:t>
            </w:r>
          </w:p>
        </w:tc>
        <w:tc>
          <w:tcPr>
            <w:tcW w:w="344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95,057 Common Stock Warrants</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Encore Dermatology, Inc. (6)(7)</w:t>
            </w:r>
          </w:p>
        </w:tc>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Biotechnology</w:t>
            </w:r>
          </w:p>
        </w:tc>
        <w:tc>
          <w:tcPr>
            <w:tcW w:w="3440" w:type="dxa"/>
            <w:vAlign w:val="bottom"/>
          </w:tcPr>
          <w:p>
            <w:pPr>
              <w:ind w:left="820"/>
              <w:spacing w:after="0" w:line="149" w:lineRule="exact"/>
              <w:rPr>
                <w:sz w:val="20"/>
                <w:szCs w:val="20"/>
                <w:color w:val="auto"/>
              </w:rPr>
            </w:pPr>
            <w:r>
              <w:rPr>
                <w:rFonts w:ascii="Arial" w:cs="Arial" w:eastAsia="Arial" w:hAnsi="Arial"/>
                <w:sz w:val="14"/>
                <w:szCs w:val="14"/>
                <w:color w:val="auto"/>
              </w:rPr>
              <w:t>503,626 Preferred Stock Warrants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Mustang Bio, Inc. (6)(7)(8)</w:t>
            </w: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Biotechnology</w:t>
            </w:r>
          </w:p>
        </w:tc>
        <w:tc>
          <w:tcPr>
            <w:tcW w:w="34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72,046 Common Stock Warrants</w:t>
            </w: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Warrant Investments — Life science</w:t>
            </w:r>
          </w:p>
        </w:tc>
        <w:tc>
          <w:tcPr>
            <w:tcW w:w="19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 Investments — Technology</w:t>
            </w:r>
          </w:p>
        </w:tc>
        <w:tc>
          <w:tcPr>
            <w:tcW w:w="19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Intelepeer Holdings, Inc. (6)(7)</w:t>
            </w:r>
          </w:p>
        </w:tc>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Communications</w:t>
            </w:r>
          </w:p>
        </w:tc>
        <w:tc>
          <w:tcPr>
            <w:tcW w:w="3440" w:type="dxa"/>
            <w:vAlign w:val="bottom"/>
          </w:tcPr>
          <w:p>
            <w:pPr>
              <w:ind w:left="820"/>
              <w:spacing w:after="0" w:line="149" w:lineRule="exact"/>
              <w:rPr>
                <w:sz w:val="20"/>
                <w:szCs w:val="20"/>
                <w:color w:val="auto"/>
              </w:rPr>
            </w:pPr>
            <w:r>
              <w:rPr>
                <w:rFonts w:ascii="Arial" w:cs="Arial" w:eastAsia="Arial" w:hAnsi="Arial"/>
                <w:sz w:val="14"/>
                <w:szCs w:val="14"/>
                <w:color w:val="auto"/>
              </w:rPr>
              <w:t>1,886,934 Preferred Stock Warrants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BSI Platform Holdings, LLC (6)(7)(9)</w:t>
            </w: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34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562,500 Preferred Stock Warrants</w:t>
            </w: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Warrant Investments — Technology</w:t>
            </w:r>
          </w:p>
        </w:tc>
        <w:tc>
          <w:tcPr>
            <w:tcW w:w="19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 Investments — Healthcare information and services</w:t>
            </w:r>
          </w:p>
        </w:tc>
        <w:tc>
          <w:tcPr>
            <w:tcW w:w="3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HealthEdge Software, Inc. (6)(7)</w:t>
            </w:r>
          </w:p>
        </w:tc>
        <w:tc>
          <w:tcPr>
            <w:tcW w:w="1920" w:type="dxa"/>
            <w:vAlign w:val="bottom"/>
          </w:tcPr>
          <w:p>
            <w:pPr>
              <w:ind w:left="120"/>
              <w:spacing w:after="0"/>
              <w:rPr>
                <w:sz w:val="20"/>
                <w:szCs w:val="20"/>
                <w:color w:val="auto"/>
              </w:rPr>
            </w:pPr>
            <w:r>
              <w:rPr>
                <w:rFonts w:ascii="Arial" w:cs="Arial" w:eastAsia="Arial" w:hAnsi="Arial"/>
                <w:sz w:val="14"/>
                <w:szCs w:val="14"/>
                <w:color w:val="auto"/>
              </w:rPr>
              <w:t>Software</w:t>
            </w:r>
          </w:p>
        </w:tc>
        <w:tc>
          <w:tcPr>
            <w:tcW w:w="3440" w:type="dxa"/>
            <w:vAlign w:val="bottom"/>
          </w:tcPr>
          <w:p>
            <w:pPr>
              <w:ind w:left="820"/>
              <w:spacing w:after="0"/>
              <w:rPr>
                <w:sz w:val="20"/>
                <w:szCs w:val="20"/>
                <w:color w:val="auto"/>
              </w:rPr>
            </w:pPr>
            <w:r>
              <w:rPr>
                <w:rFonts w:ascii="Arial" w:cs="Arial" w:eastAsia="Arial" w:hAnsi="Arial"/>
                <w:sz w:val="14"/>
                <w:szCs w:val="14"/>
                <w:color w:val="auto"/>
              </w:rPr>
              <w:t>47,418 Preferred Stock Warrants</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Warrant Investments — Healthcare information and services</w:t>
            </w:r>
          </w:p>
        </w:tc>
        <w:tc>
          <w:tcPr>
            <w:tcW w:w="34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Warrant Investments</w:t>
            </w:r>
          </w:p>
        </w:tc>
        <w:tc>
          <w:tcPr>
            <w:tcW w:w="19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Total Portfolio Investment Assets</w:t>
            </w:r>
          </w:p>
        </w:tc>
        <w:tc>
          <w:tcPr>
            <w:tcW w:w="19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38,939</w:t>
            </w:r>
          </w:p>
        </w:tc>
        <w:tc>
          <w:tcPr>
            <w:tcW w:w="180" w:type="dxa"/>
            <w:vAlign w:val="bottom"/>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38,896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Borders>
              <w:top w:val="single" w:sz="8" w:color="CCEEFF"/>
            </w:tcBorders>
            <w:shd w:val="clear" w:color="auto" w:fill="CCEEFF"/>
          </w:tcPr>
          <w:p>
            <w:pPr>
              <w:spacing w:after="0"/>
              <w:rPr>
                <w:sz w:val="11"/>
                <w:szCs w:val="11"/>
                <w:color w:val="auto"/>
              </w:rPr>
            </w:pPr>
          </w:p>
        </w:tc>
        <w:tc>
          <w:tcPr>
            <w:tcW w:w="1920" w:type="dxa"/>
            <w:vAlign w:val="bottom"/>
            <w:tcBorders>
              <w:top w:val="single" w:sz="8" w:color="CCEEFF"/>
            </w:tcBorders>
            <w:shd w:val="clear" w:color="auto" w:fill="CCEEFF"/>
          </w:tcPr>
          <w:p>
            <w:pPr>
              <w:spacing w:after="0"/>
              <w:rPr>
                <w:sz w:val="11"/>
                <w:szCs w:val="11"/>
                <w:color w:val="auto"/>
              </w:rPr>
            </w:pPr>
          </w:p>
        </w:tc>
        <w:tc>
          <w:tcPr>
            <w:tcW w:w="34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Short Term Investments — Money Market Funds</w:t>
            </w: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w w:val="99"/>
              </w:rPr>
              <w:t>US Bank Money Market Deposit Account (6)</w:t>
            </w:r>
          </w:p>
        </w:tc>
        <w:tc>
          <w:tcPr>
            <w:tcW w:w="19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302</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b w:val="1"/>
                <w:bCs w:val="1"/>
                <w:color w:val="auto"/>
              </w:rPr>
              <w:t>Total Short Term Investments — Money Market Funds</w:t>
            </w:r>
          </w:p>
        </w:tc>
        <w:tc>
          <w:tcPr>
            <w:tcW w:w="34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Short Term Investments — Restricted Money Market Funds</w:t>
            </w: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w w:val="99"/>
              </w:rPr>
              <w:t>US Bank Money Market Deposit Account (6)</w:t>
            </w:r>
          </w:p>
        </w:tc>
        <w:tc>
          <w:tcPr>
            <w:tcW w:w="19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Short Term Investments — Restricted Money Market Funds</w:t>
            </w:r>
          </w:p>
        </w:tc>
        <w:tc>
          <w:tcPr>
            <w:tcW w:w="3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June 30, 2019 is provided.</w:t>
      </w:r>
    </w:p>
    <w:p>
      <w:pPr>
        <w:spacing w:after="0" w:line="188"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HSLFI’s investments as of 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266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2020" w:type="dxa"/>
            <w:vAlign w:val="bottom"/>
          </w:tcPr>
          <w:p>
            <w:pPr>
              <w:ind w:left="1280"/>
              <w:spacing w:after="0"/>
              <w:rPr>
                <w:sz w:val="20"/>
                <w:szCs w:val="20"/>
                <w:color w:val="auto"/>
              </w:rPr>
            </w:pPr>
            <w:r>
              <w:rPr>
                <w:rFonts w:ascii="Arial" w:cs="Arial" w:eastAsia="Arial" w:hAnsi="Arial"/>
                <w:sz w:val="14"/>
                <w:szCs w:val="14"/>
                <w:b w:val="1"/>
                <w:bCs w:val="1"/>
                <w:color w:val="auto"/>
              </w:rPr>
              <w:t>Sector</w:t>
            </w:r>
          </w:p>
        </w:tc>
        <w:tc>
          <w:tcPr>
            <w:tcW w:w="3360" w:type="dxa"/>
            <w:vAlign w:val="bottom"/>
          </w:tcPr>
          <w:p>
            <w:pPr>
              <w:ind w:left="126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220" w:type="dxa"/>
            <w:vAlign w:val="bottom"/>
          </w:tcPr>
          <w:p>
            <w:pPr>
              <w:spacing w:after="0"/>
              <w:rPr>
                <w:sz w:val="17"/>
                <w:szCs w:val="17"/>
                <w:color w:val="auto"/>
              </w:rPr>
            </w:pPr>
          </w:p>
        </w:tc>
        <w:tc>
          <w:tcPr>
            <w:tcW w:w="102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w w:val="97"/>
              </w:rPr>
              <w:t>Investments</w:t>
            </w:r>
            <w:r>
              <w:rPr>
                <w:rFonts w:ascii="Arial" w:cs="Arial" w:eastAsia="Arial" w:hAnsi="Arial"/>
                <w:sz w:val="23"/>
                <w:szCs w:val="23"/>
                <w:b w:val="1"/>
                <w:bCs w:val="1"/>
                <w:color w:val="auto"/>
                <w:w w:val="97"/>
                <w:vertAlign w:val="superscript"/>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 Investments — Life science</w:t>
            </w:r>
          </w:p>
        </w:tc>
        <w:tc>
          <w:tcPr>
            <w:tcW w:w="20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Celsion Corporation (6)(7)(8)</w:t>
            </w:r>
          </w:p>
        </w:tc>
        <w:tc>
          <w:tcPr>
            <w:tcW w:w="2020" w:type="dxa"/>
            <w:vAlign w:val="bottom"/>
          </w:tcPr>
          <w:p>
            <w:pPr>
              <w:ind w:left="220"/>
              <w:spacing w:after="0" w:line="130" w:lineRule="exact"/>
              <w:rPr>
                <w:sz w:val="20"/>
                <w:szCs w:val="20"/>
                <w:color w:val="auto"/>
              </w:rPr>
            </w:pPr>
            <w:r>
              <w:rPr>
                <w:rFonts w:ascii="Arial" w:cs="Arial" w:eastAsia="Arial" w:hAnsi="Arial"/>
                <w:sz w:val="14"/>
                <w:szCs w:val="14"/>
                <w:color w:val="auto"/>
              </w:rPr>
              <w:t>Biotechnology</w:t>
            </w: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rPr>
              <w:t>Term Loan (9.98% cash (Libor + 7.63%;</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360" w:type="dxa"/>
            <w:vAlign w:val="bottom"/>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2,500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2,449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rPr>
              <w:t>Term Loan (9.98% cash (Libor + 7.63%;</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Debt Investments — Life science</w:t>
            </w:r>
          </w:p>
        </w:tc>
        <w:tc>
          <w:tcPr>
            <w:tcW w:w="202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Technology</w:t>
            </w:r>
          </w:p>
        </w:tc>
        <w:tc>
          <w:tcPr>
            <w:tcW w:w="20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Intelepeer Holdings, Inc. (6)(7)</w:t>
            </w:r>
          </w:p>
        </w:tc>
        <w:tc>
          <w:tcPr>
            <w:tcW w:w="2020" w:type="dxa"/>
            <w:vAlign w:val="bottom"/>
          </w:tcPr>
          <w:p>
            <w:pPr>
              <w:ind w:left="220"/>
              <w:spacing w:after="0" w:line="130" w:lineRule="exact"/>
              <w:rPr>
                <w:sz w:val="20"/>
                <w:szCs w:val="20"/>
                <w:color w:val="auto"/>
              </w:rPr>
            </w:pPr>
            <w:r>
              <w:rPr>
                <w:rFonts w:ascii="Arial" w:cs="Arial" w:eastAsia="Arial" w:hAnsi="Arial"/>
                <w:sz w:val="14"/>
                <w:szCs w:val="14"/>
                <w:color w:val="auto"/>
              </w:rPr>
              <w:t>Communications</w:t>
            </w: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(12.30% cash (Libor + 9.95%;</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360" w:type="dxa"/>
            <w:vAlign w:val="bottom"/>
          </w:tcPr>
          <w:p>
            <w:pPr>
              <w:ind w:left="820"/>
              <w:spacing w:after="0"/>
              <w:rPr>
                <w:sz w:val="20"/>
                <w:szCs w:val="20"/>
                <w:color w:val="auto"/>
              </w:rPr>
            </w:pPr>
            <w:r>
              <w:rPr>
                <w:rFonts w:ascii="Arial" w:cs="Arial" w:eastAsia="Arial" w:hAnsi="Arial"/>
                <w:sz w:val="14"/>
                <w:szCs w:val="14"/>
                <w:color w:val="auto"/>
              </w:rPr>
              <w:t>Floor 11.25%), 2.50% ETP, Due 7/1/21)</w:t>
            </w:r>
          </w:p>
        </w:tc>
        <w:tc>
          <w:tcPr>
            <w:tcW w:w="22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3,948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(12.30% cash (Libor + 9.95%;</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11.25%), 2.50% ETP, Due 7/1/21)</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New Signature US, Inc. (6)(7)(9)</w:t>
            </w:r>
          </w:p>
        </w:tc>
        <w:tc>
          <w:tcPr>
            <w:tcW w:w="2020" w:type="dxa"/>
            <w:vAlign w:val="bottom"/>
          </w:tcPr>
          <w:p>
            <w:pPr>
              <w:ind w:left="220"/>
              <w:spacing w:after="0" w:line="130" w:lineRule="exact"/>
              <w:rPr>
                <w:sz w:val="20"/>
                <w:szCs w:val="20"/>
                <w:color w:val="auto"/>
              </w:rPr>
            </w:pPr>
            <w:r>
              <w:rPr>
                <w:rFonts w:ascii="Arial" w:cs="Arial" w:eastAsia="Arial" w:hAnsi="Arial"/>
                <w:sz w:val="14"/>
                <w:szCs w:val="14"/>
                <w:color w:val="auto"/>
              </w:rPr>
              <w:t>Software</w:t>
            </w: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(10.85% cash (Libor + 8.50%;</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360" w:type="dxa"/>
            <w:vAlign w:val="bottom"/>
          </w:tcPr>
          <w:p>
            <w:pPr>
              <w:ind w:left="820"/>
              <w:spacing w:after="0"/>
              <w:rPr>
                <w:sz w:val="20"/>
                <w:szCs w:val="20"/>
                <w:color w:val="auto"/>
              </w:rPr>
            </w:pPr>
            <w:r>
              <w:rPr>
                <w:rFonts w:ascii="Arial" w:cs="Arial" w:eastAsia="Arial" w:hAnsi="Arial"/>
                <w:sz w:val="14"/>
                <w:szCs w:val="14"/>
                <w:color w:val="auto"/>
              </w:rPr>
              <w:t>Floor 10.50%), 3.50% ETP, Due 7/1/22)</w:t>
            </w:r>
          </w:p>
        </w:tc>
        <w:tc>
          <w:tcPr>
            <w:tcW w:w="22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8,250</w:t>
            </w: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8,098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Technology</w:t>
            </w:r>
          </w:p>
        </w:tc>
        <w:tc>
          <w:tcPr>
            <w:tcW w:w="202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15,994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Debt Investments — Healthcare information and services</w:t>
            </w: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HealthEdge Software, Inc. (6)(7)</w:t>
            </w:r>
          </w:p>
        </w:tc>
        <w:tc>
          <w:tcPr>
            <w:tcW w:w="20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Software</w:t>
            </w: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(10.60% cash (Libor + 8.25%;</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9.25%), 3.00% ETP, Due 10/1/23)</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3,750</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Debt Investments — Healthcare information and services</w:t>
            </w:r>
          </w:p>
        </w:tc>
        <w:tc>
          <w:tcPr>
            <w:tcW w:w="3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20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 Investments — Life science</w:t>
            </w:r>
          </w:p>
        </w:tc>
        <w:tc>
          <w:tcPr>
            <w:tcW w:w="20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Celsion Corporation (6)(7)(8)</w:t>
            </w:r>
          </w:p>
        </w:tc>
        <w:tc>
          <w:tcPr>
            <w:tcW w:w="2020" w:type="dxa"/>
            <w:vAlign w:val="bottom"/>
          </w:tcPr>
          <w:p>
            <w:pPr>
              <w:ind w:left="220"/>
              <w:spacing w:after="0"/>
              <w:rPr>
                <w:sz w:val="20"/>
                <w:szCs w:val="20"/>
                <w:color w:val="auto"/>
              </w:rPr>
            </w:pPr>
            <w:r>
              <w:rPr>
                <w:rFonts w:ascii="Arial" w:cs="Arial" w:eastAsia="Arial" w:hAnsi="Arial"/>
                <w:sz w:val="14"/>
                <w:szCs w:val="14"/>
                <w:color w:val="auto"/>
              </w:rPr>
              <w:t>Biotechnology</w:t>
            </w:r>
          </w:p>
        </w:tc>
        <w:tc>
          <w:tcPr>
            <w:tcW w:w="3360" w:type="dxa"/>
            <w:vAlign w:val="bottom"/>
          </w:tcPr>
          <w:p>
            <w:pPr>
              <w:ind w:left="820"/>
              <w:spacing w:after="0"/>
              <w:rPr>
                <w:sz w:val="20"/>
                <w:szCs w:val="20"/>
                <w:color w:val="auto"/>
              </w:rPr>
            </w:pPr>
            <w:r>
              <w:rPr>
                <w:rFonts w:ascii="Arial" w:cs="Arial" w:eastAsia="Arial" w:hAnsi="Arial"/>
                <w:sz w:val="14"/>
                <w:szCs w:val="14"/>
                <w:color w:val="auto"/>
              </w:rPr>
              <w:t>95,057 Common Stock Warrants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Warrant Investments — Life science</w:t>
            </w:r>
          </w:p>
        </w:tc>
        <w:tc>
          <w:tcPr>
            <w:tcW w:w="202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line="142" w:lineRule="exact"/>
              <w:rPr>
                <w:sz w:val="20"/>
                <w:szCs w:val="20"/>
                <w:color w:val="auto"/>
              </w:rPr>
            </w:pPr>
            <w:r>
              <w:rPr>
                <w:rFonts w:ascii="Arial" w:cs="Arial" w:eastAsia="Arial" w:hAnsi="Arial"/>
                <w:sz w:val="14"/>
                <w:szCs w:val="14"/>
                <w:b w:val="1"/>
                <w:bCs w:val="1"/>
                <w:color w:val="auto"/>
              </w:rPr>
              <w:t>Warrant Investments — Technology</w:t>
            </w:r>
          </w:p>
        </w:tc>
        <w:tc>
          <w:tcPr>
            <w:tcW w:w="20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 (6)(7)</w:t>
            </w:r>
          </w:p>
        </w:tc>
        <w:tc>
          <w:tcPr>
            <w:tcW w:w="2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Communications</w:t>
            </w:r>
          </w:p>
        </w:tc>
        <w:tc>
          <w:tcPr>
            <w:tcW w:w="33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1,280,000 Preferred Stock Warrants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BSI Platform Holdings, LLC (6)(7)(9)</w:t>
            </w:r>
          </w:p>
        </w:tc>
        <w:tc>
          <w:tcPr>
            <w:tcW w:w="2020" w:type="dxa"/>
            <w:vAlign w:val="bottom"/>
          </w:tcPr>
          <w:p>
            <w:pPr>
              <w:ind w:left="220"/>
              <w:spacing w:after="0"/>
              <w:rPr>
                <w:sz w:val="20"/>
                <w:szCs w:val="20"/>
                <w:color w:val="auto"/>
              </w:rPr>
            </w:pPr>
            <w:r>
              <w:rPr>
                <w:rFonts w:ascii="Arial" w:cs="Arial" w:eastAsia="Arial" w:hAnsi="Arial"/>
                <w:sz w:val="14"/>
                <w:szCs w:val="14"/>
                <w:color w:val="auto"/>
              </w:rPr>
              <w:t>Software</w:t>
            </w:r>
          </w:p>
        </w:tc>
        <w:tc>
          <w:tcPr>
            <w:tcW w:w="3360" w:type="dxa"/>
            <w:vAlign w:val="bottom"/>
          </w:tcPr>
          <w:p>
            <w:pPr>
              <w:ind w:left="820"/>
              <w:spacing w:after="0"/>
              <w:rPr>
                <w:sz w:val="20"/>
                <w:szCs w:val="20"/>
                <w:color w:val="auto"/>
              </w:rPr>
            </w:pPr>
            <w:r>
              <w:rPr>
                <w:rFonts w:ascii="Arial" w:cs="Arial" w:eastAsia="Arial" w:hAnsi="Arial"/>
                <w:sz w:val="14"/>
                <w:szCs w:val="14"/>
                <w:color w:val="auto"/>
              </w:rPr>
              <w:t>412,500 Preferred Stock Warrants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Warrant Investments — Technology</w:t>
            </w:r>
          </w:p>
        </w:tc>
        <w:tc>
          <w:tcPr>
            <w:tcW w:w="202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286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820" w:type="dxa"/>
            <w:vAlign w:val="bottom"/>
          </w:tcPr>
          <w:p>
            <w:pPr>
              <w:ind w:left="1080"/>
              <w:spacing w:after="0"/>
              <w:rPr>
                <w:sz w:val="20"/>
                <w:szCs w:val="20"/>
                <w:color w:val="auto"/>
              </w:rPr>
            </w:pPr>
            <w:r>
              <w:rPr>
                <w:rFonts w:ascii="Arial" w:cs="Arial" w:eastAsia="Arial" w:hAnsi="Arial"/>
                <w:sz w:val="14"/>
                <w:szCs w:val="14"/>
                <w:b w:val="1"/>
                <w:bCs w:val="1"/>
                <w:color w:val="auto"/>
              </w:rPr>
              <w:t>Sector</w:t>
            </w:r>
          </w:p>
        </w:tc>
        <w:tc>
          <w:tcPr>
            <w:tcW w:w="3260" w:type="dxa"/>
            <w:vAlign w:val="bottom"/>
          </w:tcPr>
          <w:p>
            <w:pPr>
              <w:ind w:left="126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 Investments — Healthcare information and services</w:t>
            </w:r>
          </w:p>
        </w:tc>
        <w:tc>
          <w:tcPr>
            <w:tcW w:w="3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HealthEdge Software, Inc. (6)(7)</w:t>
            </w:r>
          </w:p>
        </w:tc>
        <w:tc>
          <w:tcPr>
            <w:tcW w:w="1820" w:type="dxa"/>
            <w:vAlign w:val="bottom"/>
          </w:tcPr>
          <w:p>
            <w:pPr>
              <w:ind w:left="20"/>
              <w:spacing w:after="0"/>
              <w:rPr>
                <w:sz w:val="20"/>
                <w:szCs w:val="20"/>
                <w:color w:val="auto"/>
              </w:rPr>
            </w:pPr>
            <w:r>
              <w:rPr>
                <w:rFonts w:ascii="Arial" w:cs="Arial" w:eastAsia="Arial" w:hAnsi="Arial"/>
                <w:sz w:val="14"/>
                <w:szCs w:val="14"/>
                <w:color w:val="auto"/>
              </w:rPr>
              <w:t>Software</w:t>
            </w:r>
          </w:p>
        </w:tc>
        <w:tc>
          <w:tcPr>
            <w:tcW w:w="3260" w:type="dxa"/>
            <w:vAlign w:val="bottom"/>
          </w:tcPr>
          <w:p>
            <w:pPr>
              <w:ind w:left="820"/>
              <w:spacing w:after="0"/>
              <w:rPr>
                <w:sz w:val="20"/>
                <w:szCs w:val="20"/>
                <w:color w:val="auto"/>
              </w:rPr>
            </w:pPr>
            <w:r>
              <w:rPr>
                <w:rFonts w:ascii="Arial" w:cs="Arial" w:eastAsia="Arial" w:hAnsi="Arial"/>
                <w:sz w:val="14"/>
                <w:szCs w:val="14"/>
                <w:color w:val="auto"/>
              </w:rPr>
              <w:t>47,418 Preferred Stock Warrants</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Warrant Investments — Healthcare information and services</w:t>
            </w:r>
          </w:p>
        </w:tc>
        <w:tc>
          <w:tcPr>
            <w:tcW w:w="326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Warrant Investments</w:t>
            </w:r>
          </w:p>
        </w:tc>
        <w:tc>
          <w:tcPr>
            <w:tcW w:w="182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4"/>
                <w:szCs w:val="14"/>
                <w:b w:val="1"/>
                <w:bCs w:val="1"/>
                <w:color w:val="auto"/>
              </w:rPr>
              <w:t>Total Portfolio Investment Assets</w:t>
            </w:r>
          </w:p>
        </w:tc>
        <w:tc>
          <w:tcPr>
            <w:tcW w:w="1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24,771</w:t>
            </w:r>
          </w:p>
        </w:tc>
        <w:tc>
          <w:tcPr>
            <w:tcW w:w="180" w:type="dxa"/>
            <w:vAlign w:val="bottom"/>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24,734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4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CCEEFF"/>
            </w:tcBorders>
            <w:shd w:val="clear" w:color="auto" w:fill="CCEEFF"/>
          </w:tcPr>
          <w:p>
            <w:pPr>
              <w:spacing w:after="0"/>
              <w:rPr>
                <w:sz w:val="11"/>
                <w:szCs w:val="11"/>
                <w:color w:val="auto"/>
              </w:rPr>
            </w:pPr>
          </w:p>
        </w:tc>
        <w:tc>
          <w:tcPr>
            <w:tcW w:w="3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Short Term Investments — Money Market Funds</w:t>
            </w:r>
          </w:p>
        </w:tc>
        <w:tc>
          <w:tcPr>
            <w:tcW w:w="3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US Bank Money Market Deposit Account (6)</w:t>
            </w:r>
          </w:p>
        </w:tc>
        <w:tc>
          <w:tcPr>
            <w:tcW w:w="182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Short Term Investments — Money Market Funds</w:t>
            </w:r>
          </w:p>
        </w:tc>
        <w:tc>
          <w:tcPr>
            <w:tcW w:w="3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88"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June 30, 2019 and December 31, 2018, for the three and six months ended June 30, 2019 and for the period June 1, 2018 through June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2"/>
              </w:rPr>
              <w:t>Total investments at fair value (cost of $38,939 and $24,771, respectively)</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38,896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Restricted investments in money market funds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receivable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Borrowings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14,091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Members’ equity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26,818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For the three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 the six</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June 1,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2"/>
              </w:rPr>
              <w:t>months ended,</w:t>
            </w:r>
          </w:p>
        </w:tc>
        <w:tc>
          <w:tcPr>
            <w:tcW w:w="80" w:type="dxa"/>
            <w:vAlign w:val="bottom"/>
          </w:tcPr>
          <w:p>
            <w:pPr>
              <w:spacing w:after="0"/>
              <w:rPr>
                <w:sz w:val="19"/>
                <w:szCs w:val="19"/>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months ended,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3"/>
              </w:rPr>
              <w:t>(In thousands)</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income on investments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1,997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non-controlled affiliated company is generally a portfolio company in which the Company owns 5% or more of such portfolio company’s voting securities but not more than 25% of such portfolio company’s voting securities. Transactions related to investments in non-controlled affiliated companies for the six months ended June 30, 2019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93"/>
              </w:rPr>
              <w:t>Fair value at</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9"/>
          </w:tcPr>
          <w:p>
            <w:pPr>
              <w:ind w:left="340"/>
              <w:spacing w:after="0"/>
              <w:rPr>
                <w:sz w:val="20"/>
                <w:szCs w:val="20"/>
                <w:color w:val="auto"/>
              </w:rPr>
            </w:pPr>
            <w:r>
              <w:rPr>
                <w:rFonts w:ascii="Arial" w:cs="Arial" w:eastAsia="Arial" w:hAnsi="Arial"/>
                <w:sz w:val="18"/>
                <w:szCs w:val="18"/>
                <w:b w:val="1"/>
                <w:bCs w:val="1"/>
                <w:color w:val="auto"/>
                <w:w w:val="88"/>
              </w:rPr>
              <w:t>Six months ended June 30, 2019</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Fair value at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5"/>
              </w:rPr>
              <w:t>Transfers</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700"/>
              <w:spacing w:after="0"/>
              <w:rPr>
                <w:sz w:val="20"/>
                <w:szCs w:val="20"/>
                <w:color w:val="auto"/>
              </w:rPr>
            </w:pPr>
            <w:r>
              <w:rPr>
                <w:rFonts w:ascii="Arial" w:cs="Arial" w:eastAsia="Arial" w:hAnsi="Arial"/>
                <w:sz w:val="18"/>
                <w:szCs w:val="18"/>
                <w:b w:val="1"/>
                <w:bCs w:val="1"/>
                <w:color w:val="auto"/>
              </w:rPr>
              <w:t>Portfolio</w:t>
            </w:r>
          </w:p>
        </w:tc>
        <w:tc>
          <w:tcPr>
            <w:tcW w:w="8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Principal</w:t>
            </w: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97"/>
              </w:rPr>
              <w:t>in/(out) at</w:t>
            </w:r>
          </w:p>
        </w:tc>
        <w:tc>
          <w:tcPr>
            <w:tcW w:w="18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Discount</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realized</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34"/>
        </w:trPr>
        <w:tc>
          <w:tcPr>
            <w:tcW w:w="2080" w:type="dxa"/>
            <w:vAlign w:val="bottom"/>
          </w:tcPr>
          <w:p>
            <w:pPr>
              <w:ind w:left="680"/>
              <w:spacing w:after="0"/>
              <w:rPr>
                <w:sz w:val="20"/>
                <w:szCs w:val="20"/>
                <w:color w:val="auto"/>
              </w:rPr>
            </w:pPr>
            <w:r>
              <w:rPr>
                <w:rFonts w:ascii="Arial" w:cs="Arial" w:eastAsia="Arial" w:hAnsi="Arial"/>
                <w:sz w:val="18"/>
                <w:szCs w:val="18"/>
                <w:b w:val="1"/>
                <w:bCs w:val="1"/>
                <w:color w:val="auto"/>
              </w:rPr>
              <w:t>Company</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3"/>
              </w:rPr>
              <w:t>Purchases</w:t>
            </w:r>
          </w:p>
        </w:tc>
        <w:tc>
          <w:tcPr>
            <w:tcW w:w="1020" w:type="dxa"/>
            <w:vAlign w:val="bottom"/>
            <w:gridSpan w:val="4"/>
          </w:tcPr>
          <w:p>
            <w:pPr>
              <w:ind w:left="100"/>
              <w:spacing w:after="0"/>
              <w:rPr>
                <w:sz w:val="20"/>
                <w:szCs w:val="20"/>
                <w:color w:val="auto"/>
              </w:rPr>
            </w:pPr>
            <w:r>
              <w:rPr>
                <w:rFonts w:ascii="Arial" w:cs="Arial" w:eastAsia="Arial" w:hAnsi="Arial"/>
                <w:sz w:val="18"/>
                <w:szCs w:val="18"/>
                <w:b w:val="1"/>
                <w:bCs w:val="1"/>
                <w:color w:val="auto"/>
              </w:rPr>
              <w:t>Payments</w:t>
            </w: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fair value</w:t>
            </w:r>
          </w:p>
        </w:tc>
        <w:tc>
          <w:tcPr>
            <w:tcW w:w="18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accretion</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gain/(loss)</w:t>
            </w: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gain/(loss)</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income</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Decisyon, Inc.</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1,464</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79"/>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StereoVision, Inc.</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2,798</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791</w:t>
            </w:r>
          </w:p>
        </w:tc>
        <w:tc>
          <w:tcPr>
            <w:tcW w:w="3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1,862</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80" w:type="dxa"/>
            <w:vAlign w:val="bottom"/>
            <w:tcBorders>
              <w:top w:val="single" w:sz="8" w:color="CCEEFF"/>
            </w:tcBorders>
            <w:shd w:val="clear" w:color="auto" w:fill="CCEEFF"/>
          </w:tcPr>
          <w:p>
            <w:pPr>
              <w:ind w:left="580"/>
              <w:spacing w:after="0" w:line="182" w:lineRule="exact"/>
              <w:rPr>
                <w:sz w:val="20"/>
                <w:szCs w:val="20"/>
                <w:color w:val="auto"/>
              </w:rPr>
            </w:pPr>
            <w:r>
              <w:rPr>
                <w:rFonts w:ascii="Arial" w:cs="Arial" w:eastAsia="Arial" w:hAnsi="Arial"/>
                <w:sz w:val="18"/>
                <w:szCs w:val="18"/>
                <w:color w:val="auto"/>
                <w:w w:val="91"/>
              </w:rPr>
              <w:t>Total Non-controlled</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Affiliates $</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7,574</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10</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related to investments in non-controlled affiliated companies for the year ended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3"/>
              </w:rPr>
              <w:t>Fair value at</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1"/>
          </w:tcPr>
          <w:p>
            <w:pPr>
              <w:ind w:left="340"/>
              <w:spacing w:after="0"/>
              <w:rPr>
                <w:sz w:val="20"/>
                <w:szCs w:val="20"/>
                <w:color w:val="auto"/>
              </w:rPr>
            </w:pPr>
            <w:r>
              <w:rPr>
                <w:rFonts w:ascii="Arial" w:cs="Arial" w:eastAsia="Arial" w:hAnsi="Arial"/>
                <w:sz w:val="18"/>
                <w:szCs w:val="18"/>
                <w:b w:val="1"/>
                <w:bCs w:val="1"/>
                <w:color w:val="auto"/>
                <w:w w:val="90"/>
              </w:rPr>
              <w:t>Year ended December 31, 2018</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Fair value at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Transfers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700"/>
              <w:spacing w:after="0"/>
              <w:rPr>
                <w:sz w:val="20"/>
                <w:szCs w:val="20"/>
                <w:color w:val="auto"/>
              </w:rPr>
            </w:pPr>
            <w:r>
              <w:rPr>
                <w:rFonts w:ascii="Arial" w:cs="Arial" w:eastAsia="Arial" w:hAnsi="Arial"/>
                <w:sz w:val="18"/>
                <w:szCs w:val="18"/>
                <w:b w:val="1"/>
                <w:bCs w:val="1"/>
                <w:color w:val="auto"/>
              </w:rPr>
              <w:t>Portfolio</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Principal</w:t>
            </w:r>
          </w:p>
        </w:tc>
        <w:tc>
          <w:tcPr>
            <w:tcW w:w="6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in/(out) at</w:t>
            </w:r>
          </w:p>
        </w:tc>
        <w:tc>
          <w:tcPr>
            <w:tcW w:w="12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Discount</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realized</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34"/>
        </w:trPr>
        <w:tc>
          <w:tcPr>
            <w:tcW w:w="2080" w:type="dxa"/>
            <w:vAlign w:val="bottom"/>
          </w:tcPr>
          <w:p>
            <w:pPr>
              <w:ind w:left="680"/>
              <w:spacing w:after="0"/>
              <w:rPr>
                <w:sz w:val="20"/>
                <w:szCs w:val="20"/>
                <w:color w:val="auto"/>
              </w:rPr>
            </w:pPr>
            <w:r>
              <w:rPr>
                <w:rFonts w:ascii="Arial" w:cs="Arial" w:eastAsia="Arial" w:hAnsi="Arial"/>
                <w:sz w:val="18"/>
                <w:szCs w:val="18"/>
                <w:b w:val="1"/>
                <w:bCs w:val="1"/>
                <w:color w:val="auto"/>
              </w:rPr>
              <w:t>Company</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w w:val="90"/>
              </w:rPr>
              <w:t>Purchases</w:t>
            </w:r>
          </w:p>
        </w:tc>
        <w:tc>
          <w:tcPr>
            <w:tcW w:w="92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Payments</w:t>
            </w:r>
          </w:p>
        </w:tc>
        <w:tc>
          <w:tcPr>
            <w:tcW w:w="6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accretion</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gain/(loss)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gain/(loss)</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income</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8"/>
              </w:rPr>
              <w:t>(In thousands)</w:t>
            </w: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Decisyon, Inc.</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79"/>
              </w:rPr>
              <w:t>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StereoVision, Inc.</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Total non-controlled</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4,089</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23</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six months ended June 30, 2019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3"/>
              </w:rPr>
              <w:t>Fair value at</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ind w:left="380"/>
              <w:spacing w:after="0"/>
              <w:rPr>
                <w:sz w:val="20"/>
                <w:szCs w:val="20"/>
                <w:color w:val="auto"/>
              </w:rPr>
            </w:pPr>
            <w:r>
              <w:rPr>
                <w:rFonts w:ascii="Arial" w:cs="Arial" w:eastAsia="Arial" w:hAnsi="Arial"/>
                <w:sz w:val="18"/>
                <w:szCs w:val="18"/>
                <w:b w:val="1"/>
                <w:bCs w:val="1"/>
                <w:color w:val="auto"/>
                <w:w w:val="91"/>
              </w:rPr>
              <w:t>Six months ended June 30, 2019</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Fair value at</w:t>
            </w:r>
          </w:p>
        </w:tc>
        <w:tc>
          <w:tcPr>
            <w:tcW w:w="160" w:type="dxa"/>
            <w:vAlign w:val="bottom"/>
          </w:tcPr>
          <w:p>
            <w:pPr>
              <w:spacing w:after="0"/>
              <w:rPr>
                <w:sz w:val="20"/>
                <w:szCs w:val="20"/>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9"/>
              </w:rPr>
              <w:t>Net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Transfers</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Portfolio</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in/(out) at</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Dividends</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realized</w:t>
            </w:r>
          </w:p>
        </w:tc>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b w:val="1"/>
                <w:bCs w:val="1"/>
                <w:color w:val="auto"/>
              </w:rPr>
              <w:t>Dividend</w:t>
            </w:r>
          </w:p>
        </w:tc>
        <w:tc>
          <w:tcPr>
            <w:tcW w:w="0" w:type="dxa"/>
            <w:vAlign w:val="bottom"/>
          </w:tcPr>
          <w:p>
            <w:pPr>
              <w:spacing w:after="0"/>
              <w:rPr>
                <w:sz w:val="1"/>
                <w:szCs w:val="1"/>
                <w:color w:val="auto"/>
              </w:rPr>
            </w:pPr>
          </w:p>
        </w:tc>
      </w:tr>
      <w:tr>
        <w:trPr>
          <w:trHeight w:val="234"/>
        </w:trPr>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w w:val="98"/>
              </w:rPr>
              <w:t>Purchases</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Distributions</w:t>
            </w: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0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declared</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gain/(loss)</w:t>
            </w: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gain/(loss)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HSLFI</w:t>
            </w:r>
            <w:r>
              <w:rPr>
                <w:rFonts w:ascii="Arial" w:cs="Arial" w:eastAsia="Arial" w:hAnsi="Arial"/>
                <w:sz w:val="30"/>
                <w:szCs w:val="30"/>
                <w:color w:val="auto"/>
                <w:vertAlign w:val="superscript"/>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13,243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Total controlled affiliates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13,243</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13,471</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7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the Company and Arena. Because management of HSLFI is shared equally between the Company and Arena, the Company does not have sole control over significant actions of HSLFI for purposes of the 1940 Act or otherwise.</w:t>
      </w:r>
    </w:p>
    <w:p>
      <w:pPr>
        <w:spacing w:after="0" w:line="172"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Transactions related to investments in controlled affiliated companies for the year ended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11"/>
          </w:tcPr>
          <w:p>
            <w:pPr>
              <w:ind w:left="420"/>
              <w:spacing w:after="0"/>
              <w:rPr>
                <w:sz w:val="20"/>
                <w:szCs w:val="20"/>
                <w:color w:val="auto"/>
              </w:rPr>
            </w:pPr>
            <w:r>
              <w:rPr>
                <w:rFonts w:ascii="Arial" w:cs="Arial" w:eastAsia="Arial" w:hAnsi="Arial"/>
                <w:sz w:val="18"/>
                <w:szCs w:val="18"/>
                <w:b w:val="1"/>
                <w:bCs w:val="1"/>
                <w:color w:val="auto"/>
                <w:w w:val="93"/>
              </w:rPr>
              <w:t>Year ended December 31, 2018</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3"/>
              </w:rPr>
              <w:t>Fair value at</w:t>
            </w:r>
          </w:p>
        </w:tc>
        <w:tc>
          <w:tcPr>
            <w:tcW w:w="160" w:type="dxa"/>
            <w:vAlign w:val="bottom"/>
          </w:tcPr>
          <w:p>
            <w:pPr>
              <w:spacing w:after="0"/>
              <w:rPr>
                <w:sz w:val="20"/>
                <w:szCs w:val="20"/>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9"/>
              </w:rPr>
              <w:t>Net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Transfers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in/(out) at</w:t>
            </w:r>
          </w:p>
        </w:tc>
        <w:tc>
          <w:tcPr>
            <w:tcW w:w="8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Dividends</w:t>
            </w: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6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realized</w:t>
            </w:r>
          </w:p>
        </w:tc>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b w:val="1"/>
                <w:bCs w:val="1"/>
                <w:color w:val="auto"/>
              </w:rPr>
              <w:t>Dividend</w:t>
            </w:r>
          </w:p>
        </w:tc>
        <w:tc>
          <w:tcPr>
            <w:tcW w:w="0" w:type="dxa"/>
            <w:vAlign w:val="bottom"/>
          </w:tcPr>
          <w:p>
            <w:pPr>
              <w:spacing w:after="0"/>
              <w:rPr>
                <w:sz w:val="1"/>
                <w:szCs w:val="1"/>
                <w:color w:val="auto"/>
              </w:rPr>
            </w:pPr>
          </w:p>
        </w:tc>
      </w:tr>
      <w:tr>
        <w:trPr>
          <w:trHeight w:val="234"/>
        </w:trPr>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Purchases</w:t>
            </w: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Distributions</w:t>
            </w:r>
          </w:p>
        </w:tc>
        <w:tc>
          <w:tcPr>
            <w:tcW w:w="6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declared</w:t>
            </w: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gain/(loss)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gain/(loss)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10"/>
        </w:trPr>
        <w:tc>
          <w:tcPr>
            <w:tcW w:w="1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w w:val="96"/>
              </w:rPr>
              <w:t>(In thousands)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HSLFI</w:t>
            </w:r>
            <w:r>
              <w:rPr>
                <w:rFonts w:ascii="Arial" w:cs="Arial" w:eastAsia="Arial" w:hAnsi="Arial"/>
                <w:sz w:val="30"/>
                <w:szCs w:val="30"/>
                <w:color w:val="auto"/>
                <w:vertAlign w:val="superscript"/>
              </w:rPr>
              <w:t>(1)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13,262</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13,243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980" w:type="dxa"/>
            <w:vAlign w:val="bottom"/>
          </w:tcPr>
          <w:p>
            <w:pPr>
              <w:ind w:left="20"/>
              <w:spacing w:after="0"/>
              <w:rPr>
                <w:sz w:val="20"/>
                <w:szCs w:val="20"/>
                <w:color w:val="auto"/>
              </w:rPr>
            </w:pPr>
            <w:r>
              <w:rPr>
                <w:rFonts w:ascii="Arial" w:cs="Arial" w:eastAsia="Arial" w:hAnsi="Arial"/>
                <w:sz w:val="18"/>
                <w:szCs w:val="18"/>
                <w:color w:val="auto"/>
                <w:w w:val="99"/>
              </w:rPr>
              <w:t>Total controlled affiliates</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13,243</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the Company and Arena. Because management of HSLFI is shared equally between the Company and Arena, the Company does have sole control over significant actions of HSLFI for purposes of the 1940 Act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100" w:right="260" w:hanging="769"/>
        <w:spacing w:after="0" w:line="264" w:lineRule="auto"/>
        <w:tabs>
          <w:tab w:leader="none" w:pos="10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100" w:right="260" w:hanging="769"/>
        <w:spacing w:after="0" w:line="259" w:lineRule="auto"/>
        <w:tabs>
          <w:tab w:leader="none" w:pos="10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period end rates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debt investments would be made to borrowers with similar credit ratings and for the same remaining maturities. At June 30, 2019 and December 31, 2018, the hypothetical market yields used ranged from 11% to 25%.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provide a summary of quantitative information about the Company’s Level 3 fair value measurements of its investments as of June 30, 2019 and December 31, 2018. In addition to the techniques and inputs noted in the table below, according to the Company’s valuation policy, the Company may also use other valuation techniques and methodologies when determining its fair value measurements.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June 30,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b w:val="1"/>
                <w:bCs w:val="1"/>
                <w:color w:val="auto"/>
              </w:rPr>
              <w:t>Fair</w:t>
            </w:r>
          </w:p>
        </w:tc>
        <w:tc>
          <w:tcPr>
            <w:tcW w:w="2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b w:val="1"/>
                <w:bCs w:val="1"/>
                <w:color w:val="auto"/>
                <w:w w:val="94"/>
              </w:rPr>
              <w:t>Valuation Techniques/</w:t>
            </w:r>
          </w:p>
        </w:tc>
        <w:tc>
          <w:tcPr>
            <w:tcW w:w="232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b w:val="1"/>
                <w:bCs w:val="1"/>
                <w:color w:val="auto"/>
              </w:rPr>
              <w:t>Unobservable</w:t>
            </w:r>
          </w:p>
        </w:tc>
        <w:tc>
          <w:tcPr>
            <w:tcW w:w="19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7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Investment Type</w:t>
            </w:r>
          </w:p>
        </w:tc>
        <w:tc>
          <w:tcPr>
            <w:tcW w:w="200" w:type="dxa"/>
            <w:vAlign w:val="bottom"/>
          </w:tcPr>
          <w:p>
            <w:pPr>
              <w:spacing w:after="0"/>
              <w:rPr>
                <w:sz w:val="23"/>
                <w:szCs w:val="2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2160" w:type="dxa"/>
            <w:vAlign w:val="bottom"/>
          </w:tcPr>
          <w:p>
            <w:pPr>
              <w:ind w:left="620"/>
              <w:spacing w:after="0"/>
              <w:rPr>
                <w:sz w:val="20"/>
                <w:szCs w:val="20"/>
                <w:color w:val="auto"/>
              </w:rPr>
            </w:pPr>
            <w:r>
              <w:rPr>
                <w:rFonts w:ascii="Arial" w:cs="Arial" w:eastAsia="Arial" w:hAnsi="Arial"/>
                <w:sz w:val="18"/>
                <w:szCs w:val="18"/>
                <w:b w:val="1"/>
                <w:bCs w:val="1"/>
                <w:color w:val="auto"/>
              </w:rPr>
              <w:t>Methodologies</w:t>
            </w:r>
          </w:p>
        </w:tc>
        <w:tc>
          <w:tcPr>
            <w:tcW w:w="2320" w:type="dxa"/>
            <w:vAlign w:val="bottom"/>
          </w:tcPr>
          <w:p>
            <w:pPr>
              <w:ind w:left="860"/>
              <w:spacing w:after="0"/>
              <w:rPr>
                <w:sz w:val="20"/>
                <w:szCs w:val="20"/>
                <w:color w:val="auto"/>
              </w:rPr>
            </w:pPr>
            <w:r>
              <w:rPr>
                <w:rFonts w:ascii="Arial" w:cs="Arial" w:eastAsia="Arial" w:hAnsi="Arial"/>
                <w:sz w:val="18"/>
                <w:szCs w:val="18"/>
                <w:b w:val="1"/>
                <w:bCs w:val="1"/>
                <w:color w:val="auto"/>
              </w:rPr>
              <w:t>Input</w:t>
            </w:r>
          </w:p>
        </w:tc>
        <w:tc>
          <w:tcPr>
            <w:tcW w:w="19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Range</w:t>
            </w:r>
          </w:p>
        </w:tc>
        <w:tc>
          <w:tcPr>
            <w:tcW w:w="190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3"/>
              </w:rPr>
              <w:t>Average</w:t>
            </w:r>
            <w:r>
              <w:rPr>
                <w:rFonts w:ascii="Arial" w:cs="Arial" w:eastAsia="Arial" w:hAnsi="Arial"/>
                <w:sz w:val="30"/>
                <w:szCs w:val="30"/>
                <w:b w:val="1"/>
                <w:bCs w:val="1"/>
                <w:color w:val="auto"/>
                <w:w w:val="83"/>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8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w w:val="93"/>
              </w:rPr>
              <w:t>(Dollars in thousands, except per share data)</w:t>
            </w:r>
          </w:p>
        </w:tc>
        <w:tc>
          <w:tcPr>
            <w:tcW w:w="19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Discounted Expected</w:t>
            </w:r>
          </w:p>
        </w:tc>
        <w:tc>
          <w:tcPr>
            <w:tcW w:w="2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235,887</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Future Cash Flows</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Hypothetical Market Yield</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1"/>
              </w:rPr>
              <w:t>11% – 25%</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Multiple Probability</w:t>
            </w:r>
          </w:p>
        </w:tc>
        <w:tc>
          <w:tcPr>
            <w:tcW w:w="2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Cash Flow</w:t>
            </w:r>
          </w:p>
        </w:tc>
        <w:tc>
          <w:tcPr>
            <w:tcW w:w="2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4,900</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Model</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Probability Weighting</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50%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Liquidation Scenario</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Probability Weighting</w:t>
            </w:r>
          </w:p>
        </w:tc>
        <w:tc>
          <w:tcPr>
            <w:tcW w:w="190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1"/>
              </w:rPr>
              <w:t>100%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Price Per Share</w:t>
            </w:r>
          </w:p>
        </w:tc>
        <w:tc>
          <w:tcPr>
            <w:tcW w:w="1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Black-Scholes Valuation</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Industry</w:t>
            </w:r>
          </w:p>
        </w:tc>
        <w:tc>
          <w:tcPr>
            <w:tcW w:w="19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0"/>
              </w:rPr>
              <w:t>$0.00 – $980.00</w:t>
            </w:r>
          </w:p>
        </w:tc>
        <w:tc>
          <w:tcPr>
            <w:tcW w:w="19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Warrant investments</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Model</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20%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Marketability Discount</w:t>
            </w: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88"/>
              </w:rPr>
              <w:t>20%</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Estimated Time to Exit</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9"/>
              </w:rPr>
              <w:t>1 to 4 years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Multiple Probability</w:t>
            </w:r>
          </w:p>
        </w:tc>
        <w:tc>
          <w:tcPr>
            <w:tcW w:w="2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Cash Flow</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19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0"/>
              </w:rPr>
              <w:t>0% – 25%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6,200</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Model</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Probability Weighting</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25% – 100%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3,110</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Last Equity Financing</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Price Per Share</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$0.00 – $2.24</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9"/>
              </w:rPr>
              <w:t>Total Level 3 investments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260,097</w:t>
            </w:r>
          </w:p>
        </w:tc>
        <w:tc>
          <w:tcPr>
            <w:tcW w:w="20" w:type="dxa"/>
            <w:vAlign w:val="bottom"/>
            <w:tcBorders>
              <w:bottom w:val="single" w:sz="8" w:color="auto"/>
            </w:tcBorders>
          </w:tcPr>
          <w:p>
            <w:pPr>
              <w:spacing w:after="0"/>
              <w:rPr>
                <w:sz w:val="19"/>
                <w:szCs w:val="19"/>
                <w:color w:val="auto"/>
              </w:rPr>
            </w:pPr>
          </w:p>
        </w:tc>
        <w:tc>
          <w:tcPr>
            <w:tcW w:w="2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b w:val="1"/>
                <w:bCs w:val="1"/>
                <w:color w:val="auto"/>
              </w:rPr>
              <w:t>Fair</w:t>
            </w:r>
          </w:p>
        </w:tc>
        <w:tc>
          <w:tcPr>
            <w:tcW w:w="2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b w:val="1"/>
                <w:bCs w:val="1"/>
                <w:color w:val="auto"/>
                <w:w w:val="94"/>
              </w:rPr>
              <w:t>Valuation Techniques/</w:t>
            </w:r>
          </w:p>
        </w:tc>
        <w:tc>
          <w:tcPr>
            <w:tcW w:w="232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b w:val="1"/>
                <w:bCs w:val="1"/>
                <w:color w:val="auto"/>
              </w:rPr>
              <w:t>Unobservable</w:t>
            </w:r>
          </w:p>
        </w:tc>
        <w:tc>
          <w:tcPr>
            <w:tcW w:w="19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7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Investment Type</w:t>
            </w:r>
          </w:p>
        </w:tc>
        <w:tc>
          <w:tcPr>
            <w:tcW w:w="200" w:type="dxa"/>
            <w:vAlign w:val="bottom"/>
          </w:tcPr>
          <w:p>
            <w:pPr>
              <w:spacing w:after="0"/>
              <w:rPr>
                <w:sz w:val="23"/>
                <w:szCs w:val="2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2160" w:type="dxa"/>
            <w:vAlign w:val="bottom"/>
          </w:tcPr>
          <w:p>
            <w:pPr>
              <w:ind w:left="620"/>
              <w:spacing w:after="0"/>
              <w:rPr>
                <w:sz w:val="20"/>
                <w:szCs w:val="20"/>
                <w:color w:val="auto"/>
              </w:rPr>
            </w:pPr>
            <w:r>
              <w:rPr>
                <w:rFonts w:ascii="Arial" w:cs="Arial" w:eastAsia="Arial" w:hAnsi="Arial"/>
                <w:sz w:val="18"/>
                <w:szCs w:val="18"/>
                <w:b w:val="1"/>
                <w:bCs w:val="1"/>
                <w:color w:val="auto"/>
              </w:rPr>
              <w:t>Methodologies</w:t>
            </w:r>
          </w:p>
        </w:tc>
        <w:tc>
          <w:tcPr>
            <w:tcW w:w="2320" w:type="dxa"/>
            <w:vAlign w:val="bottom"/>
          </w:tcPr>
          <w:p>
            <w:pPr>
              <w:ind w:left="860"/>
              <w:spacing w:after="0"/>
              <w:rPr>
                <w:sz w:val="20"/>
                <w:szCs w:val="20"/>
                <w:color w:val="auto"/>
              </w:rPr>
            </w:pPr>
            <w:r>
              <w:rPr>
                <w:rFonts w:ascii="Arial" w:cs="Arial" w:eastAsia="Arial" w:hAnsi="Arial"/>
                <w:sz w:val="18"/>
                <w:szCs w:val="18"/>
                <w:b w:val="1"/>
                <w:bCs w:val="1"/>
                <w:color w:val="auto"/>
              </w:rPr>
              <w:t>Input</w:t>
            </w:r>
          </w:p>
        </w:tc>
        <w:tc>
          <w:tcPr>
            <w:tcW w:w="19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Range</w:t>
            </w:r>
          </w:p>
        </w:tc>
        <w:tc>
          <w:tcPr>
            <w:tcW w:w="190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3"/>
              </w:rPr>
              <w:t>Average</w:t>
            </w:r>
            <w:r>
              <w:rPr>
                <w:rFonts w:ascii="Arial" w:cs="Arial" w:eastAsia="Arial" w:hAnsi="Arial"/>
                <w:sz w:val="30"/>
                <w:szCs w:val="30"/>
                <w:b w:val="1"/>
                <w:bCs w:val="1"/>
                <w:color w:val="auto"/>
                <w:w w:val="83"/>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8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w w:val="93"/>
              </w:rPr>
              <w:t>(Dollars in thousands, except per share data)</w:t>
            </w:r>
          </w:p>
        </w:tc>
        <w:tc>
          <w:tcPr>
            <w:tcW w:w="19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Discounted Expected</w:t>
            </w:r>
          </w:p>
        </w:tc>
        <w:tc>
          <w:tcPr>
            <w:tcW w:w="2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216,401</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Future Cash Flows</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Hypothetical Market Yield</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1"/>
              </w:rPr>
              <w:t>11% – 25%</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Price Per Share</w:t>
            </w:r>
          </w:p>
        </w:tc>
        <w:tc>
          <w:tcPr>
            <w:tcW w:w="1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Black-Scholes Valuation</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Industry</w:t>
            </w:r>
          </w:p>
        </w:tc>
        <w:tc>
          <w:tcPr>
            <w:tcW w:w="19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0"/>
              </w:rPr>
              <w:t>$0.00 – $980.00</w:t>
            </w:r>
          </w:p>
        </w:tc>
        <w:tc>
          <w:tcPr>
            <w:tcW w:w="19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Warrant investments</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7,888</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Model</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20%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Marketability Discount</w:t>
            </w: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88"/>
              </w:rPr>
              <w:t>20%</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Estimated Time to Exit</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9"/>
              </w:rPr>
              <w:t>1 to 5 years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Proceeds</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Price Per Share</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$0.21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Multiple Probability</w:t>
            </w:r>
          </w:p>
        </w:tc>
        <w:tc>
          <w:tcPr>
            <w:tcW w:w="2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Cash Flow</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19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0"/>
              </w:rPr>
              <w:t>0% – 25%</w:t>
            </w:r>
          </w:p>
        </w:tc>
        <w:tc>
          <w:tcPr>
            <w:tcW w:w="19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7,640</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Model</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Probability Weighting</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10% – 100%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Last Equity Financing</w:t>
            </w: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Price Per Share</w:t>
            </w:r>
          </w:p>
        </w:tc>
        <w:tc>
          <w:tcPr>
            <w:tcW w:w="19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$0.00 – $2.24</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9"/>
              </w:rPr>
              <w:t>Total Level 3 investments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233,962</w:t>
            </w:r>
          </w:p>
        </w:tc>
        <w:tc>
          <w:tcPr>
            <w:tcW w:w="20" w:type="dxa"/>
            <w:vAlign w:val="bottom"/>
            <w:tcBorders>
              <w:bottom w:val="single" w:sz="8" w:color="auto"/>
            </w:tcBorders>
          </w:tcPr>
          <w:p>
            <w:pPr>
              <w:spacing w:after="0"/>
              <w:rPr>
                <w:sz w:val="19"/>
                <w:szCs w:val="19"/>
                <w:color w:val="auto"/>
              </w:rPr>
            </w:pPr>
          </w:p>
        </w:tc>
        <w:tc>
          <w:tcPr>
            <w:tcW w:w="2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Borrowings: </w:t>
      </w:r>
      <w:r>
        <w:rPr>
          <w:rFonts w:ascii="Arial" w:cs="Arial" w:eastAsia="Arial" w:hAnsi="Arial"/>
          <w:sz w:val="16"/>
          <w:szCs w:val="16"/>
          <w:color w:val="auto"/>
        </w:rPr>
        <w:t>The carrying amount of borrowings under the Company’s revolving credit facility (the “Key Facility”) with KeyBank National Association</w:t>
      </w:r>
      <w:r>
        <w:rPr>
          <w:rFonts w:ascii="Arial" w:cs="Arial" w:eastAsia="Arial" w:hAnsi="Arial"/>
          <w:sz w:val="16"/>
          <w:szCs w:val="16"/>
          <w:i w:val="1"/>
          <w:iCs w:val="1"/>
          <w:color w:val="auto"/>
        </w:rPr>
        <w:t xml:space="preserve"> </w:t>
      </w:r>
      <w:r>
        <w:rPr>
          <w:rFonts w:ascii="Arial" w:cs="Arial" w:eastAsia="Arial" w:hAnsi="Arial"/>
          <w:sz w:val="16"/>
          <w:szCs w:val="16"/>
          <w:color w:val="auto"/>
        </w:rPr>
        <w:t>(“Key”)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fixed-rate 2022 Notes</w:t>
      </w:r>
    </w:p>
    <w:p>
      <w:pPr>
        <w:sectPr>
          <w:pgSz w:w="11900" w:h="16885" w:orient="portrait"/>
          <w:cols w:equalWidth="0" w:num="1">
            <w:col w:w="11420"/>
          </w:cols>
          <w:pgMar w:left="240" w:top="904" w:right="239" w:bottom="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(as defined in Note 7) is based on the closing public share price on the date of measurement. On June 30, 2019, the closing price of the 2022 Notes on the New York Stock Exchange was $25.52 per note, or $38.2 million. Therefore, the Company has categorized this borrowing as Level 1 within the fair value hierarchy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June 30, 2019 and December 31, 2018 and indicate the fair value hierarchy of the valuation techniques utilized by the Company to determine the fair value: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3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2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242,287</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Warrant investments</w:t>
            </w: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9,615</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6,200</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79"/>
              </w:rPr>
              <w:t>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3,110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3,186</w:t>
            </w:r>
          </w:p>
        </w:tc>
        <w:tc>
          <w:tcPr>
            <w:tcW w:w="80" w:type="dxa"/>
            <w:vAlign w:val="bottom"/>
          </w:tcPr>
          <w:p>
            <w:pPr>
              <w:spacing w:after="0"/>
              <w:rPr>
                <w:sz w:val="18"/>
                <w:szCs w:val="18"/>
                <w:color w:val="auto"/>
              </w:rPr>
            </w:pPr>
          </w:p>
        </w:tc>
      </w:tr>
      <w:tr>
        <w:trPr>
          <w:trHeight w:val="270"/>
        </w:trPr>
        <w:tc>
          <w:tcPr>
            <w:tcW w:w="33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30"/>
                <w:szCs w:val="30"/>
                <w:color w:val="auto"/>
                <w:vertAlign w:val="superscript"/>
              </w:rPr>
              <w:t>(1)</w:t>
            </w:r>
          </w:p>
        </w:tc>
        <w:tc>
          <w:tcPr>
            <w:tcW w:w="1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13,471</w:t>
            </w:r>
          </w:p>
        </w:tc>
        <w:tc>
          <w:tcPr>
            <w:tcW w:w="80" w:type="dxa"/>
            <w:vAlign w:val="bottom"/>
            <w:shd w:val="clear" w:color="auto" w:fill="CCEEFF"/>
          </w:tcPr>
          <w:p>
            <w:pPr>
              <w:spacing w:after="0"/>
              <w:rPr>
                <w:sz w:val="23"/>
                <w:szCs w:val="23"/>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investments</w:t>
            </w:r>
          </w:p>
        </w:tc>
        <w:tc>
          <w:tcPr>
            <w:tcW w:w="1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76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260,097</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8"/>
              </w:rPr>
              <w:t>December 31, 2018</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3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216,401</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Warrant investments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9,324</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7,640</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8"/>
                <w:szCs w:val="18"/>
                <w:color w:val="auto"/>
              </w:rPr>
            </w:pPr>
          </w:p>
        </w:tc>
      </w:tr>
      <w:tr>
        <w:trPr>
          <w:trHeight w:val="270"/>
        </w:trPr>
        <w:tc>
          <w:tcPr>
            <w:tcW w:w="33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30"/>
                <w:szCs w:val="30"/>
                <w:color w:val="auto"/>
                <w:vertAlign w:val="superscript"/>
              </w:rPr>
              <w:t>(1)</w:t>
            </w:r>
          </w:p>
        </w:tc>
        <w:tc>
          <w:tcPr>
            <w:tcW w:w="1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13,243</w:t>
            </w:r>
          </w:p>
        </w:tc>
        <w:tc>
          <w:tcPr>
            <w:tcW w:w="80" w:type="dxa"/>
            <w:vAlign w:val="bottom"/>
            <w:shd w:val="clear" w:color="auto" w:fill="CCEEFF"/>
          </w:tcPr>
          <w:p>
            <w:pPr>
              <w:spacing w:after="0"/>
              <w:rPr>
                <w:sz w:val="23"/>
                <w:szCs w:val="23"/>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investments</w:t>
            </w:r>
          </w:p>
        </w:tc>
        <w:tc>
          <w:tcPr>
            <w:tcW w:w="1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233,962</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2019:</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8"/>
                <w:szCs w:val="18"/>
                <w:b w:val="1"/>
                <w:bCs w:val="1"/>
                <w:color w:val="auto"/>
              </w:rPr>
              <w:t>Three Months Ended June 30, 2019</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235,268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251,502</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55,055</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55,055</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(46,517)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(46,591)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(4,268)</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included in earnings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Transfer out of Level 3</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242,287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260,097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June 30, 2019, there was one transfer out of Level 3. The transfer out of Level 3 related to warrants held in one portfolio company with an aggregate fair value of $0.2 million that was transferred to Level 2 upon the portfolio company becoming a public company. During the three months ended June 30, 2019, there were no transfers to Level 3.</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2018:</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8"/>
                <w:szCs w:val="18"/>
                <w:b w:val="1"/>
                <w:bCs w:val="1"/>
                <w:color w:val="auto"/>
              </w:rPr>
              <w:t>Three Months Ended June 30, 2018</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209,118</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29,484</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29,484</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(18,714)</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(18,762)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included in earnings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June 30, 2018,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2019:</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10"/>
          </w:tcPr>
          <w:p>
            <w:pPr>
              <w:jc w:val="right"/>
              <w:ind w:right="940"/>
              <w:spacing w:after="0"/>
              <w:rPr>
                <w:sz w:val="20"/>
                <w:szCs w:val="20"/>
                <w:color w:val="auto"/>
              </w:rPr>
            </w:pPr>
            <w:r>
              <w:rPr>
                <w:rFonts w:ascii="Arial" w:cs="Arial" w:eastAsia="Arial" w:hAnsi="Arial"/>
                <w:sz w:val="18"/>
                <w:szCs w:val="18"/>
                <w:b w:val="1"/>
                <w:bCs w:val="1"/>
                <w:color w:val="auto"/>
              </w:rPr>
              <w:t>Six Months Ended June 30, 2019</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233,962</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93,137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93,137</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(65,122)</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(65,204)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included in earnings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Transfer out of Level 3</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242,287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260,097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 months ended June 30, 2019, there was one transfer out of Level 3. The transfer out of Level 3 related to warrants held in one portfolio company with an aggregate fair value of $0.2 million that was transferred to Level 2 upon the portfolio company becoming a public company. During the six months ended June 30, 2019, there were no transfers to Level 3.</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June 30, 2019 includes $2.9 million in unrealized depreciation on debt and other investments, $0.2 million in unrealized depreciation on warrant investments and $1.9 million in unrealized appreciation on equity investments.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2018:</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10"/>
          </w:tcPr>
          <w:p>
            <w:pPr>
              <w:jc w:val="right"/>
              <w:ind w:right="860"/>
              <w:spacing w:after="0"/>
              <w:rPr>
                <w:sz w:val="20"/>
                <w:szCs w:val="20"/>
                <w:color w:val="auto"/>
              </w:rPr>
            </w:pPr>
            <w:r>
              <w:rPr>
                <w:rFonts w:ascii="Arial" w:cs="Arial" w:eastAsia="Arial" w:hAnsi="Arial"/>
                <w:sz w:val="18"/>
                <w:szCs w:val="18"/>
                <w:b w:val="1"/>
                <w:bCs w:val="1"/>
                <w:color w:val="auto"/>
              </w:rPr>
              <w:t>Six Months Ended June 30, 2018</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219,115</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38,046</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38,046</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(34,166)</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(34,302)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Unrealized (depreciation) appreciation included in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2018, there were no transfers in or out of Level 3.</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June 30, 2018 includes $0.2 million in unrealized depreciation on debt and other investments, $0.02 million in unrealized depreciation on warrant investments and $0.05 million in unrealized depreciation on equity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June 30, 2019 and December 31, 2018, all of the balances of all the Company’s financial instruments were recorded at fair value, except for the Company’s 2022 Notes, as previously described.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borrowings as of June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b w:val="1"/>
                <w:bCs w:val="1"/>
                <w:color w:val="auto"/>
                <w:w w:val="90"/>
              </w:rPr>
              <w:t>December 31, 2018</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Commitment</w:t>
            </w:r>
          </w:p>
        </w:tc>
        <w:tc>
          <w:tcPr>
            <w:tcW w:w="12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Outstanding</w:t>
            </w:r>
          </w:p>
        </w:tc>
        <w:tc>
          <w:tcPr>
            <w:tcW w:w="8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w:t>
            </w: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Commitment</w:t>
            </w:r>
          </w:p>
        </w:tc>
        <w:tc>
          <w:tcPr>
            <w:tcW w:w="1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900" w:type="dxa"/>
            <w:vAlign w:val="bottom"/>
          </w:tcPr>
          <w:p>
            <w:pPr>
              <w:spacing w:after="0" w:line="182" w:lineRule="exact"/>
              <w:rPr>
                <w:sz w:val="20"/>
                <w:szCs w:val="20"/>
                <w:color w:val="auto"/>
              </w:rPr>
            </w:pPr>
            <w:r>
              <w:rPr>
                <w:rFonts w:ascii="Arial" w:cs="Arial" w:eastAsia="Arial" w:hAnsi="Arial"/>
                <w:sz w:val="18"/>
                <w:szCs w:val="18"/>
                <w:color w:val="auto"/>
                <w:w w:val="92"/>
              </w:rPr>
              <w:t>Unamortized debt issuance costs attributable to term</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Currently, with certain limited exceptions, as a BDC, the Company is only allowed to borrow amounts such that the Company’s asset coverage, as defined in the 1940 Act, is at least 150% after such borrowings. As of June 30, 2019, the asset coverage for borrowed amounts was 224%.</w:t>
      </w:r>
    </w:p>
    <w:p>
      <w:pPr>
        <w:spacing w:after="0" w:line="14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the Key Facility with Key effective November 4, 2013. On December 28, 2018, the Company amended the Key Facility, increasing the aggregate commitments under the Key Facility by $25 million to $125 million.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2.40% and 2.50% on June 30, 2019 and December 31, 2018, respectively. The average interest rate for the three months ended June 30, 2019 and 2018 was 5.73% and 5.18%, respectively. The average interest rate for the six months ended June 30, 2019 and 2018 was 5.74% and 5.01%, respectively. The Key Facility requires the payment of an unused line fee in an amount equal to 0.50% of any unborrowed amount available under the facility annually. As of June 30, 2019 and December 31, 2018, the Company had borrowing capacity under the Key Facility of $36.0 million and $34.5 million, respectively. At June 30, 2019 and December 31, 2018, $12.5 million and $0.9 million, respectively, was available, subject to existing terms and advance rates.</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June 30, 2019, the Company was in material compliance with the terms of the 2022 Notes. The 2022 Notes are listed on the New York Stock Exchange under the symbol “HTFA”.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with off-balance-sheet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balance of unfunded commitments to extend credit was $43.0 million and $27.5 million as of June 30, 2019 and December 31, 2018,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 This includes the undrawn revolver commitments discussed in Note 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Company’s unfunded commitments by portfolio company as of June 30, 2019:</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6"/>
          </w:tcPr>
          <w:p>
            <w:pPr>
              <w:ind w:left="780"/>
              <w:spacing w:after="0"/>
              <w:rPr>
                <w:sz w:val="20"/>
                <w:szCs w:val="20"/>
                <w:color w:val="auto"/>
              </w:rPr>
            </w:pPr>
            <w:r>
              <w:rPr>
                <w:rFonts w:ascii="Arial" w:cs="Arial" w:eastAsia="Arial" w:hAnsi="Arial"/>
                <w:sz w:val="18"/>
                <w:szCs w:val="18"/>
                <w:b w:val="1"/>
                <w:bCs w:val="1"/>
                <w:color w:val="auto"/>
              </w:rPr>
              <w:t>June 30, 2019</w:t>
            </w:r>
          </w:p>
        </w:tc>
      </w:tr>
      <w:tr>
        <w:trPr>
          <w:trHeight w:val="191"/>
        </w:trPr>
        <w:tc>
          <w:tcPr>
            <w:tcW w:w="3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4"/>
              </w:rPr>
              <w:t>Fair Value of</w:t>
            </w:r>
          </w:p>
        </w:tc>
        <w:tc>
          <w:tcPr>
            <w:tcW w:w="80" w:type="dxa"/>
            <w:vAlign w:val="bottom"/>
            <w:gridSpan w:val="2"/>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Unfunded</w:t>
            </w:r>
          </w:p>
        </w:tc>
      </w:tr>
      <w:tr>
        <w:trPr>
          <w:trHeight w:val="216"/>
        </w:trPr>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39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1400" w:type="dxa"/>
            <w:vAlign w:val="bottom"/>
            <w:gridSpan w:val="3"/>
          </w:tcPr>
          <w:p>
            <w:pPr>
              <w:ind w:left="26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(In thousands)</w:t>
            </w:r>
          </w:p>
        </w:tc>
        <w:tc>
          <w:tcPr>
            <w:tcW w:w="80" w:type="dxa"/>
            <w:vAlign w:val="bottom"/>
            <w:gridSpan w:val="2"/>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Betabrand Corporation</w:t>
            </w:r>
          </w:p>
        </w:tc>
        <w:tc>
          <w:tcPr>
            <w:tcW w:w="22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Bridge2 Solutions, LLC</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CSA Medical, Inc.</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Encore Dermatology, Inc.</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Espero Biopharma, Inc.</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Meditrina, Inc.</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Mustang Bio, Inc.</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Revinate, Inc.</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StereoVision Imaging, Inc.</w:t>
            </w: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table above also provides the fair value of the Company’s unfunded commitment liability as of June 30, 2019, which totaled $0.6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9. Concentrations of credit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largest debt investments may vary from period to period as new debt investments are recorded and existing debt investments are repaid. The Company’s five largest debt investments, at cost, represented 29% and 32% of total debt investments outstanding as of June 30, 2019 and December 31, 2018, respectively. No single debt investment represented more than 10% of the total debt investments as of June 30, 2019 and December 31, 2018. Investment income, consisting of interest and fees, can fluctuate significantly upon repayment of large debt investments. Interest income from the five largest debt investments accounted for 27% and 32% of total interest and fee income on investments for the three months ended June 30, 2019 and 2018, respectively. Interest income from the five largest debt investments accounted for 28% and 31% of total interest and fee income on investments for the six months ended June 30, 2019 and 2018,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Distributions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Company’s distributions are recorded on the declaration date. The following table summarizes the Company’s distribution activity for the six months ended June 30, 2019 and for the years ended December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b w:val="1"/>
                <w:bCs w:val="1"/>
                <w:color w:val="auto"/>
              </w:rPr>
              <w:t>DRIP</w:t>
            </w:r>
          </w:p>
        </w:tc>
      </w:tr>
      <w:tr>
        <w:trPr>
          <w:trHeight w:val="216"/>
        </w:trPr>
        <w:tc>
          <w:tcPr>
            <w:tcW w:w="2580" w:type="dxa"/>
            <w:vAlign w:val="bottom"/>
          </w:tcPr>
          <w:p>
            <w:pPr>
              <w:jc w:val="right"/>
              <w:ind w:right="1290"/>
              <w:spacing w:after="0"/>
              <w:rPr>
                <w:sz w:val="20"/>
                <w:szCs w:val="20"/>
                <w:color w:val="auto"/>
              </w:rPr>
            </w:pPr>
            <w:r>
              <w:rPr>
                <w:rFonts w:ascii="Arial" w:cs="Arial" w:eastAsia="Arial" w:hAnsi="Arial"/>
                <w:sz w:val="18"/>
                <w:szCs w:val="18"/>
                <w:b w:val="1"/>
                <w:bCs w:val="1"/>
                <w:color w:val="auto"/>
              </w:rPr>
              <w:t>Date</w:t>
            </w: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w:t>
            </w: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Share</w:t>
            </w:r>
          </w:p>
        </w:tc>
      </w:tr>
      <w:tr>
        <w:trPr>
          <w:trHeight w:val="234"/>
        </w:trPr>
        <w:tc>
          <w:tcPr>
            <w:tcW w:w="2580" w:type="dxa"/>
            <w:vAlign w:val="bottom"/>
          </w:tcPr>
          <w:p>
            <w:pPr>
              <w:jc w:val="right"/>
              <w:ind w:right="1130"/>
              <w:spacing w:after="0"/>
              <w:rPr>
                <w:sz w:val="20"/>
                <w:szCs w:val="20"/>
                <w:color w:val="auto"/>
              </w:rPr>
            </w:pPr>
            <w:r>
              <w:rPr>
                <w:rFonts w:ascii="Arial" w:cs="Arial" w:eastAsia="Arial" w:hAnsi="Arial"/>
                <w:sz w:val="18"/>
                <w:szCs w:val="18"/>
                <w:b w:val="1"/>
                <w:bCs w:val="1"/>
                <w:color w:val="auto"/>
              </w:rPr>
              <w:t>Declared</w:t>
            </w:r>
          </w:p>
        </w:tc>
        <w:tc>
          <w:tcPr>
            <w:tcW w:w="1980" w:type="dxa"/>
            <w:vAlign w:val="bottom"/>
          </w:tcPr>
          <w:p>
            <w:pPr>
              <w:jc w:val="right"/>
              <w:ind w:right="750"/>
              <w:spacing w:after="0"/>
              <w:rPr>
                <w:sz w:val="20"/>
                <w:szCs w:val="20"/>
                <w:color w:val="auto"/>
              </w:rPr>
            </w:pPr>
            <w:r>
              <w:rPr>
                <w:rFonts w:ascii="Arial" w:cs="Arial" w:eastAsia="Arial" w:hAnsi="Arial"/>
                <w:sz w:val="18"/>
                <w:szCs w:val="18"/>
                <w:b w:val="1"/>
                <w:bCs w:val="1"/>
                <w:color w:val="auto"/>
              </w:rPr>
              <w:t>Record Date</w:t>
            </w:r>
          </w:p>
        </w:tc>
        <w:tc>
          <w:tcPr>
            <w:tcW w:w="2020" w:type="dxa"/>
            <w:vAlign w:val="bottom"/>
            <w:gridSpan w:val="2"/>
          </w:tcPr>
          <w:p>
            <w:pPr>
              <w:ind w:left="32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Distribution</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2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40" w:type="dxa"/>
            <w:vAlign w:val="bottom"/>
            <w:tcBorders>
              <w:top w:val="single" w:sz="8" w:color="auto"/>
            </w:tcBorders>
            <w:gridSpan w:val="11"/>
          </w:tcPr>
          <w:p>
            <w:pPr>
              <w:jc w:val="right"/>
              <w:ind w:right="47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100" w:type="dxa"/>
            <w:vAlign w:val="bottom"/>
            <w:gridSpan w:val="2"/>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6"/>
              </w:rPr>
              <w:t>Six Months Ended June 30, 2019</w:t>
            </w:r>
          </w:p>
        </w:tc>
        <w:tc>
          <w:tcPr>
            <w:tcW w:w="19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4/26/19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8/19/19</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9/17/19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4/26/19</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7/18/19</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4/26/19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6/19/19</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7/16/19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3/1/19</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5/17/19</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3/1/19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4/18/19</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5/15/19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30"/>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3/1/19</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3/19/19</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4/16/19</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r>
      <w:tr>
        <w:trPr>
          <w:trHeight w:val="263"/>
        </w:trPr>
        <w:tc>
          <w:tcPr>
            <w:tcW w:w="258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2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Year Ended December 31, 2018</w:t>
            </w:r>
          </w:p>
        </w:tc>
        <w:tc>
          <w:tcPr>
            <w:tcW w:w="19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10/26/18</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2/20/19</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3/15/19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1,061</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10/26/18</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1/17/19</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10/26/18</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12/18/18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1/15/19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7/27/18</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11/19/18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7/27/18</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10/18/18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11/15/18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7/27/18</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9/18/18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4/27/18</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8/17/18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9/14/18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4/27/18</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7/19/18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4/27/18</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6/19/18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7/17/18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3/1/18</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5/17/18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3/1/18</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4/19/18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5/15/18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30"/>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3/1/18</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3/19/18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r>
      <w:tr>
        <w:trPr>
          <w:trHeight w:val="263"/>
        </w:trPr>
        <w:tc>
          <w:tcPr>
            <w:tcW w:w="258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13,671</w:t>
            </w:r>
          </w:p>
        </w:tc>
        <w:tc>
          <w:tcPr>
            <w:tcW w:w="2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Year Ended December 31, 2017</w:t>
            </w:r>
          </w:p>
        </w:tc>
        <w:tc>
          <w:tcPr>
            <w:tcW w:w="19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10/27/17</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2/21/18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3/15/18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10/27/17</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10/27/17</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12/20/17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1/17/18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7/28/17</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11/20/17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7/28/17</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10/19/17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11/15/17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7/28/17</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9/20/17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4/27/17</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8/18/17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9/15/17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4/27/17</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7/20/17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4/27/17</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6/20/17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7/14/17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3/3/17</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5/19/17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410"/>
              <w:spacing w:after="0"/>
              <w:rPr>
                <w:sz w:val="20"/>
                <w:szCs w:val="20"/>
                <w:color w:val="auto"/>
              </w:rPr>
            </w:pPr>
            <w:r>
              <w:rPr>
                <w:rFonts w:ascii="Arial" w:cs="Arial" w:eastAsia="Arial" w:hAnsi="Arial"/>
                <w:sz w:val="18"/>
                <w:szCs w:val="18"/>
                <w:color w:val="auto"/>
              </w:rPr>
              <w:t>3/3/17</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4/21/17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5/16/17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30"/>
        </w:trPr>
        <w:tc>
          <w:tcPr>
            <w:tcW w:w="2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3/3/17</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3/20/17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4/18/17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r>
      <w:tr>
        <w:trPr>
          <w:trHeight w:val="223"/>
        </w:trPr>
        <w:tc>
          <w:tcPr>
            <w:tcW w:w="2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13,658</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26, 2019, the Board declared monthly distributions per share, payable as set forth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Ex-Dividend Date</w:t>
            </w:r>
          </w:p>
        </w:tc>
        <w:tc>
          <w:tcPr>
            <w:tcW w:w="2720" w:type="dxa"/>
            <w:vAlign w:val="bottom"/>
          </w:tcPr>
          <w:p>
            <w:pPr>
              <w:ind w:left="88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740" w:type="dxa"/>
            <w:vAlign w:val="bottom"/>
          </w:tcPr>
          <w:p>
            <w:pPr>
              <w:ind w:left="820"/>
              <w:spacing w:after="0"/>
              <w:rPr>
                <w:sz w:val="20"/>
                <w:szCs w:val="20"/>
                <w:color w:val="auto"/>
              </w:rPr>
            </w:pPr>
            <w:r>
              <w:rPr>
                <w:rFonts w:ascii="Arial" w:cs="Arial" w:eastAsia="Arial" w:hAnsi="Arial"/>
                <w:sz w:val="18"/>
                <w:szCs w:val="18"/>
                <w:b w:val="1"/>
                <w:bCs w:val="1"/>
                <w:color w:val="auto"/>
              </w:rPr>
              <w:t>Payment Date</w:t>
            </w:r>
          </w:p>
        </w:tc>
        <w:tc>
          <w:tcPr>
            <w:tcW w:w="194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Distributions Declared</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18, 2019</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19, 2019</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16, 2019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October 17, 2019</w:t>
            </w:r>
          </w:p>
        </w:tc>
        <w:tc>
          <w:tcPr>
            <w:tcW w:w="2720" w:type="dxa"/>
            <w:vAlign w:val="bottom"/>
          </w:tcPr>
          <w:p>
            <w:pPr>
              <w:spacing w:after="0"/>
              <w:rPr>
                <w:sz w:val="20"/>
                <w:szCs w:val="20"/>
                <w:color w:val="auto"/>
              </w:rPr>
            </w:pPr>
            <w:r>
              <w:rPr>
                <w:rFonts w:ascii="Arial" w:cs="Arial" w:eastAsia="Arial" w:hAnsi="Arial"/>
                <w:sz w:val="18"/>
                <w:szCs w:val="18"/>
                <w:color w:val="auto"/>
              </w:rPr>
              <w:t>October 18, 2019</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November 15, 2019</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18, 2019</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November 19, 2019</w:t>
            </w: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16, 2019</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648"/>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paying distributions of $0.30 per share and earning taxable net investment income of $0.37 per share for the quarter, the Company’s undistributed spillover income as of June 30, 2019 was $0.17 per share. Spillover income includes any ordinary income and net capital gains from the preceding tax years that were not distributed during such tax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highlights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The following table shows financial highlights for the Company:</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6"/>
        </w:trPr>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r>
      <w:tr>
        <w:trPr>
          <w:trHeight w:val="210"/>
        </w:trPr>
        <w:tc>
          <w:tcPr>
            <w:tcW w:w="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3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11.64</w:t>
            </w:r>
          </w:p>
        </w:tc>
        <w:tc>
          <w:tcPr>
            <w:tcW w:w="320" w:type="dxa"/>
            <w:vAlign w:val="bottom"/>
          </w:tcPr>
          <w:p>
            <w:pPr>
              <w:spacing w:after="0"/>
              <w:rPr>
                <w:sz w:val="18"/>
                <w:szCs w:val="18"/>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11.72</w:t>
            </w:r>
          </w:p>
        </w:tc>
        <w:tc>
          <w:tcPr>
            <w:tcW w:w="3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Realized loss on investments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r>
      <w:tr>
        <w:trPr>
          <w:trHeight w:val="230"/>
        </w:trPr>
        <w:tc>
          <w:tcPr>
            <w:tcW w:w="46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investments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r>
      <w:tr>
        <w:trPr>
          <w:trHeight w:val="210"/>
        </w:trPr>
        <w:tc>
          <w:tcPr>
            <w:tcW w:w="4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40" w:type="dxa"/>
            <w:vAlign w:val="bottom"/>
          </w:tcPr>
          <w:p>
            <w:pPr>
              <w:spacing w:after="0"/>
              <w:rPr>
                <w:sz w:val="18"/>
                <w:szCs w:val="18"/>
                <w:color w:val="auto"/>
              </w:rPr>
            </w:pPr>
          </w:p>
        </w:tc>
      </w:tr>
      <w:tr>
        <w:trPr>
          <w:trHeight w:val="257"/>
        </w:trPr>
        <w:tc>
          <w:tcPr>
            <w:tcW w:w="460" w:type="dxa"/>
            <w:vAlign w:val="bottom"/>
          </w:tcPr>
          <w:p>
            <w:pPr>
              <w:spacing w:after="0"/>
              <w:rPr>
                <w:sz w:val="22"/>
                <w:szCs w:val="22"/>
                <w:color w:val="auto"/>
              </w:rPr>
            </w:pPr>
          </w:p>
        </w:tc>
        <w:tc>
          <w:tcPr>
            <w:tcW w:w="5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(0.60)</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(0.60)</w:t>
            </w:r>
          </w:p>
        </w:tc>
      </w:tr>
      <w:tr>
        <w:trPr>
          <w:trHeight w:val="216"/>
        </w:trPr>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From net investment income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(0.60)</w:t>
            </w:r>
          </w:p>
        </w:tc>
      </w:tr>
      <w:tr>
        <w:trPr>
          <w:trHeight w:val="216"/>
        </w:trPr>
        <w:tc>
          <w:tcPr>
            <w:tcW w:w="460" w:type="dxa"/>
            <w:vAlign w:val="bottom"/>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From net realized gain on investments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Return of capital</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55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(2)</w:t>
            </w: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63"/>
        </w:trPr>
        <w:tc>
          <w:tcPr>
            <w:tcW w:w="460" w:type="dxa"/>
            <w:vAlign w:val="bottom"/>
          </w:tcPr>
          <w:p>
            <w:pPr>
              <w:spacing w:after="0"/>
              <w:rPr>
                <w:sz w:val="22"/>
                <w:szCs w:val="22"/>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10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340" w:type="dxa"/>
            <w:vAlign w:val="bottom"/>
            <w:tcBorders>
              <w:bottom w:val="single" w:sz="8" w:color="CCEEFF"/>
            </w:tcBorders>
          </w:tcPr>
          <w:p>
            <w:pPr>
              <w:spacing w:after="0"/>
              <w:rPr>
                <w:sz w:val="22"/>
                <w:szCs w:val="22"/>
                <w:color w:val="auto"/>
              </w:rPr>
            </w:pPr>
          </w:p>
        </w:tc>
      </w:tr>
      <w:tr>
        <w:trPr>
          <w:trHeight w:val="197"/>
        </w:trPr>
        <w:tc>
          <w:tcPr>
            <w:tcW w:w="46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market value, beginning of period</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11.22</w:t>
            </w:r>
          </w:p>
        </w:tc>
        <w:tc>
          <w:tcPr>
            <w:tcW w:w="34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18"/>
                <w:szCs w:val="18"/>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10.08</w:t>
            </w:r>
          </w:p>
        </w:tc>
        <w:tc>
          <w:tcPr>
            <w:tcW w:w="340" w:type="dxa"/>
            <w:vAlign w:val="bottom"/>
          </w:tcPr>
          <w:p>
            <w:pPr>
              <w:spacing w:after="0"/>
              <w:rPr>
                <w:sz w:val="18"/>
                <w:szCs w:val="18"/>
                <w:color w:val="auto"/>
              </w:rPr>
            </w:pPr>
          </w:p>
        </w:tc>
      </w:tr>
      <w:tr>
        <w:trPr>
          <w:trHeight w:val="257"/>
        </w:trPr>
        <w:tc>
          <w:tcPr>
            <w:tcW w:w="460" w:type="dxa"/>
            <w:vAlign w:val="bottom"/>
          </w:tcPr>
          <w:p>
            <w:pPr>
              <w:spacing w:after="0"/>
              <w:rPr>
                <w:sz w:val="22"/>
                <w:szCs w:val="22"/>
                <w:color w:val="auto"/>
              </w:rPr>
            </w:pPr>
          </w:p>
        </w:tc>
        <w:tc>
          <w:tcPr>
            <w:tcW w:w="5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a market value</w:t>
            </w:r>
            <w:r>
              <w:rPr>
                <w:rFonts w:ascii="Arial" w:cs="Arial" w:eastAsia="Arial" w:hAnsi="Arial"/>
                <w:sz w:val="29"/>
                <w:szCs w:val="29"/>
                <w:color w:val="auto"/>
                <w:vertAlign w:val="superscript"/>
              </w:rPr>
              <w:t>(3)</w:t>
            </w: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r>
      <w:tr>
        <w:trPr>
          <w:trHeight w:val="216"/>
        </w:trPr>
        <w:tc>
          <w:tcPr>
            <w:tcW w:w="4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13,542,873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11,527,764</w:t>
            </w:r>
          </w:p>
        </w:tc>
        <w:tc>
          <w:tcPr>
            <w:tcW w:w="3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net of waiver, to average net assets: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586" w:gutter="0" w:footer="0" w:header="0"/>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Expenses without 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0910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40640</wp:posOffset>
            </wp:positionV>
            <wp:extent cx="680910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9105" cy="16319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investment income with incentive fees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Ratios, without waiver, to average net assets:</w:t>
      </w:r>
    </w:p>
    <w:p>
      <w:pPr>
        <w:spacing w:after="0" w:line="20" w:lineRule="exact"/>
        <w:rPr>
          <w:sz w:val="20"/>
          <w:szCs w:val="20"/>
          <w:color w:val="auto"/>
        </w:rPr>
      </w:pPr>
      <w:r>
        <w:rPr>
          <w:sz w:val="20"/>
          <w:szCs w:val="20"/>
          <w:color w:val="auto"/>
        </w:rPr>
        <w:br w:type="column"/>
      </w:r>
    </w:p>
    <w:p>
      <w:pPr>
        <w:ind w:left="20"/>
        <w:spacing w:after="0" w:line="224" w:lineRule="auto"/>
        <w:tabs>
          <w:tab w:leader="none" w:pos="2220" w:val="left"/>
        </w:tabs>
        <w:rPr>
          <w:sz w:val="20"/>
          <w:szCs w:val="20"/>
          <w:color w:val="auto"/>
        </w:rPr>
      </w:pPr>
      <w:r>
        <w:rPr>
          <w:rFonts w:ascii="Arial" w:cs="Arial" w:eastAsia="Arial" w:hAnsi="Arial"/>
          <w:sz w:val="18"/>
          <w:szCs w:val="18"/>
          <w:color w:val="auto"/>
        </w:rPr>
        <w:t>11.3%</w:t>
      </w:r>
      <w:r>
        <w:rPr>
          <w:rFonts w:ascii="Arial" w:cs="Arial" w:eastAsia="Arial" w:hAnsi="Arial"/>
          <w:sz w:val="29"/>
          <w:szCs w:val="29"/>
          <w:color w:val="auto"/>
          <w:vertAlign w:val="superscript"/>
        </w:rPr>
        <w:t>(4)</w:t>
      </w:r>
      <w:r>
        <w:rPr>
          <w:sz w:val="20"/>
          <w:szCs w:val="20"/>
          <w:color w:val="auto"/>
        </w:rPr>
        <w:tab/>
      </w:r>
      <w:r>
        <w:rPr>
          <w:rFonts w:ascii="Arial" w:cs="Arial" w:eastAsia="Arial" w:hAnsi="Arial"/>
          <w:sz w:val="15"/>
          <w:szCs w:val="15"/>
          <w:color w:val="auto"/>
        </w:rPr>
        <w:t>9.9%</w:t>
      </w:r>
      <w:r>
        <w:rPr>
          <w:rFonts w:ascii="Arial" w:cs="Arial" w:eastAsia="Arial" w:hAnsi="Arial"/>
          <w:sz w:val="24"/>
          <w:szCs w:val="24"/>
          <w:color w:val="auto"/>
          <w:vertAlign w:val="superscript"/>
        </w:rPr>
        <w:t>(4)</w:t>
      </w:r>
    </w:p>
    <w:p>
      <w:pPr>
        <w:ind w:left="100"/>
        <w:spacing w:after="0" w:line="235" w:lineRule="auto"/>
        <w:tabs>
          <w:tab w:leader="none" w:pos="2220" w:val="left"/>
        </w:tabs>
        <w:rPr>
          <w:sz w:val="20"/>
          <w:szCs w:val="20"/>
          <w:color w:val="auto"/>
        </w:rPr>
      </w:pPr>
      <w:r>
        <w:rPr>
          <w:rFonts w:ascii="Arial" w:cs="Arial" w:eastAsia="Arial" w:hAnsi="Arial"/>
          <w:sz w:val="18"/>
          <w:szCs w:val="18"/>
          <w:color w:val="auto"/>
        </w:rPr>
        <w:t>2.8%</w:t>
      </w:r>
      <w:r>
        <w:rPr>
          <w:rFonts w:ascii="Arial" w:cs="Arial" w:eastAsia="Arial" w:hAnsi="Arial"/>
          <w:sz w:val="30"/>
          <w:szCs w:val="30"/>
          <w:color w:val="auto"/>
          <w:vertAlign w:val="superscript"/>
        </w:rPr>
        <w:t>(4)</w:t>
      </w:r>
      <w:r>
        <w:rPr>
          <w:sz w:val="20"/>
          <w:szCs w:val="20"/>
          <w:color w:val="auto"/>
        </w:rPr>
        <w:tab/>
      </w:r>
      <w:r>
        <w:rPr>
          <w:rFonts w:ascii="Arial" w:cs="Arial" w:eastAsia="Arial" w:hAnsi="Arial"/>
          <w:sz w:val="15"/>
          <w:szCs w:val="15"/>
          <w:color w:val="auto"/>
        </w:rPr>
        <w:t>2.0%</w:t>
      </w:r>
      <w:r>
        <w:rPr>
          <w:rFonts w:ascii="Arial" w:cs="Arial" w:eastAsia="Arial" w:hAnsi="Arial"/>
          <w:sz w:val="24"/>
          <w:szCs w:val="24"/>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0</wp:posOffset>
            </wp:positionV>
            <wp:extent cx="2418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tabs>
          <w:tab w:leader="none" w:pos="2140" w:val="left"/>
        </w:tabs>
        <w:rPr>
          <w:sz w:val="20"/>
          <w:szCs w:val="20"/>
          <w:color w:val="auto"/>
        </w:rPr>
      </w:pPr>
      <w:r>
        <w:rPr>
          <w:rFonts w:ascii="Arial" w:cs="Arial" w:eastAsia="Arial" w:hAnsi="Arial"/>
          <w:sz w:val="18"/>
          <w:szCs w:val="18"/>
          <w:color w:val="auto"/>
        </w:rPr>
        <w:t>14.1%</w:t>
      </w:r>
      <w:r>
        <w:rPr>
          <w:rFonts w:ascii="Arial" w:cs="Arial" w:eastAsia="Arial" w:hAnsi="Arial"/>
          <w:sz w:val="30"/>
          <w:szCs w:val="30"/>
          <w:color w:val="auto"/>
          <w:vertAlign w:val="superscript"/>
        </w:rPr>
        <w:t>(4)</w:t>
      </w:r>
      <w:r>
        <w:rPr>
          <w:sz w:val="20"/>
          <w:szCs w:val="20"/>
          <w:color w:val="auto"/>
        </w:rPr>
        <w:tab/>
      </w:r>
      <w:r>
        <w:rPr>
          <w:rFonts w:ascii="Arial" w:cs="Arial" w:eastAsia="Arial" w:hAnsi="Arial"/>
          <w:sz w:val="15"/>
          <w:szCs w:val="15"/>
          <w:color w:val="auto"/>
        </w:rPr>
        <w:t>11.9%</w:t>
      </w:r>
      <w:r>
        <w:rPr>
          <w:rFonts w:ascii="Arial" w:cs="Arial" w:eastAsia="Arial" w:hAnsi="Arial"/>
          <w:sz w:val="24"/>
          <w:szCs w:val="24"/>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-8255</wp:posOffset>
            </wp:positionV>
            <wp:extent cx="2418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ind w:left="20"/>
        <w:spacing w:after="0"/>
        <w:tabs>
          <w:tab w:leader="none" w:pos="2220" w:val="left"/>
        </w:tabs>
        <w:rPr>
          <w:sz w:val="20"/>
          <w:szCs w:val="20"/>
          <w:color w:val="auto"/>
        </w:rPr>
      </w:pPr>
      <w:r>
        <w:rPr>
          <w:rFonts w:ascii="Arial" w:cs="Arial" w:eastAsia="Arial" w:hAnsi="Arial"/>
          <w:sz w:val="18"/>
          <w:szCs w:val="18"/>
          <w:color w:val="auto"/>
        </w:rPr>
        <w:t>11.0%</w:t>
      </w:r>
      <w:r>
        <w:rPr>
          <w:rFonts w:ascii="Arial" w:cs="Arial" w:eastAsia="Arial" w:hAnsi="Arial"/>
          <w:sz w:val="30"/>
          <w:szCs w:val="30"/>
          <w:color w:val="auto"/>
          <w:vertAlign w:val="superscript"/>
        </w:rPr>
        <w:t>(4)</w:t>
      </w:r>
      <w:r>
        <w:rPr>
          <w:sz w:val="20"/>
          <w:szCs w:val="20"/>
          <w:color w:val="auto"/>
        </w:rPr>
        <w:tab/>
      </w:r>
      <w:r>
        <w:rPr>
          <w:rFonts w:ascii="Arial" w:cs="Arial" w:eastAsia="Arial" w:hAnsi="Arial"/>
          <w:sz w:val="15"/>
          <w:szCs w:val="15"/>
          <w:color w:val="auto"/>
        </w:rPr>
        <w:t>9.7%</w:t>
      </w:r>
      <w:r>
        <w:rPr>
          <w:rFonts w:ascii="Arial" w:cs="Arial" w:eastAsia="Arial" w:hAnsi="Arial"/>
          <w:sz w:val="24"/>
          <w:szCs w:val="24"/>
          <w:color w:val="auto"/>
          <w:vertAlign w:val="superscript"/>
        </w:rPr>
        <w:t>(4)</w:t>
      </w:r>
    </w:p>
    <w:p>
      <w:pPr>
        <w:spacing w:after="0" w:line="83" w:lineRule="exact"/>
        <w:rPr>
          <w:sz w:val="20"/>
          <w:szCs w:val="20"/>
          <w:color w:val="auto"/>
        </w:rPr>
      </w:pPr>
    </w:p>
    <w:p>
      <w:pPr>
        <w:sectPr>
          <w:pgSz w:w="11900" w:h="16838" w:orient="portrait"/>
          <w:cols w:equalWidth="0" w:num="2">
            <w:col w:w="7660" w:space="720"/>
            <w:col w:w="3040"/>
          </w:cols>
          <w:pgMar w:left="240" w:top="904" w:right="239" w:bottom="586" w:gutter="0" w:footer="0" w:header="0"/>
          <w:type w:val="continuous"/>
        </w:sectPr>
      </w:pPr>
    </w:p>
    <w:tbl>
      <w:tblPr>
        <w:tblLayout w:type="fixed"/>
        <w:tblInd w:w="460" w:type="dxa"/>
        <w:tblCellMar>
          <w:top w:w="0" w:type="dxa"/>
          <w:left w:w="0" w:type="dxa"/>
          <w:bottom w:w="0" w:type="dxa"/>
          <w:right w:w="0" w:type="dxa"/>
        </w:tblCellMar>
      </w:tblPr>
      <w:tr>
        <w:trPr>
          <w:trHeight w:val="300"/>
        </w:trPr>
        <w:tc>
          <w:tcPr>
            <w:tcW w:w="4920" w:type="dxa"/>
            <w:vAlign w:val="bottom"/>
            <w:shd w:val="clear" w:color="auto" w:fill="CCEEFF"/>
          </w:tcPr>
          <w:p>
            <w:pPr>
              <w:spacing w:after="0" w:line="299" w:lineRule="exact"/>
              <w:rPr>
                <w:sz w:val="20"/>
                <w:szCs w:val="20"/>
                <w:color w:val="auto"/>
              </w:rPr>
            </w:pPr>
            <w:r>
              <w:rPr>
                <w:rFonts w:ascii="Arial" w:cs="Arial" w:eastAsia="Arial" w:hAnsi="Arial"/>
                <w:sz w:val="18"/>
                <w:szCs w:val="18"/>
                <w:color w:val="auto"/>
              </w:rPr>
              <w:t>Expenses without incentive fees</w:t>
            </w:r>
            <w:r>
              <w:rPr>
                <w:rFonts w:ascii="Arial" w:cs="Arial" w:eastAsia="Arial" w:hAnsi="Arial"/>
                <w:sz w:val="30"/>
                <w:szCs w:val="30"/>
                <w:color w:val="auto"/>
                <w:vertAlign w:val="superscript"/>
              </w:rPr>
              <w:t>(5)</w:t>
            </w:r>
          </w:p>
        </w:tc>
        <w:tc>
          <w:tcPr>
            <w:tcW w:w="16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2"/>
              <w:spacing w:after="0" w:line="299" w:lineRule="exact"/>
              <w:rPr>
                <w:sz w:val="20"/>
                <w:szCs w:val="20"/>
                <w:color w:val="auto"/>
              </w:rPr>
            </w:pPr>
            <w:r>
              <w:rPr>
                <w:rFonts w:ascii="Arial" w:cs="Arial" w:eastAsia="Arial" w:hAnsi="Arial"/>
                <w:sz w:val="18"/>
                <w:szCs w:val="18"/>
                <w:color w:val="auto"/>
              </w:rPr>
              <w:t>11.3%</w:t>
            </w:r>
            <w:r>
              <w:rPr>
                <w:rFonts w:ascii="Arial" w:cs="Arial" w:eastAsia="Arial" w:hAnsi="Arial"/>
                <w:sz w:val="30"/>
                <w:szCs w:val="30"/>
                <w:color w:val="auto"/>
                <w:vertAlign w:val="superscript"/>
              </w:rPr>
              <w:t>(4)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spacing w:after="0" w:line="299" w:lineRule="exact"/>
              <w:rPr>
                <w:sz w:val="20"/>
                <w:szCs w:val="20"/>
                <w:color w:val="auto"/>
              </w:rPr>
            </w:pPr>
            <w:r>
              <w:rPr>
                <w:rFonts w:ascii="Arial" w:cs="Arial" w:eastAsia="Arial" w:hAnsi="Arial"/>
                <w:sz w:val="18"/>
                <w:szCs w:val="18"/>
                <w:color w:val="auto"/>
              </w:rPr>
              <w:t>9.9%</w:t>
            </w:r>
            <w:r>
              <w:rPr>
                <w:rFonts w:ascii="Arial" w:cs="Arial" w:eastAsia="Arial" w:hAnsi="Arial"/>
                <w:sz w:val="30"/>
                <w:szCs w:val="30"/>
                <w:color w:val="auto"/>
                <w:vertAlign w:val="superscript"/>
              </w:rPr>
              <w:t>(4)</w:t>
            </w:r>
          </w:p>
        </w:tc>
        <w:tc>
          <w:tcPr>
            <w:tcW w:w="0" w:type="dxa"/>
            <w:vAlign w:val="bottom"/>
          </w:tcPr>
          <w:p>
            <w:pPr>
              <w:spacing w:after="0"/>
              <w:rPr>
                <w:sz w:val="1"/>
                <w:szCs w:val="1"/>
                <w:color w:val="auto"/>
              </w:rPr>
            </w:pPr>
          </w:p>
        </w:tc>
      </w:tr>
      <w:tr>
        <w:trPr>
          <w:trHeight w:val="270"/>
        </w:trPr>
        <w:tc>
          <w:tcPr>
            <w:tcW w:w="4920" w:type="dxa"/>
            <w:vAlign w:val="bottom"/>
          </w:tcPr>
          <w:p>
            <w:pPr>
              <w:spacing w:after="0" w:line="269" w:lineRule="exact"/>
              <w:rPr>
                <w:sz w:val="20"/>
                <w:szCs w:val="20"/>
                <w:color w:val="auto"/>
              </w:rPr>
            </w:pPr>
            <w:r>
              <w:rPr>
                <w:rFonts w:ascii="Arial" w:cs="Arial" w:eastAsia="Arial" w:hAnsi="Arial"/>
                <w:sz w:val="18"/>
                <w:szCs w:val="18"/>
                <w:color w:val="auto"/>
              </w:rPr>
              <w:t>Incentive fees</w:t>
            </w:r>
            <w:r>
              <w:rPr>
                <w:rFonts w:ascii="Arial" w:cs="Arial" w:eastAsia="Arial" w:hAnsi="Arial"/>
                <w:sz w:val="30"/>
                <w:szCs w:val="30"/>
                <w:color w:val="auto"/>
                <w:vertAlign w:val="superscript"/>
              </w:rPr>
              <w:t>(5)</w:t>
            </w:r>
          </w:p>
        </w:tc>
        <w:tc>
          <w:tcPr>
            <w:tcW w:w="1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80" w:type="dxa"/>
            <w:vAlign w:val="bottom"/>
            <w:gridSpan w:val="2"/>
          </w:tcPr>
          <w:p>
            <w:pPr>
              <w:jc w:val="right"/>
              <w:ind w:right="12"/>
              <w:spacing w:after="0" w:line="269" w:lineRule="exact"/>
              <w:rPr>
                <w:sz w:val="20"/>
                <w:szCs w:val="20"/>
                <w:color w:val="auto"/>
              </w:rPr>
            </w:pPr>
            <w:r>
              <w:rPr>
                <w:rFonts w:ascii="Arial" w:cs="Arial" w:eastAsia="Arial" w:hAnsi="Arial"/>
                <w:sz w:val="18"/>
                <w:szCs w:val="18"/>
                <w:color w:val="auto"/>
              </w:rPr>
              <w:t>5.2%</w:t>
            </w:r>
            <w:r>
              <w:rPr>
                <w:rFonts w:ascii="Arial" w:cs="Arial" w:eastAsia="Arial" w:hAnsi="Arial"/>
                <w:sz w:val="30"/>
                <w:szCs w:val="30"/>
                <w:color w:val="auto"/>
                <w:vertAlign w:val="superscript"/>
              </w:rPr>
              <w:t>(4)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gridSpan w:val="2"/>
          </w:tcPr>
          <w:p>
            <w:pPr>
              <w:jc w:val="right"/>
              <w:spacing w:after="0" w:line="269" w:lineRule="exact"/>
              <w:rPr>
                <w:sz w:val="20"/>
                <w:szCs w:val="20"/>
                <w:color w:val="auto"/>
              </w:rPr>
            </w:pPr>
            <w:r>
              <w:rPr>
                <w:rFonts w:ascii="Arial" w:cs="Arial" w:eastAsia="Arial" w:hAnsi="Arial"/>
                <w:sz w:val="18"/>
                <w:szCs w:val="18"/>
                <w:color w:val="auto"/>
              </w:rPr>
              <w:t>2.3%</w:t>
            </w:r>
            <w:r>
              <w:rPr>
                <w:rFonts w:ascii="Arial" w:cs="Arial" w:eastAsia="Arial" w:hAnsi="Arial"/>
                <w:sz w:val="30"/>
                <w:szCs w:val="30"/>
                <w:color w:val="auto"/>
                <w:vertAlign w:val="superscript"/>
              </w:rPr>
              <w:t>(4)</w:t>
            </w:r>
          </w:p>
        </w:tc>
        <w:tc>
          <w:tcPr>
            <w:tcW w:w="0" w:type="dxa"/>
            <w:vAlign w:val="bottom"/>
          </w:tcPr>
          <w:p>
            <w:pPr>
              <w:spacing w:after="0"/>
              <w:rPr>
                <w:sz w:val="1"/>
                <w:szCs w:val="1"/>
                <w:color w:val="auto"/>
              </w:rPr>
            </w:pPr>
          </w:p>
        </w:tc>
      </w:tr>
      <w:tr>
        <w:trPr>
          <w:trHeight w:val="264"/>
        </w:trPr>
        <w:tc>
          <w:tcPr>
            <w:tcW w:w="4920" w:type="dxa"/>
            <w:vAlign w:val="bottom"/>
            <w:tcBorders>
              <w:top w:val="single" w:sz="8" w:color="CCEEFF"/>
              <w:bottom w:val="single" w:sz="8" w:color="CCEEFF"/>
            </w:tcBorders>
            <w:shd w:val="clear" w:color="auto" w:fill="CCEEFF"/>
          </w:tcPr>
          <w:p>
            <w:pPr>
              <w:spacing w:after="0" w:line="264" w:lineRule="exact"/>
              <w:rPr>
                <w:sz w:val="20"/>
                <w:szCs w:val="20"/>
                <w:color w:val="auto"/>
              </w:rPr>
            </w:pPr>
            <w:r>
              <w:rPr>
                <w:rFonts w:ascii="Arial" w:cs="Arial" w:eastAsia="Arial" w:hAnsi="Arial"/>
                <w:sz w:val="18"/>
                <w:szCs w:val="18"/>
                <w:color w:val="auto"/>
              </w:rPr>
              <w:t>Net expenses</w:t>
            </w:r>
            <w:r>
              <w:rPr>
                <w:rFonts w:ascii="Arial" w:cs="Arial" w:eastAsia="Arial" w:hAnsi="Arial"/>
                <w:sz w:val="30"/>
                <w:szCs w:val="30"/>
                <w:color w:val="auto"/>
                <w:vertAlign w:val="superscript"/>
              </w:rPr>
              <w:t>(5)</w:t>
            </w:r>
          </w:p>
        </w:tc>
        <w:tc>
          <w:tcPr>
            <w:tcW w:w="166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Borders>
              <w:top w:val="single" w:sz="8" w:color="CCEEFF"/>
              <w:bottom w:val="single" w:sz="8" w:color="CCEEFF"/>
            </w:tcBorders>
            <w:shd w:val="clear" w:color="auto" w:fill="CCEEFF"/>
          </w:tcPr>
          <w:p>
            <w:pPr>
              <w:jc w:val="right"/>
              <w:ind w:right="12"/>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Borders>
              <w:top w:val="single" w:sz="8" w:color="CCEEFF"/>
              <w:bottom w:val="single" w:sz="8" w:color="CCEEFF"/>
            </w:tcBorders>
            <w:shd w:val="clear" w:color="auto" w:fill="CCEEFF"/>
          </w:tcPr>
          <w:p>
            <w:pPr>
              <w:jc w:val="right"/>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line="250" w:lineRule="exact"/>
              <w:rPr>
                <w:sz w:val="20"/>
                <w:szCs w:val="20"/>
                <w:color w:val="auto"/>
              </w:rPr>
            </w:pPr>
            <w:r>
              <w:rPr>
                <w:rFonts w:ascii="Arial" w:cs="Arial" w:eastAsia="Arial" w:hAnsi="Arial"/>
                <w:sz w:val="17"/>
                <w:szCs w:val="17"/>
                <w:color w:val="auto"/>
              </w:rPr>
              <w:t>Net investment income with incentive fees</w:t>
            </w:r>
            <w:r>
              <w:rPr>
                <w:rFonts w:ascii="Arial" w:cs="Arial" w:eastAsia="Arial" w:hAnsi="Arial"/>
                <w:sz w:val="28"/>
                <w:szCs w:val="28"/>
                <w:color w:val="auto"/>
                <w:vertAlign w:val="superscript"/>
              </w:rPr>
              <w:t>(5)</w:t>
            </w:r>
          </w:p>
        </w:tc>
        <w:tc>
          <w:tcPr>
            <w:tcW w:w="1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gridSpan w:val="2"/>
          </w:tcPr>
          <w:p>
            <w:pPr>
              <w:jc w:val="right"/>
              <w:ind w:right="12"/>
              <w:spacing w:after="0" w:line="210" w:lineRule="exact"/>
              <w:rPr>
                <w:sz w:val="20"/>
                <w:szCs w:val="20"/>
                <w:color w:val="auto"/>
              </w:rPr>
            </w:pPr>
            <w:r>
              <w:rPr>
                <w:rFonts w:ascii="Arial" w:cs="Arial" w:eastAsia="Arial" w:hAnsi="Arial"/>
                <w:sz w:val="15"/>
                <w:szCs w:val="15"/>
                <w:color w:val="auto"/>
              </w:rPr>
              <w:t>8.6%</w:t>
            </w:r>
            <w:r>
              <w:rPr>
                <w:rFonts w:ascii="Arial" w:cs="Arial" w:eastAsia="Arial" w:hAnsi="Arial"/>
                <w:sz w:val="24"/>
                <w:szCs w:val="24"/>
                <w:color w:val="auto"/>
                <w:vertAlign w:val="superscript"/>
              </w:rPr>
              <w:t>(4)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spacing w:after="0" w:line="210" w:lineRule="exact"/>
              <w:rPr>
                <w:sz w:val="20"/>
                <w:szCs w:val="20"/>
                <w:color w:val="auto"/>
              </w:rPr>
            </w:pPr>
            <w:r>
              <w:rPr>
                <w:rFonts w:ascii="Arial" w:cs="Arial" w:eastAsia="Arial" w:hAnsi="Arial"/>
                <w:sz w:val="15"/>
                <w:szCs w:val="15"/>
                <w:color w:val="auto"/>
              </w:rPr>
              <w:t>9.4%</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the end of the period</w:t>
            </w:r>
          </w:p>
        </w:tc>
        <w:tc>
          <w:tcPr>
            <w:tcW w:w="2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Average net asset value</w:t>
            </w:r>
          </w:p>
        </w:tc>
        <w:tc>
          <w:tcPr>
            <w:tcW w:w="2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149,272</w:t>
            </w:r>
          </w:p>
        </w:tc>
        <w:tc>
          <w:tcPr>
            <w:tcW w:w="40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134,369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2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gridSpan w:val="2"/>
          </w:tcPr>
          <w:p>
            <w:pPr>
              <w:jc w:val="right"/>
              <w:ind w:right="13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jc w:val="both"/>
        <w:ind w:left="340" w:hanging="332"/>
        <w:spacing w:after="0" w:line="28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six months ended June 30, 2019 and 2018, the Advisor waived $1.8 million and $0.2 million, respectively, of performance based incentive fee.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July 2, 2019, the Company funded a $5.0 million loan to a new portfolio company, LogicBio Therapeutics, Inc., a genome editing company focused on developing medicines to durably treat rare diseases.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86"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qualify and maintain qualification as a regulated investment company, or RIC, and as a business development company, or BDC;</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Small Business Credit Availability Act, or SBCAA, on our operations and the BDC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fund unfunded commitments, including revolver commitments.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2018, and elsewhere in this quarterly report on Form 10-Q.</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specialty finance company that lends to and invests in development-stage companies in the technology, life science, healthcare information and services and cleantech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June 30, 2019, 100%, or $242.3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On March 23, 2018, the SBCAA amended Section 61(a) of the 1940 Act to add Section 61(a)(2) which enables BDCs to reduce their asset coverage requirements from 200% to 150%. This provision permits a BDC to double the maximum amount of leverage that it is permitted to incur.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Portfolio composition and investment activity</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8100" w:type="dxa"/>
            <w:vAlign w:val="bottom"/>
            <w:gridSpan w:val="9"/>
          </w:tcPr>
          <w:p>
            <w:pPr>
              <w:ind w:left="340"/>
              <w:spacing w:after="0"/>
              <w:rPr>
                <w:sz w:val="20"/>
                <w:szCs w:val="20"/>
                <w:color w:val="auto"/>
              </w:rPr>
            </w:pPr>
            <w:r>
              <w:rPr>
                <w:rFonts w:ascii="Arial" w:cs="Arial" w:eastAsia="Arial" w:hAnsi="Arial"/>
                <w:sz w:val="18"/>
                <w:szCs w:val="18"/>
                <w:color w:val="auto"/>
                <w:w w:val="91"/>
              </w:rPr>
              <w:t>The following table shows our portfolio by type of investment as of June 30, 2019 and December 31, 2018:</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46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June 30, 2019</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8"/>
                <w:szCs w:val="18"/>
                <w:b w:val="1"/>
                <w:bCs w:val="1"/>
                <w:color w:val="auto"/>
                <w:w w:val="87"/>
              </w:rPr>
              <w:t>December 31, 2018</w:t>
            </w:r>
          </w:p>
        </w:tc>
      </w:tr>
      <w:tr>
        <w:trPr>
          <w:trHeight w:val="191"/>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5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16"/>
        </w:trPr>
        <w:tc>
          <w:tcPr>
            <w:tcW w:w="46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of Total</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of Total</w:t>
            </w:r>
          </w:p>
        </w:tc>
      </w:tr>
      <w:tr>
        <w:trPr>
          <w:trHeight w:val="234"/>
        </w:trPr>
        <w:tc>
          <w:tcPr>
            <w:tcW w:w="466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Portfolio</w:t>
            </w:r>
          </w:p>
        </w:tc>
        <w:tc>
          <w:tcPr>
            <w:tcW w:w="1300" w:type="dxa"/>
            <w:vAlign w:val="bottom"/>
            <w:gridSpan w:val="4"/>
          </w:tcPr>
          <w:p>
            <w:pPr>
              <w:jc w:val="right"/>
              <w:ind w:right="245"/>
              <w:spacing w:after="0"/>
              <w:rPr>
                <w:sz w:val="20"/>
                <w:szCs w:val="20"/>
                <w:color w:val="auto"/>
              </w:rPr>
            </w:pPr>
            <w:r>
              <w:rPr>
                <w:rFonts w:ascii="Arial" w:cs="Arial" w:eastAsia="Arial" w:hAnsi="Arial"/>
                <w:sz w:val="18"/>
                <w:szCs w:val="18"/>
                <w:b w:val="1"/>
                <w:bCs w:val="1"/>
                <w:color w:val="auto"/>
                <w:w w:val="91"/>
              </w:rPr>
              <w:t>Investments</w:t>
            </w: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6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w w:val="96"/>
              </w:rPr>
              <w:t>(Dollars in thousands)</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242,287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3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216,401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Warrants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9,615</w:t>
            </w:r>
          </w:p>
        </w:tc>
        <w:tc>
          <w:tcPr>
            <w:tcW w:w="2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9,324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3,186</w:t>
            </w:r>
          </w:p>
        </w:tc>
        <w:tc>
          <w:tcPr>
            <w:tcW w:w="2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13,471</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274,759</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249,441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gridSpan w:val="12"/>
          </w:tcPr>
          <w:p>
            <w:pPr>
              <w:ind w:left="340"/>
              <w:spacing w:after="0"/>
              <w:rPr>
                <w:sz w:val="20"/>
                <w:szCs w:val="20"/>
                <w:color w:val="auto"/>
              </w:rPr>
            </w:pPr>
            <w:r>
              <w:rPr>
                <w:rFonts w:ascii="Arial" w:cs="Arial" w:eastAsia="Arial" w:hAnsi="Arial"/>
                <w:sz w:val="18"/>
                <w:szCs w:val="18"/>
                <w:color w:val="auto"/>
                <w:w w:val="93"/>
              </w:rPr>
              <w:t>The following table shows total portfolio investment activity as of and for the three and six months ended June 30, 2019 and 2018: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For the Six Months Ended</w:t>
            </w:r>
          </w:p>
        </w:tc>
      </w:tr>
      <w:tr>
        <w:trPr>
          <w:trHeight w:val="234"/>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266,152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211,905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248,441</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222,099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debt investments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55,055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93,137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40,525</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new debt investments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38,046</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controlled affiliate investments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(9,656)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(13,977)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(45,548)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1,748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equity</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Dividend income from controlled affiliate investment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controlled affiliate investment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(3,447)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portfolio</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The following table shows our debt investments by industry sector as of June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June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4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of Total</w:t>
            </w:r>
          </w:p>
        </w:tc>
        <w:tc>
          <w:tcPr>
            <w:tcW w:w="60" w:type="dxa"/>
            <w:vAlign w:val="bottom"/>
          </w:tcPr>
          <w:p>
            <w:pPr>
              <w:spacing w:after="0"/>
              <w:rPr>
                <w:sz w:val="18"/>
                <w:szCs w:val="18"/>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4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34,524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19,369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44,548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46,162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21.3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10,539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28,831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20,491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19,550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9,835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14,160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8,390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8,372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Management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Semiconductors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3,413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Healthcare Information and Services Software</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30,045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23,482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10.9</w:t>
            </w: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largest debt investments in our portfolio may vary from period to period as new debt investments are originated and existing debt investments are repaid. Our five largest debt investments represented 29% and 32% of total debt investments outstanding as of June 30, 2019 and December 31, 2018, respectively. No single debt investment represented more than 10% of our total debt investments as of June 30, 2019 and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June 30, 2019 and December 31, 2018, our debt investments had a weighted average credit rating of 3.1. The following table shows the classification of our debt investment portfolio by credit rating as of June 30, 2019 and December 31,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2"/>
              </w:rPr>
              <w:t>June 30, 2019</w:t>
            </w: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8"/>
                <w:szCs w:val="18"/>
                <w:b w:val="1"/>
                <w:bCs w:val="1"/>
                <w:color w:val="auto"/>
                <w:w w:val="88"/>
              </w:rPr>
              <w:t>December 31, 2018</w:t>
            </w:r>
          </w:p>
        </w:tc>
      </w:tr>
      <w:tr>
        <w:trPr>
          <w:trHeight w:val="191"/>
        </w:trPr>
        <w:tc>
          <w:tcPr>
            <w:tcW w:w="4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80" w:type="dxa"/>
            <w:vAlign w:val="bottom"/>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Debt</w:t>
            </w:r>
          </w:p>
        </w:tc>
        <w:tc>
          <w:tcPr>
            <w:tcW w:w="108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16"/>
        </w:trPr>
        <w:tc>
          <w:tcPr>
            <w:tcW w:w="4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Investments</w:t>
            </w: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of Debt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Investments</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of Debt</w:t>
            </w:r>
          </w:p>
        </w:tc>
      </w:tr>
      <w:tr>
        <w:trPr>
          <w:trHeight w:val="234"/>
        </w:trPr>
        <w:tc>
          <w:tcPr>
            <w:tcW w:w="44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at Fair Value</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40" w:type="dxa"/>
            <w:vAlign w:val="bottom"/>
          </w:tcPr>
          <w:p>
            <w:pPr>
              <w:spacing w:after="0"/>
              <w:rPr>
                <w:sz w:val="20"/>
                <w:szCs w:val="20"/>
                <w:color w:val="auto"/>
              </w:rPr>
            </w:pP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at Fair Value</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r>
      <w:tr>
        <w:trPr>
          <w:trHeight w:val="210"/>
        </w:trPr>
        <w:tc>
          <w:tcPr>
            <w:tcW w:w="4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top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w w:val="99"/>
              </w:rPr>
              <w:t>(Dollars in thousands)</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60" w:type="dxa"/>
            <w:vAlign w:val="bottom"/>
          </w:tcPr>
          <w:p>
            <w:pPr>
              <w:jc w:val="right"/>
              <w:ind w:right="4030"/>
              <w:spacing w:after="0"/>
              <w:rPr>
                <w:sz w:val="20"/>
                <w:szCs w:val="20"/>
                <w:color w:val="auto"/>
              </w:rPr>
            </w:pPr>
            <w:r>
              <w:rPr>
                <w:rFonts w:ascii="Arial" w:cs="Arial" w:eastAsia="Arial" w:hAnsi="Arial"/>
                <w:sz w:val="18"/>
                <w:szCs w:val="18"/>
                <w:color w:val="auto"/>
              </w:rPr>
              <w:t>4</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29,114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41,677</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4460" w:type="dxa"/>
            <w:vAlign w:val="bottom"/>
            <w:shd w:val="clear" w:color="auto" w:fill="CCEEFF"/>
          </w:tcPr>
          <w:p>
            <w:pPr>
              <w:jc w:val="right"/>
              <w:ind w:right="4030"/>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201,645</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r>
      <w:tr>
        <w:trPr>
          <w:trHeight w:val="216"/>
        </w:trPr>
        <w:tc>
          <w:tcPr>
            <w:tcW w:w="4460" w:type="dxa"/>
            <w:vAlign w:val="bottom"/>
          </w:tcPr>
          <w:p>
            <w:pPr>
              <w:jc w:val="right"/>
              <w:ind w:right="4030"/>
              <w:spacing w:after="0"/>
              <w:rPr>
                <w:sz w:val="20"/>
                <w:szCs w:val="20"/>
                <w:color w:val="auto"/>
              </w:rPr>
            </w:pPr>
            <w:r>
              <w:rPr>
                <w:rFonts w:ascii="Arial" w:cs="Arial" w:eastAsia="Arial" w:hAnsi="Arial"/>
                <w:sz w:val="18"/>
                <w:szCs w:val="18"/>
                <w:color w:val="auto"/>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10,028</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19,285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r>
      <w:tr>
        <w:trPr>
          <w:trHeight w:val="230"/>
        </w:trPr>
        <w:tc>
          <w:tcPr>
            <w:tcW w:w="4460" w:type="dxa"/>
            <w:vAlign w:val="bottom"/>
            <w:shd w:val="clear" w:color="auto" w:fill="CCEEFF"/>
          </w:tcPr>
          <w:p>
            <w:pPr>
              <w:jc w:val="right"/>
              <w:ind w:right="403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242,287</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34</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216,401</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June 30, 2019, there was one debt investment with an internal credit rating of 1, with a cost of $3.6 million and a fair value of $1.5 million. As of December 31, 2018, there were no debt investments with an internal credit rating of 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Horizon Secured Loan Fund I LLC</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June 1, 2018, we and Arena Sunset SPV, LLC, or Arena, formed a joint venture, Horizon Secured Loan Fund I, or HSLFI, to make investments, either directly or indirectly through subsidiaries, primarily in the form of secured loans to development-stage companies in the technology, life science, healthcare information and services and cleantech industries. HSLFI was formed as a Delaware limited liability company and is not consolidated by either us or Arena for financial reporting purposes. Investments held by HSLFI are measured at fair value. As of June 30, 2019 and December 31, 2018, HSLFI had total assets of $41.0 million and $26.4 million, respectively. HSLFI’s portfolio consisted of debt investments in six and four portfolio companies as of June 30, 2019 and December 31, 2018, respectively. As of June 30, 2019, the largest investment in a single portfolio company in the HSLFI’s portfolio in aggregate principal amount was $11.3 million and the five largest investments in portfolio companies in the HSLFI totaled $35.5 million. As of December 31, 2018, the largest investment in a single portfolio company in the HSLFI’s portfolio in aggregate principal amount was $8.3 million and the four largest investments in portfolio companies in the HSLFI totaled $25.0 million. As of June 30, 2019 and December 31, 2018, HSLFI had no investments on non-accrual status. HSLFI invests in portfolio companies in the same industries in which we may directly invest.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invest cash or securities in portfolio companies in HSLFI in exchange for limited liability company equity interests in HSLFI. As of June 30, 2019 and December 31, 2018, we and Arena each owned 50.0% of the equity interests of HSLFI. We had an original commitment to fund $25.0 million of equity interests in HSLFI. As of June 30, 2019 and December 31, 2018, $11.7 million was unfunded. Our investment in HSLFI consisted of an equity contribution of $13.3 million as of June 30, 2019 and December 31, 2018. During the three and six months ended June 30, 2019, HSLFI distributed $0.6 million and $1.1 million, respectively. For the period June 1, 2018 (the commencement of HSLFI’s operations) through June 30, 2018, there were no distributions from HSLFI.</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Funding I, LLC, or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$14.1 million in advances made by the Noteholders as of June 30, 2019 at an interest rate of 5.13%. There were no advances made by the Noteholders as of December 31, 2018.</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firstLine="324"/>
        <w:spacing w:after="0" w:line="277" w:lineRule="auto"/>
        <w:rPr>
          <w:sz w:val="20"/>
          <w:szCs w:val="20"/>
          <w:color w:val="auto"/>
        </w:rPr>
      </w:pPr>
      <w:r>
        <w:rPr>
          <w:rFonts w:ascii="Arial" w:cs="Arial" w:eastAsia="Arial" w:hAnsi="Arial"/>
          <w:sz w:val="18"/>
          <w:szCs w:val="18"/>
          <w:color w:val="auto"/>
        </w:rPr>
        <w:t>The following table shows a summary of HSLFI’s investment portfolio for the three and six months ended June 30, 2019 and the period June 1, 2018 through June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For the three</w:t>
            </w:r>
          </w:p>
        </w:tc>
        <w:tc>
          <w:tcPr>
            <w:tcW w:w="160" w:type="dxa"/>
            <w:vAlign w:val="bottom"/>
          </w:tcPr>
          <w:p>
            <w:pPr>
              <w:spacing w:after="0"/>
              <w:rPr>
                <w:sz w:val="18"/>
                <w:szCs w:val="18"/>
                <w:color w:val="auto"/>
              </w:rPr>
            </w:pPr>
          </w:p>
        </w:tc>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June 1, 2018</w:t>
            </w:r>
          </w:p>
        </w:tc>
      </w:tr>
      <w:tr>
        <w:trPr>
          <w:trHeight w:val="230"/>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months ended,</w:t>
            </w:r>
          </w:p>
        </w:tc>
        <w:tc>
          <w:tcPr>
            <w:tcW w:w="15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months ended,</w:t>
            </w:r>
          </w:p>
        </w:tc>
        <w:tc>
          <w:tcPr>
            <w:tcW w:w="10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5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June 30, 2019</w:t>
            </w:r>
          </w:p>
        </w:tc>
        <w:tc>
          <w:tcPr>
            <w:tcW w:w="160" w:type="dxa"/>
            <w:vAlign w:val="bottom"/>
          </w:tcPr>
          <w:p>
            <w:pPr>
              <w:spacing w:after="0"/>
              <w:rPr>
                <w:sz w:val="20"/>
                <w:szCs w:val="20"/>
                <w:color w:val="auto"/>
              </w:rPr>
            </w:pPr>
          </w:p>
        </w:tc>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2018</w:t>
            </w:r>
          </w:p>
        </w:tc>
      </w:tr>
      <w:tr>
        <w:trPr>
          <w:trHeight w:val="210"/>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38,896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38,896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8,137</w:t>
            </w:r>
          </w:p>
        </w:tc>
      </w:tr>
      <w:tr>
        <w:trPr>
          <w:trHeight w:val="257"/>
        </w:trPr>
        <w:tc>
          <w:tcPr>
            <w:tcW w:w="5840" w:type="dxa"/>
            <w:vAlign w:val="bottom"/>
          </w:tcPr>
          <w:p>
            <w:pPr>
              <w:spacing w:after="0" w:line="256" w:lineRule="exact"/>
              <w:rPr>
                <w:sz w:val="20"/>
                <w:szCs w:val="20"/>
                <w:color w:val="auto"/>
              </w:rPr>
            </w:pPr>
            <w:r>
              <w:rPr>
                <w:rFonts w:ascii="Arial" w:cs="Arial" w:eastAsia="Arial" w:hAnsi="Arial"/>
                <w:sz w:val="18"/>
                <w:szCs w:val="18"/>
                <w:color w:val="auto"/>
              </w:rPr>
              <w:t>Dollar-weighted annualized yield on average debt investments</w:t>
            </w:r>
            <w:r>
              <w:rPr>
                <w:rFonts w:ascii="Arial" w:cs="Arial" w:eastAsia="Arial" w:hAnsi="Arial"/>
                <w:sz w:val="29"/>
                <w:szCs w:val="29"/>
                <w:color w:val="auto"/>
                <w:vertAlign w:val="superscript"/>
              </w:rPr>
              <w:t>(1)</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HSLFI</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11,158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11,158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jc w:val="both"/>
        <w:ind w:left="34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HSLFI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HSLFI’s total portfolio investment activity as of and for the three and six months ended June 30, 2019 and the period June 1, 2018 through June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For the period</w:t>
            </w:r>
          </w:p>
        </w:tc>
      </w:tr>
      <w:tr>
        <w:trPr>
          <w:trHeight w:val="216"/>
        </w:trPr>
        <w:tc>
          <w:tcPr>
            <w:tcW w:w="5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the three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 the six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June 1, 2018</w:t>
            </w:r>
          </w:p>
        </w:tc>
      </w:tr>
      <w:tr>
        <w:trPr>
          <w:trHeight w:val="230"/>
        </w:trPr>
        <w:tc>
          <w:tcPr>
            <w:tcW w:w="5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months ended</w:t>
            </w:r>
          </w:p>
        </w:tc>
        <w:tc>
          <w:tcPr>
            <w:tcW w:w="100" w:type="dxa"/>
            <w:vAlign w:val="bottom"/>
          </w:tcPr>
          <w:p>
            <w:pPr>
              <w:spacing w:after="0"/>
              <w:rPr>
                <w:sz w:val="19"/>
                <w:szCs w:val="19"/>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months 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5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June 30, 2018</w:t>
            </w:r>
          </w:p>
        </w:tc>
      </w:tr>
      <w:tr>
        <w:trPr>
          <w:trHeight w:val="210"/>
        </w:trPr>
        <w:tc>
          <w:tcPr>
            <w:tcW w:w="5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New debt investments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14,227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8,250</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Ending portfolio</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HSLFI’s investments as of June 30,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r>
      <w:tr>
        <w:trPr>
          <w:trHeight w:val="202"/>
        </w:trPr>
        <w:tc>
          <w:tcPr>
            <w:tcW w:w="2560" w:type="dxa"/>
            <w:vAlign w:val="bottom"/>
            <w:tcBorders>
              <w:bottom w:val="single" w:sz="8" w:color="auto"/>
            </w:tcBorders>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212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Sector</w:t>
            </w:r>
          </w:p>
        </w:tc>
        <w:tc>
          <w:tcPr>
            <w:tcW w:w="3360" w:type="dxa"/>
            <w:vAlign w:val="bottom"/>
            <w:tcBorders>
              <w:bottom w:val="single" w:sz="8" w:color="auto"/>
            </w:tcBorders>
          </w:tcPr>
          <w:p>
            <w:pPr>
              <w:ind w:left="126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gridSpan w:val="3"/>
          </w:tcPr>
          <w:p>
            <w:pPr>
              <w:ind w:left="20"/>
              <w:spacing w:after="0" w:line="202" w:lineRule="exact"/>
              <w:rPr>
                <w:sz w:val="20"/>
                <w:szCs w:val="20"/>
                <w:color w:val="auto"/>
              </w:rPr>
            </w:pPr>
            <w:r>
              <w:rPr>
                <w:rFonts w:ascii="Arial" w:cs="Arial" w:eastAsia="Arial" w:hAnsi="Arial"/>
                <w:sz w:val="14"/>
                <w:szCs w:val="14"/>
                <w:b w:val="1"/>
                <w:bCs w:val="1"/>
                <w:color w:val="auto"/>
                <w:w w:val="97"/>
              </w:rPr>
              <w:t>Investments</w:t>
            </w:r>
            <w:r>
              <w:rPr>
                <w:rFonts w:ascii="Arial" w:cs="Arial" w:eastAsia="Arial" w:hAnsi="Arial"/>
                <w:sz w:val="23"/>
                <w:szCs w:val="23"/>
                <w:b w:val="1"/>
                <w:bCs w:val="1"/>
                <w:color w:val="auto"/>
                <w:w w:val="97"/>
                <w:vertAlign w:val="superscript"/>
              </w:rPr>
              <w:t>(5)</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3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 Investments — Life science</w:t>
            </w:r>
          </w:p>
        </w:tc>
        <w:tc>
          <w:tcPr>
            <w:tcW w:w="21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(10.07% cash (Libor + 7.63%;</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Celsion Corporation (6)(7)(8)</w:t>
            </w:r>
          </w:p>
        </w:tc>
        <w:tc>
          <w:tcPr>
            <w:tcW w:w="2120" w:type="dxa"/>
            <w:vAlign w:val="bottom"/>
          </w:tcPr>
          <w:p>
            <w:pPr>
              <w:ind w:left="320"/>
              <w:spacing w:after="0"/>
              <w:rPr>
                <w:sz w:val="20"/>
                <w:szCs w:val="20"/>
                <w:color w:val="auto"/>
              </w:rPr>
            </w:pPr>
            <w:r>
              <w:rPr>
                <w:rFonts w:ascii="Arial" w:cs="Arial" w:eastAsia="Arial" w:hAnsi="Arial"/>
                <w:sz w:val="14"/>
                <w:szCs w:val="14"/>
                <w:color w:val="auto"/>
              </w:rPr>
              <w:t>Biotechnology</w:t>
            </w:r>
          </w:p>
        </w:tc>
        <w:tc>
          <w:tcPr>
            <w:tcW w:w="3360" w:type="dxa"/>
            <w:vAlign w:val="bottom"/>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2,500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2,457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2,457</w:t>
            </w:r>
          </w:p>
        </w:tc>
      </w:tr>
      <w:tr>
        <w:trPr>
          <w:trHeight w:val="130"/>
        </w:trPr>
        <w:tc>
          <w:tcPr>
            <w:tcW w:w="2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(10.07% cash (Libor + 7.63%;</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2,457</w:t>
            </w:r>
          </w:p>
        </w:tc>
      </w:tr>
      <w:tr>
        <w:trPr>
          <w:trHeight w:val="130"/>
        </w:trPr>
        <w:tc>
          <w:tcPr>
            <w:tcW w:w="2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(10.00% cash (Libor + 7.50%;</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Encore Dermatology, Inc. (6)(7)</w:t>
            </w:r>
          </w:p>
        </w:tc>
        <w:tc>
          <w:tcPr>
            <w:tcW w:w="2120" w:type="dxa"/>
            <w:vAlign w:val="bottom"/>
          </w:tcPr>
          <w:p>
            <w:pPr>
              <w:ind w:left="320"/>
              <w:spacing w:after="0"/>
              <w:rPr>
                <w:sz w:val="20"/>
                <w:szCs w:val="20"/>
                <w:color w:val="auto"/>
              </w:rPr>
            </w:pPr>
            <w:r>
              <w:rPr>
                <w:rFonts w:ascii="Arial" w:cs="Arial" w:eastAsia="Arial" w:hAnsi="Arial"/>
                <w:sz w:val="14"/>
                <w:szCs w:val="14"/>
                <w:color w:val="auto"/>
              </w:rPr>
              <w:t>Biotechnology</w:t>
            </w:r>
          </w:p>
        </w:tc>
        <w:tc>
          <w:tcPr>
            <w:tcW w:w="3360" w:type="dxa"/>
            <w:vAlign w:val="bottom"/>
          </w:tcPr>
          <w:p>
            <w:pPr>
              <w:ind w:left="820"/>
              <w:spacing w:after="0"/>
              <w:rPr>
                <w:sz w:val="20"/>
                <w:szCs w:val="20"/>
                <w:color w:val="auto"/>
              </w:rPr>
            </w:pPr>
            <w:r>
              <w:rPr>
                <w:rFonts w:ascii="Arial" w:cs="Arial" w:eastAsia="Arial" w:hAnsi="Arial"/>
                <w:sz w:val="14"/>
                <w:szCs w:val="14"/>
                <w:color w:val="auto"/>
              </w:rPr>
              <w:t>Floor 10.00%), 3.00% ETP, Due 4/1/23)</w:t>
            </w:r>
          </w:p>
        </w:tc>
        <w:tc>
          <w:tcPr>
            <w:tcW w:w="22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4,918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4,918</w:t>
            </w:r>
          </w:p>
        </w:tc>
      </w:tr>
      <w:tr>
        <w:trPr>
          <w:trHeight w:val="130"/>
        </w:trPr>
        <w:tc>
          <w:tcPr>
            <w:tcW w:w="2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rPr>
              <w:t>Term Loan (9.00% cash (Libor + 6.50%;</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1"/>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Mustang Bio, Inc. (6)(7)(8)</w:t>
            </w:r>
          </w:p>
        </w:tc>
        <w:tc>
          <w:tcPr>
            <w:tcW w:w="2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Biotechnology</w:t>
            </w: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9.00%), 5.00% ETP, Due 10/1/22)</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4,910</w:t>
            </w:r>
          </w:p>
        </w:tc>
      </w:tr>
      <w:tr>
        <w:trPr>
          <w:trHeight w:val="142"/>
        </w:trPr>
        <w:tc>
          <w:tcPr>
            <w:tcW w:w="2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Debt Investments — Life science</w:t>
            </w:r>
          </w:p>
        </w:tc>
        <w:tc>
          <w:tcPr>
            <w:tcW w:w="212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14,742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14,742</w:t>
            </w:r>
          </w:p>
        </w:tc>
        <w:tc>
          <w:tcPr>
            <w:tcW w:w="100" w:type="dxa"/>
            <w:vAlign w:val="bottom"/>
            <w:tcBorders>
              <w:bottom w:val="single" w:sz="8" w:color="CCEEFF"/>
            </w:tcBorders>
          </w:tcPr>
          <w:p>
            <w:pPr>
              <w:spacing w:after="0"/>
              <w:rPr>
                <w:sz w:val="12"/>
                <w:szCs w:val="12"/>
                <w:color w:val="auto"/>
              </w:rPr>
            </w:pPr>
          </w:p>
        </w:tc>
      </w:tr>
      <w:tr>
        <w:trPr>
          <w:trHeight w:val="142"/>
        </w:trPr>
        <w:tc>
          <w:tcPr>
            <w:tcW w:w="2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Technology</w:t>
            </w:r>
          </w:p>
        </w:tc>
        <w:tc>
          <w:tcPr>
            <w:tcW w:w="21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(12.39% cash (Libor + 9.95%;</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Intelepeer Holdings, Inc. (6)(7)</w:t>
            </w:r>
          </w:p>
        </w:tc>
        <w:tc>
          <w:tcPr>
            <w:tcW w:w="2120" w:type="dxa"/>
            <w:vAlign w:val="bottom"/>
          </w:tcPr>
          <w:p>
            <w:pPr>
              <w:ind w:left="320"/>
              <w:spacing w:after="0"/>
              <w:rPr>
                <w:sz w:val="20"/>
                <w:szCs w:val="20"/>
                <w:color w:val="auto"/>
              </w:rPr>
            </w:pPr>
            <w:r>
              <w:rPr>
                <w:rFonts w:ascii="Arial" w:cs="Arial" w:eastAsia="Arial" w:hAnsi="Arial"/>
                <w:sz w:val="14"/>
                <w:szCs w:val="14"/>
                <w:color w:val="auto"/>
              </w:rPr>
              <w:t>Communications</w:t>
            </w:r>
          </w:p>
        </w:tc>
        <w:tc>
          <w:tcPr>
            <w:tcW w:w="3360" w:type="dxa"/>
            <w:vAlign w:val="bottom"/>
          </w:tcPr>
          <w:p>
            <w:pPr>
              <w:ind w:left="820"/>
              <w:spacing w:after="0"/>
              <w:rPr>
                <w:sz w:val="20"/>
                <w:szCs w:val="20"/>
                <w:color w:val="auto"/>
              </w:rPr>
            </w:pPr>
            <w:r>
              <w:rPr>
                <w:rFonts w:ascii="Arial" w:cs="Arial" w:eastAsia="Arial" w:hAnsi="Arial"/>
                <w:sz w:val="14"/>
                <w:szCs w:val="14"/>
                <w:color w:val="auto"/>
              </w:rPr>
              <w:t>Floor 11.25%), 3.30% ETP, Due 1/1/22)</w:t>
            </w:r>
          </w:p>
        </w:tc>
        <w:tc>
          <w:tcPr>
            <w:tcW w:w="22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3,936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3,936</w:t>
            </w:r>
          </w:p>
        </w:tc>
      </w:tr>
      <w:tr>
        <w:trPr>
          <w:trHeight w:val="130"/>
        </w:trPr>
        <w:tc>
          <w:tcPr>
            <w:tcW w:w="2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(12.39% cash (Libor + 9.95%;</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11.25%), 3.30% ETP, Due 1/1/22)</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3,936</w:t>
            </w:r>
          </w:p>
        </w:tc>
      </w:tr>
      <w:tr>
        <w:trPr>
          <w:trHeight w:val="130"/>
        </w:trPr>
        <w:tc>
          <w:tcPr>
            <w:tcW w:w="2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(12.45% cash (Libor + 9.95%;</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60" w:type="dxa"/>
            <w:vAlign w:val="bottom"/>
          </w:tcPr>
          <w:p>
            <w:pPr>
              <w:ind w:left="820"/>
              <w:spacing w:after="0"/>
              <w:rPr>
                <w:sz w:val="20"/>
                <w:szCs w:val="20"/>
                <w:color w:val="auto"/>
              </w:rPr>
            </w:pPr>
            <w:r>
              <w:rPr>
                <w:rFonts w:ascii="Arial" w:cs="Arial" w:eastAsia="Arial" w:hAnsi="Arial"/>
                <w:sz w:val="14"/>
                <w:szCs w:val="14"/>
                <w:color w:val="auto"/>
                <w:w w:val="98"/>
              </w:rPr>
              <w:t>Floor 12.45%), 2.50% ETP, Due 10/1/22)</w:t>
            </w:r>
          </w:p>
        </w:tc>
        <w:tc>
          <w:tcPr>
            <w:tcW w:w="22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1,227</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1,206</w:t>
            </w:r>
          </w:p>
        </w:tc>
      </w:tr>
      <w:tr>
        <w:trPr>
          <w:trHeight w:val="130"/>
        </w:trPr>
        <w:tc>
          <w:tcPr>
            <w:tcW w:w="2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(10.94% cash (Libor + 8.50%;</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New Signature US, Inc. (6)(7)(9)</w:t>
            </w:r>
          </w:p>
        </w:tc>
        <w:tc>
          <w:tcPr>
            <w:tcW w:w="2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Software</w:t>
            </w: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10.50%), 3.50% ETP, Due 7/1/22)</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8,250</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8,145</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18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28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860" w:type="dxa"/>
            <w:vAlign w:val="bottom"/>
          </w:tcPr>
          <w:p>
            <w:pPr>
              <w:ind w:left="1140"/>
              <w:spacing w:after="0"/>
              <w:rPr>
                <w:sz w:val="20"/>
                <w:szCs w:val="20"/>
                <w:color w:val="auto"/>
              </w:rPr>
            </w:pPr>
            <w:r>
              <w:rPr>
                <w:rFonts w:ascii="Arial" w:cs="Arial" w:eastAsia="Arial" w:hAnsi="Arial"/>
                <w:sz w:val="14"/>
                <w:szCs w:val="14"/>
                <w:b w:val="1"/>
                <w:bCs w:val="1"/>
                <w:color w:val="auto"/>
              </w:rPr>
              <w:t>Sector</w:t>
            </w:r>
          </w:p>
        </w:tc>
        <w:tc>
          <w:tcPr>
            <w:tcW w:w="3460" w:type="dxa"/>
            <w:vAlign w:val="bottom"/>
          </w:tcPr>
          <w:p>
            <w:pPr>
              <w:ind w:left="128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(5)</w:t>
            </w:r>
          </w:p>
        </w:tc>
        <w:tc>
          <w:tcPr>
            <w:tcW w:w="18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460" w:type="dxa"/>
            <w:vAlign w:val="bottom"/>
            <w:shd w:val="clear" w:color="auto" w:fill="CCEEFF"/>
          </w:tcPr>
          <w:p>
            <w:pPr>
              <w:ind w:left="840"/>
              <w:spacing w:after="0" w:line="130" w:lineRule="exact"/>
              <w:rPr>
                <w:sz w:val="20"/>
                <w:szCs w:val="20"/>
                <w:color w:val="auto"/>
              </w:rPr>
            </w:pPr>
            <w:r>
              <w:rPr>
                <w:rFonts w:ascii="Arial" w:cs="Arial" w:eastAsia="Arial" w:hAnsi="Arial"/>
                <w:sz w:val="14"/>
                <w:szCs w:val="14"/>
                <w:color w:val="auto"/>
              </w:rPr>
              <w:t>Term Loan (10.94% cash (Libor + 8.50%;</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34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Floor 10.50%), 3.50% ETP, Due 2/1/23)</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2,955</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Debt Investments — Technology</w:t>
            </w:r>
          </w:p>
        </w:tc>
        <w:tc>
          <w:tcPr>
            <w:tcW w:w="18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20,178</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Debt Investments — Healthcare information</w:t>
            </w:r>
          </w:p>
        </w:tc>
        <w:tc>
          <w:tcPr>
            <w:tcW w:w="1860" w:type="dxa"/>
            <w:vAlign w:val="bottom"/>
            <w:shd w:val="clear" w:color="auto" w:fill="CCEEFF"/>
          </w:tcPr>
          <w:p>
            <w:pPr>
              <w:spacing w:after="0"/>
              <w:rPr>
                <w:sz w:val="9"/>
                <w:szCs w:val="9"/>
                <w:color w:val="auto"/>
              </w:rPr>
            </w:pPr>
          </w:p>
        </w:tc>
        <w:tc>
          <w:tcPr>
            <w:tcW w:w="34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and services</w:t>
            </w:r>
          </w:p>
        </w:tc>
        <w:tc>
          <w:tcPr>
            <w:tcW w:w="186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460" w:type="dxa"/>
            <w:vAlign w:val="bottom"/>
          </w:tcPr>
          <w:p>
            <w:pPr>
              <w:ind w:left="840"/>
              <w:spacing w:after="0" w:line="130" w:lineRule="exact"/>
              <w:rPr>
                <w:sz w:val="20"/>
                <w:szCs w:val="20"/>
                <w:color w:val="auto"/>
              </w:rPr>
            </w:pPr>
            <w:r>
              <w:rPr>
                <w:rFonts w:ascii="Arial" w:cs="Arial" w:eastAsia="Arial" w:hAnsi="Arial"/>
                <w:sz w:val="14"/>
                <w:szCs w:val="14"/>
                <w:color w:val="auto"/>
              </w:rPr>
              <w:t>Term Loan (10.69% cash (Libor + 8.25%;</w:t>
            </w: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color w:val="auto"/>
              </w:rPr>
              <w:t>HealthEdge Software, Inc. (6)(7)</w:t>
            </w:r>
          </w:p>
        </w:tc>
        <w:tc>
          <w:tcPr>
            <w:tcW w:w="1860" w:type="dxa"/>
            <w:vAlign w:val="bottom"/>
          </w:tcPr>
          <w:p>
            <w:pPr>
              <w:ind w:left="80"/>
              <w:spacing w:after="0"/>
              <w:rPr>
                <w:sz w:val="20"/>
                <w:szCs w:val="20"/>
                <w:color w:val="auto"/>
              </w:rPr>
            </w:pPr>
            <w:r>
              <w:rPr>
                <w:rFonts w:ascii="Arial" w:cs="Arial" w:eastAsia="Arial" w:hAnsi="Arial"/>
                <w:sz w:val="14"/>
                <w:szCs w:val="14"/>
                <w:color w:val="auto"/>
              </w:rPr>
              <w:t>Software</w:t>
            </w:r>
          </w:p>
        </w:tc>
        <w:tc>
          <w:tcPr>
            <w:tcW w:w="3460" w:type="dxa"/>
            <w:vAlign w:val="bottom"/>
          </w:tcPr>
          <w:p>
            <w:pPr>
              <w:ind w:left="840"/>
              <w:spacing w:after="0"/>
              <w:rPr>
                <w:sz w:val="20"/>
                <w:szCs w:val="20"/>
                <w:color w:val="auto"/>
              </w:rPr>
            </w:pPr>
            <w:r>
              <w:rPr>
                <w:rFonts w:ascii="Arial" w:cs="Arial" w:eastAsia="Arial" w:hAnsi="Arial"/>
                <w:sz w:val="14"/>
                <w:szCs w:val="14"/>
                <w:color w:val="auto"/>
              </w:rPr>
              <w:t>Floor 9.25%), 3.00% ETP, Due 10/1/23)</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3,750</w:t>
            </w: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3,704</w:t>
            </w:r>
          </w:p>
        </w:tc>
        <w:tc>
          <w:tcPr>
            <w:tcW w:w="1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3,704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Debt Investments — Healthcare</w:t>
            </w:r>
          </w:p>
        </w:tc>
        <w:tc>
          <w:tcPr>
            <w:tcW w:w="1860" w:type="dxa"/>
            <w:vAlign w:val="bottom"/>
            <w:tcBorders>
              <w:top w:val="single" w:sz="8" w:color="CCEEFF"/>
            </w:tcBorders>
            <w:shd w:val="clear" w:color="auto" w:fill="CCEEFF"/>
          </w:tcPr>
          <w:p>
            <w:pPr>
              <w:spacing w:after="0"/>
              <w:rPr>
                <w:sz w:val="9"/>
                <w:szCs w:val="9"/>
                <w:color w:val="auto"/>
              </w:rPr>
            </w:pPr>
          </w:p>
        </w:tc>
        <w:tc>
          <w:tcPr>
            <w:tcW w:w="346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information and services</w:t>
            </w:r>
          </w:p>
        </w:tc>
        <w:tc>
          <w:tcPr>
            <w:tcW w:w="18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3,704</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8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38,624</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38,624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Warrant Investments — Life science</w:t>
            </w:r>
          </w:p>
        </w:tc>
        <w:tc>
          <w:tcPr>
            <w:tcW w:w="18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(6)(7)(8)</w:t>
            </w:r>
          </w:p>
        </w:tc>
        <w:tc>
          <w:tcPr>
            <w:tcW w:w="1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Biotechnology</w:t>
            </w:r>
          </w:p>
        </w:tc>
        <w:tc>
          <w:tcPr>
            <w:tcW w:w="34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95,057 Common Stock Warrants</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Encore Dermatology, Inc. (6)(7)</w:t>
            </w:r>
          </w:p>
        </w:tc>
        <w:tc>
          <w:tcPr>
            <w:tcW w:w="1860" w:type="dxa"/>
            <w:vAlign w:val="bottom"/>
          </w:tcPr>
          <w:p>
            <w:pPr>
              <w:ind w:left="80"/>
              <w:spacing w:after="0" w:line="149" w:lineRule="exact"/>
              <w:rPr>
                <w:sz w:val="20"/>
                <w:szCs w:val="20"/>
                <w:color w:val="auto"/>
              </w:rPr>
            </w:pPr>
            <w:r>
              <w:rPr>
                <w:rFonts w:ascii="Arial" w:cs="Arial" w:eastAsia="Arial" w:hAnsi="Arial"/>
                <w:sz w:val="14"/>
                <w:szCs w:val="14"/>
                <w:color w:val="auto"/>
              </w:rPr>
              <w:t>Biotechnology</w:t>
            </w:r>
          </w:p>
        </w:tc>
        <w:tc>
          <w:tcPr>
            <w:tcW w:w="3460" w:type="dxa"/>
            <w:vAlign w:val="bottom"/>
          </w:tcPr>
          <w:p>
            <w:pPr>
              <w:ind w:left="840"/>
              <w:spacing w:after="0" w:line="149" w:lineRule="exact"/>
              <w:rPr>
                <w:sz w:val="20"/>
                <w:szCs w:val="20"/>
                <w:color w:val="auto"/>
              </w:rPr>
            </w:pPr>
            <w:r>
              <w:rPr>
                <w:rFonts w:ascii="Arial" w:cs="Arial" w:eastAsia="Arial" w:hAnsi="Arial"/>
                <w:sz w:val="14"/>
                <w:szCs w:val="14"/>
                <w:color w:val="auto"/>
              </w:rPr>
              <w:t>503,626 Preferred Stock Warrants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Mustang Bio, Inc. (6)(7)(8)</w:t>
            </w:r>
          </w:p>
        </w:tc>
        <w:tc>
          <w:tcPr>
            <w:tcW w:w="1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Biotechnology</w:t>
            </w:r>
          </w:p>
        </w:tc>
        <w:tc>
          <w:tcPr>
            <w:tcW w:w="34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72,046 Common Stock Warrants</w:t>
            </w: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Warrant Investments — Life science</w:t>
            </w:r>
          </w:p>
        </w:tc>
        <w:tc>
          <w:tcPr>
            <w:tcW w:w="18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 Investments — Technology</w:t>
            </w:r>
          </w:p>
        </w:tc>
        <w:tc>
          <w:tcPr>
            <w:tcW w:w="186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Intelepeer Holdings, Inc. (6)(7)</w:t>
            </w:r>
          </w:p>
        </w:tc>
        <w:tc>
          <w:tcPr>
            <w:tcW w:w="1860" w:type="dxa"/>
            <w:vAlign w:val="bottom"/>
          </w:tcPr>
          <w:p>
            <w:pPr>
              <w:ind w:left="80"/>
              <w:spacing w:after="0" w:line="149" w:lineRule="exact"/>
              <w:rPr>
                <w:sz w:val="20"/>
                <w:szCs w:val="20"/>
                <w:color w:val="auto"/>
              </w:rPr>
            </w:pPr>
            <w:r>
              <w:rPr>
                <w:rFonts w:ascii="Arial" w:cs="Arial" w:eastAsia="Arial" w:hAnsi="Arial"/>
                <w:sz w:val="14"/>
                <w:szCs w:val="14"/>
                <w:color w:val="auto"/>
              </w:rPr>
              <w:t>Communications</w:t>
            </w:r>
          </w:p>
        </w:tc>
        <w:tc>
          <w:tcPr>
            <w:tcW w:w="3460" w:type="dxa"/>
            <w:vAlign w:val="bottom"/>
          </w:tcPr>
          <w:p>
            <w:pPr>
              <w:ind w:left="840"/>
              <w:spacing w:after="0" w:line="149" w:lineRule="exact"/>
              <w:rPr>
                <w:sz w:val="20"/>
                <w:szCs w:val="20"/>
                <w:color w:val="auto"/>
              </w:rPr>
            </w:pPr>
            <w:r>
              <w:rPr>
                <w:rFonts w:ascii="Arial" w:cs="Arial" w:eastAsia="Arial" w:hAnsi="Arial"/>
                <w:sz w:val="14"/>
                <w:szCs w:val="14"/>
                <w:color w:val="auto"/>
              </w:rPr>
              <w:t>1,886,934 Preferred Stock Warrants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w:t>
            </w: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BSI Platform Holdings, LLC (6)(7)(9)</w:t>
            </w:r>
          </w:p>
        </w:tc>
        <w:tc>
          <w:tcPr>
            <w:tcW w:w="1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34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562,500 Preferred Stock Warrants</w:t>
            </w: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Warrant Investments — Technology</w:t>
            </w:r>
          </w:p>
        </w:tc>
        <w:tc>
          <w:tcPr>
            <w:tcW w:w="18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Warrant Investments — Healthcare</w:t>
            </w:r>
          </w:p>
        </w:tc>
        <w:tc>
          <w:tcPr>
            <w:tcW w:w="1860" w:type="dxa"/>
            <w:vAlign w:val="bottom"/>
            <w:shd w:val="clear" w:color="auto" w:fill="CCEEFF"/>
          </w:tcPr>
          <w:p>
            <w:pPr>
              <w:spacing w:after="0"/>
              <w:rPr>
                <w:sz w:val="9"/>
                <w:szCs w:val="9"/>
                <w:color w:val="auto"/>
              </w:rPr>
            </w:pPr>
          </w:p>
        </w:tc>
        <w:tc>
          <w:tcPr>
            <w:tcW w:w="34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information and services</w:t>
            </w:r>
          </w:p>
        </w:tc>
        <w:tc>
          <w:tcPr>
            <w:tcW w:w="186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HealthEdge Software, Inc. (6)(7)</w:t>
            </w:r>
          </w:p>
        </w:tc>
        <w:tc>
          <w:tcPr>
            <w:tcW w:w="1860" w:type="dxa"/>
            <w:vAlign w:val="bottom"/>
          </w:tcPr>
          <w:p>
            <w:pPr>
              <w:ind w:left="80"/>
              <w:spacing w:after="0"/>
              <w:rPr>
                <w:sz w:val="20"/>
                <w:szCs w:val="20"/>
                <w:color w:val="auto"/>
              </w:rPr>
            </w:pPr>
            <w:r>
              <w:rPr>
                <w:rFonts w:ascii="Arial" w:cs="Arial" w:eastAsia="Arial" w:hAnsi="Arial"/>
                <w:sz w:val="14"/>
                <w:szCs w:val="14"/>
                <w:color w:val="auto"/>
              </w:rPr>
              <w:t>Software</w:t>
            </w:r>
          </w:p>
        </w:tc>
        <w:tc>
          <w:tcPr>
            <w:tcW w:w="3460" w:type="dxa"/>
            <w:vAlign w:val="bottom"/>
          </w:tcPr>
          <w:p>
            <w:pPr>
              <w:ind w:left="840"/>
              <w:spacing w:after="0"/>
              <w:rPr>
                <w:sz w:val="20"/>
                <w:szCs w:val="20"/>
                <w:color w:val="auto"/>
              </w:rPr>
            </w:pPr>
            <w:r>
              <w:rPr>
                <w:rFonts w:ascii="Arial" w:cs="Arial" w:eastAsia="Arial" w:hAnsi="Arial"/>
                <w:sz w:val="14"/>
                <w:szCs w:val="14"/>
                <w:color w:val="auto"/>
              </w:rPr>
              <w:t>47,418 Preferred Stock Warrants</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Warrant  Investments  —  Healthcare</w:t>
            </w:r>
          </w:p>
        </w:tc>
        <w:tc>
          <w:tcPr>
            <w:tcW w:w="1860" w:type="dxa"/>
            <w:vAlign w:val="bottom"/>
            <w:tcBorders>
              <w:top w:val="single" w:sz="8" w:color="CCEEFF"/>
            </w:tcBorders>
            <w:shd w:val="clear" w:color="auto" w:fill="CCEEFF"/>
          </w:tcPr>
          <w:p>
            <w:pPr>
              <w:spacing w:after="0"/>
              <w:rPr>
                <w:sz w:val="9"/>
                <w:szCs w:val="9"/>
                <w:color w:val="auto"/>
              </w:rPr>
            </w:pPr>
          </w:p>
        </w:tc>
        <w:tc>
          <w:tcPr>
            <w:tcW w:w="346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information and services</w:t>
            </w:r>
          </w:p>
        </w:tc>
        <w:tc>
          <w:tcPr>
            <w:tcW w:w="18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Warrant Investments</w:t>
            </w:r>
          </w:p>
        </w:tc>
        <w:tc>
          <w:tcPr>
            <w:tcW w:w="18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4"/>
                <w:szCs w:val="14"/>
                <w:b w:val="1"/>
                <w:bCs w:val="1"/>
                <w:color w:val="auto"/>
              </w:rPr>
              <w:t>Total Portfolio Investment Assets</w:t>
            </w:r>
          </w:p>
        </w:tc>
        <w:tc>
          <w:tcPr>
            <w:tcW w:w="1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38,939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38,896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80" w:type="dxa"/>
            <w:vAlign w:val="bottom"/>
            <w:tcBorders>
              <w:top w:val="single" w:sz="8" w:color="CCEEFF"/>
            </w:tcBorders>
            <w:shd w:val="clear" w:color="auto" w:fill="CCEEFF"/>
          </w:tcPr>
          <w:p>
            <w:pPr>
              <w:spacing w:after="0"/>
              <w:rPr>
                <w:sz w:val="11"/>
                <w:szCs w:val="11"/>
                <w:color w:val="auto"/>
              </w:rPr>
            </w:pPr>
          </w:p>
        </w:tc>
        <w:tc>
          <w:tcPr>
            <w:tcW w:w="1860" w:type="dxa"/>
            <w:vAlign w:val="bottom"/>
            <w:tcBorders>
              <w:top w:val="single" w:sz="8" w:color="CCEEFF"/>
            </w:tcBorders>
            <w:shd w:val="clear" w:color="auto" w:fill="CCEEFF"/>
          </w:tcPr>
          <w:p>
            <w:pPr>
              <w:spacing w:after="0"/>
              <w:rPr>
                <w:sz w:val="11"/>
                <w:szCs w:val="11"/>
                <w:color w:val="auto"/>
              </w:rPr>
            </w:pPr>
          </w:p>
        </w:tc>
        <w:tc>
          <w:tcPr>
            <w:tcW w:w="34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80" w:type="dxa"/>
            <w:vAlign w:val="bottom"/>
          </w:tcPr>
          <w:p>
            <w:pPr>
              <w:spacing w:after="0" w:line="126" w:lineRule="exact"/>
              <w:rPr>
                <w:sz w:val="20"/>
                <w:szCs w:val="20"/>
                <w:color w:val="auto"/>
              </w:rPr>
            </w:pPr>
            <w:r>
              <w:rPr>
                <w:rFonts w:ascii="Arial" w:cs="Arial" w:eastAsia="Arial" w:hAnsi="Arial"/>
                <w:sz w:val="14"/>
                <w:szCs w:val="14"/>
                <w:b w:val="1"/>
                <w:bCs w:val="1"/>
                <w:color w:val="auto"/>
              </w:rPr>
              <w:t>Short Term Investments — Money Market</w:t>
            </w:r>
          </w:p>
        </w:tc>
        <w:tc>
          <w:tcPr>
            <w:tcW w:w="18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Funds</w:t>
            </w:r>
          </w:p>
        </w:tc>
        <w:tc>
          <w:tcPr>
            <w:tcW w:w="1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US Bank Money Market Deposit Account (6)</w:t>
            </w:r>
          </w:p>
        </w:tc>
        <w:tc>
          <w:tcPr>
            <w:tcW w:w="186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tcPr>
          <w:p>
            <w:pPr>
              <w:spacing w:after="0" w:line="106" w:lineRule="exact"/>
              <w:rPr>
                <w:sz w:val="20"/>
                <w:szCs w:val="20"/>
                <w:color w:val="auto"/>
              </w:rPr>
            </w:pPr>
            <w:r>
              <w:rPr>
                <w:rFonts w:ascii="Arial" w:cs="Arial" w:eastAsia="Arial" w:hAnsi="Arial"/>
                <w:sz w:val="12"/>
                <w:szCs w:val="12"/>
                <w:b w:val="1"/>
                <w:bCs w:val="1"/>
                <w:color w:val="auto"/>
              </w:rPr>
              <w:t>Total Short Term Investments — Money</w:t>
            </w:r>
          </w:p>
        </w:tc>
        <w:tc>
          <w:tcPr>
            <w:tcW w:w="18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Market Funds</w:t>
            </w:r>
          </w:p>
        </w:tc>
        <w:tc>
          <w:tcPr>
            <w:tcW w:w="1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302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80" w:type="dxa"/>
            <w:vAlign w:val="bottom"/>
            <w:tcBorders>
              <w:top w:val="single" w:sz="8" w:color="CCEEFF"/>
            </w:tcBorders>
            <w:shd w:val="clear" w:color="auto" w:fill="CCEEFF"/>
          </w:tcPr>
          <w:p>
            <w:pPr>
              <w:spacing w:after="0"/>
              <w:rPr>
                <w:sz w:val="11"/>
                <w:szCs w:val="11"/>
                <w:color w:val="auto"/>
              </w:rPr>
            </w:pPr>
          </w:p>
        </w:tc>
        <w:tc>
          <w:tcPr>
            <w:tcW w:w="1860" w:type="dxa"/>
            <w:vAlign w:val="bottom"/>
            <w:tcBorders>
              <w:top w:val="single" w:sz="8" w:color="CCEEFF"/>
            </w:tcBorders>
            <w:shd w:val="clear" w:color="auto" w:fill="CCEEFF"/>
          </w:tcPr>
          <w:p>
            <w:pPr>
              <w:spacing w:after="0"/>
              <w:rPr>
                <w:sz w:val="11"/>
                <w:szCs w:val="11"/>
                <w:color w:val="auto"/>
              </w:rPr>
            </w:pPr>
          </w:p>
        </w:tc>
        <w:tc>
          <w:tcPr>
            <w:tcW w:w="34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80" w:type="dxa"/>
            <w:vAlign w:val="bottom"/>
          </w:tcPr>
          <w:p>
            <w:pPr>
              <w:spacing w:after="0" w:line="126" w:lineRule="exact"/>
              <w:rPr>
                <w:sz w:val="20"/>
                <w:szCs w:val="20"/>
                <w:color w:val="auto"/>
              </w:rPr>
            </w:pPr>
            <w:r>
              <w:rPr>
                <w:rFonts w:ascii="Arial" w:cs="Arial" w:eastAsia="Arial" w:hAnsi="Arial"/>
                <w:sz w:val="14"/>
                <w:szCs w:val="14"/>
                <w:b w:val="1"/>
                <w:bCs w:val="1"/>
                <w:color w:val="auto"/>
              </w:rPr>
              <w:t>Short Term Investments — Restricted</w:t>
            </w:r>
          </w:p>
        </w:tc>
        <w:tc>
          <w:tcPr>
            <w:tcW w:w="18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Money Market Funds</w:t>
            </w:r>
          </w:p>
        </w:tc>
        <w:tc>
          <w:tcPr>
            <w:tcW w:w="1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US Bank Money Market Deposit Account (6)</w:t>
            </w:r>
          </w:p>
        </w:tc>
        <w:tc>
          <w:tcPr>
            <w:tcW w:w="186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tcPr>
          <w:p>
            <w:pPr>
              <w:spacing w:after="0" w:line="106" w:lineRule="exact"/>
              <w:rPr>
                <w:sz w:val="20"/>
                <w:szCs w:val="20"/>
                <w:color w:val="auto"/>
              </w:rPr>
            </w:pPr>
            <w:r>
              <w:rPr>
                <w:rFonts w:ascii="Arial" w:cs="Arial" w:eastAsia="Arial" w:hAnsi="Arial"/>
                <w:sz w:val="12"/>
                <w:szCs w:val="12"/>
                <w:b w:val="1"/>
                <w:bCs w:val="1"/>
                <w:color w:val="auto"/>
              </w:rPr>
              <w:t>Total Short Term Investments — Restricted</w:t>
            </w:r>
          </w:p>
        </w:tc>
        <w:tc>
          <w:tcPr>
            <w:tcW w:w="18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Money Market Funds</w:t>
            </w:r>
          </w:p>
        </w:tc>
        <w:tc>
          <w:tcPr>
            <w:tcW w:w="18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106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end-of-term payments, or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or LIBOR, are based on one-month LIBOR. For each debt investment, the current interest rate in effect as of June 30, 2019 is provided.</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shows HSLFI’s investments as of 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28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880" w:type="dxa"/>
            <w:vAlign w:val="bottom"/>
          </w:tcPr>
          <w:p>
            <w:pPr>
              <w:ind w:left="1140"/>
              <w:spacing w:after="0"/>
              <w:rPr>
                <w:sz w:val="20"/>
                <w:szCs w:val="20"/>
                <w:color w:val="auto"/>
              </w:rPr>
            </w:pPr>
            <w:r>
              <w:rPr>
                <w:rFonts w:ascii="Arial" w:cs="Arial" w:eastAsia="Arial" w:hAnsi="Arial"/>
                <w:sz w:val="14"/>
                <w:szCs w:val="14"/>
                <w:b w:val="1"/>
                <w:bCs w:val="1"/>
                <w:color w:val="auto"/>
              </w:rPr>
              <w:t>Sector</w:t>
            </w:r>
          </w:p>
        </w:tc>
        <w:tc>
          <w:tcPr>
            <w:tcW w:w="3360" w:type="dxa"/>
            <w:vAlign w:val="bottom"/>
          </w:tcPr>
          <w:p>
            <w:pPr>
              <w:ind w:left="126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220" w:type="dxa"/>
            <w:vAlign w:val="bottom"/>
          </w:tcPr>
          <w:p>
            <w:pPr>
              <w:spacing w:after="0"/>
              <w:rPr>
                <w:sz w:val="17"/>
                <w:szCs w:val="17"/>
                <w:color w:val="auto"/>
              </w:rPr>
            </w:pPr>
          </w:p>
        </w:tc>
        <w:tc>
          <w:tcPr>
            <w:tcW w:w="102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w w:val="97"/>
              </w:rPr>
              <w:t>Investments</w:t>
            </w:r>
            <w:r>
              <w:rPr>
                <w:rFonts w:ascii="Arial" w:cs="Arial" w:eastAsia="Arial" w:hAnsi="Arial"/>
                <w:sz w:val="23"/>
                <w:szCs w:val="23"/>
                <w:b w:val="1"/>
                <w:bCs w:val="1"/>
                <w:color w:val="auto"/>
                <w:w w:val="97"/>
                <w:vertAlign w:val="superscript"/>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 Investments — Life science</w:t>
            </w:r>
          </w:p>
        </w:tc>
        <w:tc>
          <w:tcPr>
            <w:tcW w:w="188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rPr>
              <w:t>Term Loan (9.98% cash (Libor + 7.63%;</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Celsion Corporation (6)(7)(8)</w:t>
            </w:r>
          </w:p>
        </w:tc>
        <w:tc>
          <w:tcPr>
            <w:tcW w:w="1880" w:type="dxa"/>
            <w:vAlign w:val="bottom"/>
          </w:tcPr>
          <w:p>
            <w:pPr>
              <w:ind w:left="80"/>
              <w:spacing w:after="0"/>
              <w:rPr>
                <w:sz w:val="20"/>
                <w:szCs w:val="20"/>
                <w:color w:val="auto"/>
              </w:rPr>
            </w:pPr>
            <w:r>
              <w:rPr>
                <w:rFonts w:ascii="Arial" w:cs="Arial" w:eastAsia="Arial" w:hAnsi="Arial"/>
                <w:sz w:val="14"/>
                <w:szCs w:val="14"/>
                <w:color w:val="auto"/>
              </w:rPr>
              <w:t>Biotechnology</w:t>
            </w:r>
          </w:p>
        </w:tc>
        <w:tc>
          <w:tcPr>
            <w:tcW w:w="3360" w:type="dxa"/>
            <w:vAlign w:val="bottom"/>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2,500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2,449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rPr>
              <w:t>Term Loan (9.98% cash (Libor + 7.63%;</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9.63%), 4.00% ETP, Due 7/1/22)</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Debt Investments — Life science</w:t>
            </w:r>
          </w:p>
        </w:tc>
        <w:tc>
          <w:tcPr>
            <w:tcW w:w="188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Technology</w:t>
            </w:r>
          </w:p>
        </w:tc>
        <w:tc>
          <w:tcPr>
            <w:tcW w:w="188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(12.30% cash (Libor + 9.95%;</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Intelepeer Holdings, Inc. (6)(7)</w:t>
            </w:r>
          </w:p>
        </w:tc>
        <w:tc>
          <w:tcPr>
            <w:tcW w:w="1880" w:type="dxa"/>
            <w:vAlign w:val="bottom"/>
          </w:tcPr>
          <w:p>
            <w:pPr>
              <w:ind w:left="80"/>
              <w:spacing w:after="0"/>
              <w:rPr>
                <w:sz w:val="20"/>
                <w:szCs w:val="20"/>
                <w:color w:val="auto"/>
              </w:rPr>
            </w:pPr>
            <w:r>
              <w:rPr>
                <w:rFonts w:ascii="Arial" w:cs="Arial" w:eastAsia="Arial" w:hAnsi="Arial"/>
                <w:sz w:val="14"/>
                <w:szCs w:val="14"/>
                <w:color w:val="auto"/>
              </w:rPr>
              <w:t>Communications</w:t>
            </w:r>
          </w:p>
        </w:tc>
        <w:tc>
          <w:tcPr>
            <w:tcW w:w="3360" w:type="dxa"/>
            <w:vAlign w:val="bottom"/>
          </w:tcPr>
          <w:p>
            <w:pPr>
              <w:ind w:left="820"/>
              <w:spacing w:after="0"/>
              <w:rPr>
                <w:sz w:val="20"/>
                <w:szCs w:val="20"/>
                <w:color w:val="auto"/>
              </w:rPr>
            </w:pPr>
            <w:r>
              <w:rPr>
                <w:rFonts w:ascii="Arial" w:cs="Arial" w:eastAsia="Arial" w:hAnsi="Arial"/>
                <w:sz w:val="14"/>
                <w:szCs w:val="14"/>
                <w:color w:val="auto"/>
              </w:rPr>
              <w:t>Floor 11.25%), 2.50% ETP, Due 7/1/21)</w:t>
            </w:r>
          </w:p>
        </w:tc>
        <w:tc>
          <w:tcPr>
            <w:tcW w:w="22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3,948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(12.30% cash (Libor + 9.95%;</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11.25%), 2.50% ETP, Due 7/1/21)</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360" w:type="dxa"/>
            <w:vAlign w:val="bottom"/>
          </w:tcPr>
          <w:p>
            <w:pPr>
              <w:ind w:left="820"/>
              <w:spacing w:after="0" w:line="130" w:lineRule="exact"/>
              <w:rPr>
                <w:sz w:val="20"/>
                <w:szCs w:val="20"/>
                <w:color w:val="auto"/>
              </w:rPr>
            </w:pPr>
            <w:r>
              <w:rPr>
                <w:rFonts w:ascii="Arial" w:cs="Arial" w:eastAsia="Arial" w:hAnsi="Arial"/>
                <w:sz w:val="14"/>
                <w:szCs w:val="14"/>
                <w:color w:val="auto"/>
                <w:w w:val="98"/>
              </w:rPr>
              <w:t>Term Loan (10.85% cash (Libor + 8.50%;</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color w:val="auto"/>
              </w:rPr>
              <w:t>New Signature US, Inc. (6)(7)(9)</w:t>
            </w:r>
          </w:p>
        </w:tc>
        <w:tc>
          <w:tcPr>
            <w:tcW w:w="1880" w:type="dxa"/>
            <w:vAlign w:val="bottom"/>
          </w:tcPr>
          <w:p>
            <w:pPr>
              <w:ind w:left="80"/>
              <w:spacing w:after="0"/>
              <w:rPr>
                <w:sz w:val="20"/>
                <w:szCs w:val="20"/>
                <w:color w:val="auto"/>
              </w:rPr>
            </w:pPr>
            <w:r>
              <w:rPr>
                <w:rFonts w:ascii="Arial" w:cs="Arial" w:eastAsia="Arial" w:hAnsi="Arial"/>
                <w:sz w:val="14"/>
                <w:szCs w:val="14"/>
                <w:color w:val="auto"/>
              </w:rPr>
              <w:t>Software</w:t>
            </w:r>
          </w:p>
        </w:tc>
        <w:tc>
          <w:tcPr>
            <w:tcW w:w="3360" w:type="dxa"/>
            <w:vAlign w:val="bottom"/>
          </w:tcPr>
          <w:p>
            <w:pPr>
              <w:ind w:left="820"/>
              <w:spacing w:after="0"/>
              <w:rPr>
                <w:sz w:val="20"/>
                <w:szCs w:val="20"/>
                <w:color w:val="auto"/>
              </w:rPr>
            </w:pPr>
            <w:r>
              <w:rPr>
                <w:rFonts w:ascii="Arial" w:cs="Arial" w:eastAsia="Arial" w:hAnsi="Arial"/>
                <w:sz w:val="14"/>
                <w:szCs w:val="14"/>
                <w:color w:val="auto"/>
              </w:rPr>
              <w:t>Floor 10.50%), 3.50% ETP, Due 7/1/22)</w:t>
            </w:r>
          </w:p>
        </w:tc>
        <w:tc>
          <w:tcPr>
            <w:tcW w:w="22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8,250</w:t>
            </w: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8,098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Technology</w:t>
            </w:r>
          </w:p>
        </w:tc>
        <w:tc>
          <w:tcPr>
            <w:tcW w:w="188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15,994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tcPr>
          <w:p>
            <w:pPr>
              <w:spacing w:after="0" w:line="106" w:lineRule="exact"/>
              <w:rPr>
                <w:sz w:val="20"/>
                <w:szCs w:val="20"/>
                <w:color w:val="auto"/>
              </w:rPr>
            </w:pPr>
            <w:r>
              <w:rPr>
                <w:rFonts w:ascii="Arial" w:cs="Arial" w:eastAsia="Arial" w:hAnsi="Arial"/>
                <w:sz w:val="12"/>
                <w:szCs w:val="12"/>
                <w:b w:val="1"/>
                <w:bCs w:val="1"/>
                <w:color w:val="auto"/>
              </w:rPr>
              <w:t>Debt Investments — Healthcare information</w:t>
            </w:r>
          </w:p>
        </w:tc>
        <w:tc>
          <w:tcPr>
            <w:tcW w:w="18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and services</w:t>
            </w:r>
          </w:p>
        </w:tc>
        <w:tc>
          <w:tcPr>
            <w:tcW w:w="1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360" w:type="dxa"/>
            <w:vAlign w:val="bottom"/>
            <w:shd w:val="clear" w:color="auto" w:fill="CCEEFF"/>
          </w:tcPr>
          <w:p>
            <w:pPr>
              <w:ind w:left="820"/>
              <w:spacing w:after="0" w:line="130" w:lineRule="exact"/>
              <w:rPr>
                <w:sz w:val="20"/>
                <w:szCs w:val="20"/>
                <w:color w:val="auto"/>
              </w:rPr>
            </w:pPr>
            <w:r>
              <w:rPr>
                <w:rFonts w:ascii="Arial" w:cs="Arial" w:eastAsia="Arial" w:hAnsi="Arial"/>
                <w:sz w:val="14"/>
                <w:szCs w:val="14"/>
                <w:color w:val="auto"/>
                <w:w w:val="98"/>
              </w:rPr>
              <w:t>Term Loan (10.60% cash (Libor + 8.25%;</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HealthEdge Software, Inc. (6)(7)</w:t>
            </w:r>
          </w:p>
        </w:tc>
        <w:tc>
          <w:tcPr>
            <w:tcW w:w="18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Floor 9.25%), 3.00% ETP, Due 10/1/23)</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3,750</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line="110" w:lineRule="exact"/>
              <w:rPr>
                <w:sz w:val="20"/>
                <w:szCs w:val="20"/>
                <w:color w:val="auto"/>
              </w:rPr>
            </w:pPr>
            <w:r>
              <w:rPr>
                <w:rFonts w:ascii="Arial" w:cs="Arial" w:eastAsia="Arial" w:hAnsi="Arial"/>
                <w:sz w:val="12"/>
                <w:szCs w:val="12"/>
                <w:color w:val="auto"/>
              </w:rPr>
              <w:t>Total Debt Investments — Healthcare</w:t>
            </w:r>
          </w:p>
        </w:tc>
        <w:tc>
          <w:tcPr>
            <w:tcW w:w="18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color w:val="auto"/>
              </w:rPr>
              <w:t>information and services</w:t>
            </w:r>
          </w:p>
        </w:tc>
        <w:tc>
          <w:tcPr>
            <w:tcW w:w="18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3,699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88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24,591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24,591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 Investments — Life science</w:t>
            </w:r>
          </w:p>
        </w:tc>
        <w:tc>
          <w:tcPr>
            <w:tcW w:w="188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Celsion Corporation (6)(7)(8)</w:t>
            </w:r>
          </w:p>
        </w:tc>
        <w:tc>
          <w:tcPr>
            <w:tcW w:w="1880" w:type="dxa"/>
            <w:vAlign w:val="bottom"/>
          </w:tcPr>
          <w:p>
            <w:pPr>
              <w:ind w:left="80"/>
              <w:spacing w:after="0"/>
              <w:rPr>
                <w:sz w:val="20"/>
                <w:szCs w:val="20"/>
                <w:color w:val="auto"/>
              </w:rPr>
            </w:pPr>
            <w:r>
              <w:rPr>
                <w:rFonts w:ascii="Arial" w:cs="Arial" w:eastAsia="Arial" w:hAnsi="Arial"/>
                <w:sz w:val="14"/>
                <w:szCs w:val="14"/>
                <w:color w:val="auto"/>
              </w:rPr>
              <w:t>Biotechnology</w:t>
            </w:r>
          </w:p>
        </w:tc>
        <w:tc>
          <w:tcPr>
            <w:tcW w:w="3360" w:type="dxa"/>
            <w:vAlign w:val="bottom"/>
          </w:tcPr>
          <w:p>
            <w:pPr>
              <w:ind w:left="820"/>
              <w:spacing w:after="0"/>
              <w:rPr>
                <w:sz w:val="20"/>
                <w:szCs w:val="20"/>
                <w:color w:val="auto"/>
              </w:rPr>
            </w:pPr>
            <w:r>
              <w:rPr>
                <w:rFonts w:ascii="Arial" w:cs="Arial" w:eastAsia="Arial" w:hAnsi="Arial"/>
                <w:sz w:val="14"/>
                <w:szCs w:val="14"/>
                <w:color w:val="auto"/>
              </w:rPr>
              <w:t>95,057 Common Stock Warrants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Warrant Investments — Life science</w:t>
            </w:r>
          </w:p>
        </w:tc>
        <w:tc>
          <w:tcPr>
            <w:tcW w:w="188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line="142" w:lineRule="exact"/>
              <w:rPr>
                <w:sz w:val="20"/>
                <w:szCs w:val="20"/>
                <w:color w:val="auto"/>
              </w:rPr>
            </w:pPr>
            <w:r>
              <w:rPr>
                <w:rFonts w:ascii="Arial" w:cs="Arial" w:eastAsia="Arial" w:hAnsi="Arial"/>
                <w:sz w:val="14"/>
                <w:szCs w:val="14"/>
                <w:b w:val="1"/>
                <w:bCs w:val="1"/>
                <w:color w:val="auto"/>
              </w:rPr>
              <w:t>Warrant Investments — Technology</w:t>
            </w:r>
          </w:p>
        </w:tc>
        <w:tc>
          <w:tcPr>
            <w:tcW w:w="18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 (6)(7)</w:t>
            </w:r>
          </w:p>
        </w:tc>
        <w:tc>
          <w:tcPr>
            <w:tcW w:w="18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Communications</w:t>
            </w:r>
          </w:p>
        </w:tc>
        <w:tc>
          <w:tcPr>
            <w:tcW w:w="33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1,280,000 Preferred Stock Warrants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BSI Platform Holdings, LLC (6)(7)(9)</w:t>
            </w:r>
          </w:p>
        </w:tc>
        <w:tc>
          <w:tcPr>
            <w:tcW w:w="1880" w:type="dxa"/>
            <w:vAlign w:val="bottom"/>
          </w:tcPr>
          <w:p>
            <w:pPr>
              <w:ind w:left="80"/>
              <w:spacing w:after="0"/>
              <w:rPr>
                <w:sz w:val="20"/>
                <w:szCs w:val="20"/>
                <w:color w:val="auto"/>
              </w:rPr>
            </w:pPr>
            <w:r>
              <w:rPr>
                <w:rFonts w:ascii="Arial" w:cs="Arial" w:eastAsia="Arial" w:hAnsi="Arial"/>
                <w:sz w:val="14"/>
                <w:szCs w:val="14"/>
                <w:color w:val="auto"/>
              </w:rPr>
              <w:t>Software</w:t>
            </w:r>
          </w:p>
        </w:tc>
        <w:tc>
          <w:tcPr>
            <w:tcW w:w="3360" w:type="dxa"/>
            <w:vAlign w:val="bottom"/>
          </w:tcPr>
          <w:p>
            <w:pPr>
              <w:ind w:left="820"/>
              <w:spacing w:after="0"/>
              <w:rPr>
                <w:sz w:val="20"/>
                <w:szCs w:val="20"/>
                <w:color w:val="auto"/>
              </w:rPr>
            </w:pPr>
            <w:r>
              <w:rPr>
                <w:rFonts w:ascii="Arial" w:cs="Arial" w:eastAsia="Arial" w:hAnsi="Arial"/>
                <w:sz w:val="14"/>
                <w:szCs w:val="14"/>
                <w:color w:val="auto"/>
              </w:rPr>
              <w:t>412,500 Preferred Stock Warrants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Warrant Investments — Technology</w:t>
            </w:r>
          </w:p>
        </w:tc>
        <w:tc>
          <w:tcPr>
            <w:tcW w:w="188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tcPr>
          <w:p>
            <w:pPr>
              <w:spacing w:after="0" w:line="106" w:lineRule="exact"/>
              <w:rPr>
                <w:sz w:val="20"/>
                <w:szCs w:val="20"/>
                <w:color w:val="auto"/>
              </w:rPr>
            </w:pPr>
            <w:r>
              <w:rPr>
                <w:rFonts w:ascii="Arial" w:cs="Arial" w:eastAsia="Arial" w:hAnsi="Arial"/>
                <w:sz w:val="12"/>
                <w:szCs w:val="12"/>
                <w:b w:val="1"/>
                <w:bCs w:val="1"/>
                <w:color w:val="auto"/>
              </w:rPr>
              <w:t>Warrant Investments — Healthcare</w:t>
            </w:r>
          </w:p>
        </w:tc>
        <w:tc>
          <w:tcPr>
            <w:tcW w:w="18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information and services</w:t>
            </w:r>
          </w:p>
        </w:tc>
        <w:tc>
          <w:tcPr>
            <w:tcW w:w="1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HealthEdge Software, Inc. (6)(7)</w:t>
            </w:r>
          </w:p>
        </w:tc>
        <w:tc>
          <w:tcPr>
            <w:tcW w:w="18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33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47,418 Preferred Stock Warrants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line="110" w:lineRule="exact"/>
              <w:rPr>
                <w:sz w:val="20"/>
                <w:szCs w:val="20"/>
                <w:color w:val="auto"/>
              </w:rPr>
            </w:pPr>
            <w:r>
              <w:rPr>
                <w:rFonts w:ascii="Arial" w:cs="Arial" w:eastAsia="Arial" w:hAnsi="Arial"/>
                <w:sz w:val="12"/>
                <w:szCs w:val="12"/>
                <w:color w:val="auto"/>
              </w:rPr>
              <w:t>Total  Warrant  Investments  —  Healthcare</w:t>
            </w:r>
          </w:p>
        </w:tc>
        <w:tc>
          <w:tcPr>
            <w:tcW w:w="18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color w:val="auto"/>
              </w:rPr>
              <w:t>information and services</w:t>
            </w:r>
          </w:p>
        </w:tc>
        <w:tc>
          <w:tcPr>
            <w:tcW w:w="18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 Investments</w:t>
            </w:r>
          </w:p>
        </w:tc>
        <w:tc>
          <w:tcPr>
            <w:tcW w:w="188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w:t>
            </w:r>
          </w:p>
        </w:tc>
        <w:tc>
          <w:tcPr>
            <w:tcW w:w="188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24,771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Short Term Investments — Money Market</w:t>
            </w:r>
          </w:p>
        </w:tc>
        <w:tc>
          <w:tcPr>
            <w:tcW w:w="1880" w:type="dxa"/>
            <w:vAlign w:val="bottom"/>
            <w:shd w:val="clear" w:color="auto" w:fill="CCEEFF"/>
          </w:tcPr>
          <w:p>
            <w:pPr>
              <w:spacing w:after="0"/>
              <w:rPr>
                <w:sz w:val="10"/>
                <w:szCs w:val="10"/>
                <w:color w:val="auto"/>
              </w:rPr>
            </w:pPr>
          </w:p>
        </w:tc>
        <w:tc>
          <w:tcPr>
            <w:tcW w:w="3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Funds</w:t>
            </w:r>
          </w:p>
        </w:tc>
        <w:tc>
          <w:tcPr>
            <w:tcW w:w="188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US Bank Money Market Deposit Account (6)</w:t>
            </w:r>
          </w:p>
        </w:tc>
        <w:tc>
          <w:tcPr>
            <w:tcW w:w="1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Short Term Investments — Money</w:t>
            </w:r>
          </w:p>
        </w:tc>
        <w:tc>
          <w:tcPr>
            <w:tcW w:w="1880" w:type="dxa"/>
            <w:vAlign w:val="bottom"/>
            <w:tcBorders>
              <w:top w:val="single" w:sz="8" w:color="CCEEFF"/>
            </w:tcBorders>
            <w:shd w:val="clear" w:color="auto" w:fill="CCEEFF"/>
          </w:tcPr>
          <w:p>
            <w:pPr>
              <w:spacing w:after="0"/>
              <w:rPr>
                <w:sz w:val="9"/>
                <w:szCs w:val="9"/>
                <w:color w:val="auto"/>
              </w:rPr>
            </w:pPr>
          </w:p>
        </w:tc>
        <w:tc>
          <w:tcPr>
            <w:tcW w:w="33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Market Funds</w:t>
            </w:r>
          </w:p>
        </w:tc>
        <w:tc>
          <w:tcPr>
            <w:tcW w:w="18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left="340" w:hanging="332"/>
        <w:spacing w:after="0" w:line="28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June 30, 2019 and December 31, 2018 and for the three and six months ended June 30, 2019 and the period June 1, 2018 through June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2"/>
              </w:rPr>
              <w:t>Total investments at fair value (cost of $38,939 and $24,771, respectively)</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38,896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Restricted investments in money market funds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receivable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Borrowings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14,091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Members’ equity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26,818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For the three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the six</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June 1,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7"/>
              </w:rPr>
              <w:t>months ended,</w:t>
            </w:r>
          </w:p>
        </w:tc>
        <w:tc>
          <w:tcPr>
            <w:tcW w:w="80" w:type="dxa"/>
            <w:vAlign w:val="bottom"/>
          </w:tcPr>
          <w:p>
            <w:pPr>
              <w:spacing w:after="0"/>
              <w:rPr>
                <w:sz w:val="19"/>
                <w:szCs w:val="19"/>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months ended,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30,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3"/>
              </w:rPr>
              <w:t>(In thousands)</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income on investments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1,997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i w:val="1"/>
                <w:iCs w:val="1"/>
                <w:color w:val="auto"/>
              </w:rPr>
              <w:t>Comparison of the three months ended June 30, 2019 and 2018</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2"/>
              </w:rPr>
              <w:t>The following table shows consolidated results of operations for the three months ended June, 2019 and 2018:</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10,470</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6,166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Performance based incentive fee waived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8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239,284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191,765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12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8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129,034</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Total investment income increased by $3.2 million, or 43.2%, to $10.5 million for the three months ended June 30, 2019 as compared to the three months ended June 30, 2018. For the three months ended June 30, 2019, total investment income consisted primarily of $9.2 million in interest income from investments, which included $2.5 million in income from the accretion of origination fees and ETPs and $0.8 million in fee income. Interest income on debt investments increased by $2.4 million, or 34.5%, for the three months ended June 30, 2019 compared to the three months ended June 30, 2018. Interest income on debt investments for the three months ended June 30, 2019 as compared to the three months ended June 30, 2018 increased primarily due to an increase of $47.5 million, or 24.8%, in the average size of our debt investment portfolio and an increase in one-month LIBOR which is the base rate for most of our variable rate debt investments. Fee income, which includes success fee and prepayment fee income on debt investments, increased by $0.4 million, or 80.5%, to $0.8 million for the three months ended June 30, 2019 compared to the three months ended June 30, 2018 primarily due to an increase in fees earned on higher principal prepayments received.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dollar-weighted annualized yield for the three months ended June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34"/>
        </w:trPr>
        <w:tc>
          <w:tcPr>
            <w:tcW w:w="47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type:</w:t>
            </w:r>
          </w:p>
        </w:tc>
        <w:tc>
          <w:tcPr>
            <w:tcW w:w="3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r>
      <w:tr>
        <w:trPr>
          <w:trHeight w:val="250"/>
        </w:trPr>
        <w:tc>
          <w:tcPr>
            <w:tcW w:w="47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Debt investments</w:t>
            </w:r>
            <w:r>
              <w:rPr>
                <w:rFonts w:ascii="Arial" w:cs="Arial" w:eastAsia="Arial" w:hAnsi="Arial"/>
                <w:sz w:val="28"/>
                <w:szCs w:val="28"/>
                <w:color w:val="auto"/>
                <w:vertAlign w:val="superscript"/>
              </w:rPr>
              <w:t>(1)(2)</w:t>
            </w:r>
          </w:p>
        </w:tc>
        <w:tc>
          <w:tcPr>
            <w:tcW w:w="5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r>
      <w:tr>
        <w:trPr>
          <w:trHeight w:val="257"/>
        </w:trPr>
        <w:tc>
          <w:tcPr>
            <w:tcW w:w="4780" w:type="dxa"/>
            <w:vAlign w:val="bottom"/>
          </w:tcPr>
          <w:p>
            <w:pPr>
              <w:spacing w:after="0" w:line="256" w:lineRule="exact"/>
              <w:rPr>
                <w:sz w:val="20"/>
                <w:szCs w:val="20"/>
                <w:color w:val="auto"/>
              </w:rPr>
            </w:pPr>
            <w:r>
              <w:rPr>
                <w:rFonts w:ascii="Arial" w:cs="Arial" w:eastAsia="Arial" w:hAnsi="Arial"/>
                <w:sz w:val="18"/>
                <w:szCs w:val="18"/>
                <w:color w:val="auto"/>
              </w:rPr>
              <w:t xml:space="preserve">Equity interest in HSLFI and debt investments </w:t>
            </w:r>
            <w:r>
              <w:rPr>
                <w:rFonts w:ascii="Arial" w:cs="Arial" w:eastAsia="Arial" w:hAnsi="Arial"/>
                <w:sz w:val="29"/>
                <w:szCs w:val="29"/>
                <w:color w:val="auto"/>
                <w:vertAlign w:val="superscript"/>
              </w:rPr>
              <w:t>(1)(3)(4)</w:t>
            </w:r>
          </w:p>
        </w:tc>
        <w:tc>
          <w:tcPr>
            <w:tcW w:w="5240" w:type="dxa"/>
            <w:vAlign w:val="bottom"/>
            <w:gridSpan w:val="4"/>
          </w:tcPr>
          <w:p>
            <w:pPr>
              <w:jc w:val="right"/>
              <w:ind w:right="120"/>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r>
      <w:tr>
        <w:trPr>
          <w:trHeight w:val="257"/>
        </w:trPr>
        <w:tc>
          <w:tcPr>
            <w:tcW w:w="4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29"/>
                <w:szCs w:val="29"/>
                <w:color w:val="auto"/>
                <w:vertAlign w:val="superscript"/>
              </w:rPr>
              <w:t>(1)(4)(5)</w:t>
            </w:r>
          </w:p>
        </w:tc>
        <w:tc>
          <w:tcPr>
            <w:tcW w:w="5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4780" w:type="dxa"/>
            <w:vAlign w:val="bottom"/>
          </w:tcPr>
          <w:p>
            <w:pPr>
              <w:spacing w:after="0"/>
              <w:rPr>
                <w:sz w:val="20"/>
                <w:szCs w:val="20"/>
                <w:color w:val="auto"/>
              </w:rPr>
            </w:pPr>
            <w:r>
              <w:rPr>
                <w:rFonts w:ascii="Arial" w:cs="Arial" w:eastAsia="Arial" w:hAnsi="Arial"/>
                <w:sz w:val="18"/>
                <w:szCs w:val="18"/>
                <w:color w:val="auto"/>
              </w:rPr>
              <w:t>All investments</w:t>
            </w:r>
            <w:r>
              <w:rPr>
                <w:rFonts w:ascii="Arial" w:cs="Arial" w:eastAsia="Arial" w:hAnsi="Arial"/>
                <w:sz w:val="30"/>
                <w:szCs w:val="30"/>
                <w:color w:val="auto"/>
                <w:vertAlign w:val="superscript"/>
              </w:rPr>
              <w:t>(1)(6)</w:t>
            </w:r>
          </w:p>
        </w:tc>
        <w:tc>
          <w:tcPr>
            <w:tcW w:w="5240" w:type="dxa"/>
            <w:vAlign w:val="bottom"/>
            <w:gridSpan w:val="4"/>
          </w:tcPr>
          <w:p>
            <w:pPr>
              <w:jc w:val="right"/>
              <w:ind w:right="120"/>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515"/>
        </w:trPr>
        <w:tc>
          <w:tcPr>
            <w:tcW w:w="47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jc w:val="both"/>
        <w:ind w:left="340" w:hanging="332"/>
        <w:spacing w:after="0" w:line="26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097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9750" cy="8890"/>
                    </a:xfrm>
                    <a:prstGeom prst="rect">
                      <a:avLst/>
                    </a:prstGeom>
                    <a:noFill/>
                  </pic:spPr>
                </pic:pic>
              </a:graphicData>
            </a:graphic>
          </wp:anchor>
        </w:drawing>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2"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ind w:left="340" w:right="2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HSLFI was formed on June 1, 2018. There was no yield from equity interest in HSLFI for the three months ended June 30, 2018.</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w:t>
      </w:r>
    </w:p>
    <w:p>
      <w:pPr>
        <w:ind w:left="34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27% and 32% of investment income for the three months ended June 30, 2019 and 2018, respectively.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expenses increased by $1.4 million, or 35.7%, to $5.5 million for the three months ended June 30, 2019 as compared to the three months ended June 30, 2018.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increased by $0.7 million, or 45.8%, to $2.1 million for the three months ended June 30, 2019 as compared to the three months ended June 30, 2018. Interest expense, which includes the amortization of debt issuance costs, increased primarily due to an increase in average borrowings of $40.4 million, or 45.5%, for the three months ended June 30, 2019 as compared to the three months ended June 30, 2018.</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Base management fee expense increased by $0.3 million, or 25.5%, to $1.4 million for the three months ended June 30, 2019 as compared to the three months ended June 30, 2018. Base management fee increased primarily due to an increase of $47.5 million, or 24.8%, in the average size of our investment portfolio for the three months ended June 30, 2019 as compared to the three months ended June 30, 2018.</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June 30, 2019, our Advisor waived performance based incentive fees of $0.7 million which our Advisor would have otherwise been paid. This resulted in $0.7 million of reduced expense and additional net investment income for the three months ended June 30, 2019.</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three months ended June 30, 2018, our Advisor waived performance based incentive fees of $0.2 million which our Advisor would have otherwise been paid. This resulted in $0.2 million of reduced expense and additional net investment income for the three months ended June 30, 2018.</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Performance based incentive fee expense, net of the waiver above, increased by $0.4 million, or 52.2%, to $1.3 million for the three months ended June 30, 2019 as compared to the three months ended June 30, 2018. This increase was due to an increase of $2.2 million, or 52.2%, in Pre-Incentive Fee Net Investment Income for the three months ended June 30, 2019 compared to the three months ended June 30,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Administrative fee expense, professional fees and general and administrative were $0.7 million for the three months ended June 30, 2019 and 2018.</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June 30, 2019, we realized net losses totaling $4.6 million primarily due to the expiration of one of our royalty agreements which was included in other investments. During the three months ended June 30, 2018, we realized net losses totaling $0.2 million primarily due to the write off of warrants in four portfolio companies.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June 30, 2019, net unrealized appreciation on investments totaled $4.1 million which was primarily due to (1) a reversal of previously recorded unrealized depreciation on one of our royalty agreements which was included in other investments and (2) unrealized appreciation on one of our equity investments. These amounts were partially offset by unrealized depreciation on one of our debt investments. During the three months ended June 30, 2018, net unrealized depreciation on investments totaled $0.2 million which was primarily due to unrealized depreciation on two public warrant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consolidated results of operations for the six months ended June 30, 2019 and 2018: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18,775</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12,378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Performance based incentive fee waived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63"/>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229,943</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196,143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126,878</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92,005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Total investment income increased by $4.3 million, or 29.6%, to $18.8 million for the six months ended June 30, 2019 as compared to the six months ended June 30, 2018. For the six months ended June 30, 2019, total investment income consisted primarily of $16.9 million in interest income from investments, which included $4.0 million in income from the accretion of origination fees and ETPs and $1.1 million in fee income. Interest income on debt investments increased by $3.3 million, or 24.1%, for the six months ended June 30, 2019 compared to the six months ended June 30, 2018. Interest income on debt investments for the six months ended June 30, 2019 as compared to the six months ended June 30, 2018 increased primarily due to an increase of $33.8 million, or 17.2%, in the average size of our debt investment portfolio and an increase in one-month LIBOR which is the base rate for most of our variable rate debt investments. Fee income, which includes success fee and prepayment fee income on debt investments, increased by $0.2 million, or 28.5%, to $1.1 million for the six months ended June 30, 2019 compared to the six months ended June 30, 2018 primarily due to an increase in fees earned on higher principal prepayments received.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shows our dollar-weighted annualized yield for the six months ended June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8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type: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r>
      <w:tr>
        <w:trPr>
          <w:trHeight w:val="250"/>
        </w:trPr>
        <w:tc>
          <w:tcPr>
            <w:tcW w:w="84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Debt investments</w:t>
            </w:r>
            <w:r>
              <w:rPr>
                <w:rFonts w:ascii="Arial" w:cs="Arial" w:eastAsia="Arial" w:hAnsi="Arial"/>
                <w:sz w:val="28"/>
                <w:szCs w:val="28"/>
                <w:color w:val="auto"/>
                <w:vertAlign w:val="superscript"/>
              </w:rPr>
              <w:t>(1)(2)</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Equity interest in HSLFI and debt investments </w:t>
            </w:r>
            <w:r>
              <w:rPr>
                <w:rFonts w:ascii="Arial" w:cs="Arial" w:eastAsia="Arial" w:hAnsi="Arial"/>
                <w:sz w:val="29"/>
                <w:szCs w:val="29"/>
                <w:color w:val="auto"/>
                <w:vertAlign w:val="superscript"/>
              </w:rPr>
              <w:t>(1)(3)(4)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29"/>
                <w:szCs w:val="29"/>
                <w:color w:val="auto"/>
                <w:vertAlign w:val="superscript"/>
              </w:rPr>
              <w:t>(1)(4)(5)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8500" w:type="dxa"/>
            <w:vAlign w:val="bottom"/>
            <w:gridSpan w:val="2"/>
          </w:tcPr>
          <w:p>
            <w:pPr>
              <w:spacing w:after="0"/>
              <w:rPr>
                <w:sz w:val="20"/>
                <w:szCs w:val="20"/>
                <w:color w:val="auto"/>
              </w:rPr>
            </w:pPr>
            <w:r>
              <w:rPr>
                <w:rFonts w:ascii="Arial" w:cs="Arial" w:eastAsia="Arial" w:hAnsi="Arial"/>
                <w:sz w:val="18"/>
                <w:szCs w:val="18"/>
                <w:color w:val="auto"/>
              </w:rPr>
              <w:t>All investments</w:t>
            </w:r>
            <w:r>
              <w:rPr>
                <w:rFonts w:ascii="Arial" w:cs="Arial" w:eastAsia="Arial" w:hAnsi="Arial"/>
                <w:sz w:val="30"/>
                <w:szCs w:val="30"/>
                <w:color w:val="auto"/>
                <w:vertAlign w:val="superscript"/>
              </w:rPr>
              <w:t>(1)(6)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5" w:lineRule="exact"/>
        <w:rPr>
          <w:sz w:val="20"/>
          <w:szCs w:val="20"/>
          <w:color w:val="auto"/>
        </w:rPr>
      </w:pPr>
    </w:p>
    <w:p>
      <w:pPr>
        <w:jc w:val="both"/>
        <w:ind w:left="340" w:hanging="332"/>
        <w:spacing w:after="0" w:line="269"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2"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ind w:left="340" w:right="2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HSLFI was formed on June 1, 2018. There was no yield from equity interest in HSLFI for the six months ended June 30, 2018.</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w:t>
      </w:r>
    </w:p>
    <w:p>
      <w:pPr>
        <w:ind w:left="340" w:hanging="332"/>
        <w:spacing w:after="0" w:line="26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28% and 31% of investment income for the six months ended June 30, 2019 and 2018, respectively.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expenses increased by $2.5 million, or 31.8%, to $10.5 million for the six months ended June 30, 2019 as compared to the six months ended June 30, 2018.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expense increased by $1.2 million, or 41.8%, to $4.2 million for the six months ended June 30, 2019 as compared to the six months ended June 30, 2018. Interest expense, which includes the amortization of debt issuance costs, increased primarily due to an increase in average borrowings of $34.9 million, or 37.9% and an increase in one-month LIBOR for the six months ended June 30, 2019 as compared to the six months ended June 30, 2018.</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 management fee expense increased by $0.5 million, or 20.9%, to $2.7 million for the six months ended June 30, 2019 as compared to the six months ended June 30, 2018. Base management fee increased primarily due to an increase of $33.8 million, or 17.2%, in the average size of our investment portfolio for the six months ended June 30, 2019 as compared to the six months ended June 30, 2018.</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six months ended June 30, 2019, our Advisor waived performance based incentive fees of $1.8 million which our Advisor would have otherwise been paid. This resulted in $1.8 million of reduced expense and additional net investment income for the six months ended June 30, 2019.</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six months ended June 30, 2018, our Advisor waived performance based incentive fees of $0.2 million which our Advisor would have otherwise been paid. This resulted in $0.2 million of reduced expense and additional net investment income for the six months ended June 30,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324"/>
        <w:spacing w:after="0" w:line="255" w:lineRule="auto"/>
        <w:rPr>
          <w:sz w:val="20"/>
          <w:szCs w:val="20"/>
          <w:color w:val="auto"/>
        </w:rPr>
      </w:pPr>
      <w:r>
        <w:rPr>
          <w:rFonts w:ascii="Arial" w:cs="Arial" w:eastAsia="Arial" w:hAnsi="Arial"/>
          <w:sz w:val="18"/>
          <w:szCs w:val="18"/>
          <w:color w:val="auto"/>
        </w:rPr>
        <w:t>Performance based incentive fee expense, net of the waiver above, increased by $0.7 million, or 50.7%, to $2.1 million for the six months ended June 30, 2019 as compared to the six months ended June 30, 2018. This increase was due to (i) an increase of $2.4 million, or 31.0%, in Pre-Incentive Fee Net Investment Income for the six months ended June 30, 2019 compared to the six months ended June 30, 2018 and (ii) an increase in the Incentive Fee Cap calculated based on the incentive fee cap and deferral mechanism in our Investment Management Agreement for the six months ended June 30, 2019 compared to the six months ended June 30, 2018. The incentive fee on pre-incentive fee net investment income was subject to the Incentive Fee Cap for the six months ended June 30, 2018 due to the cumulative incentive fees paid exceeding 20% of cumulative pre-incentive fee net return during the applicable quarter and the 11 preceding full calendar quarters.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were $1.6 million and $1.5 million, respectively, for the six months ended June 30, 2019 and 2018.</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six months ended June 30, 2019, we realized net losses totaling $3.4 million primarily due to the expiration of one of our royalty agreements which was included in other investments which was partially offset by a gain on the sale of our equity investment in one portfolio company and from the consideration we received from the termination of warrants upon the sale of one portfolio company. During the six months ended June 30, 2018, we realized net losses totaling $0.3 million primarily due to the write off of warrants in seven portfolio companies.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six months ended June 30, 2019, net unrealized appreciation on investments totaled $2.8 million which was primarily due to the net unrealized appreciation on two of our royalty agreements which were included in other investments and the unrealized appreciation on one of our equity investments, partially offset by the unrealized depreciation on one of our debt investments. During the six months ended June 30, 2018, net unrealized depreciation on investments totaled $0.7 million which was primarily due to the unrealized depreciation on one debt investment and the unrealized depreciation on two public warrant investments.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and December 31, 2018, we had cash of $7.6 million and $12.6 million, respectively. Cash is available to fund new investments, reduce borrowings, pay expenses, repurchase common stock and pay distributions. Our primary sources of capital have been from our public and private equity offerings, use of our revolving credit facilities and issuance of our public debt offerings.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26, 2019,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 repurchase program will terminate on the earlier of June 30, 2020 or the repurchase of $5.0 million of our common stock. During the three and six months ended June 30, 2019 and 2018, we did not make any repurchases of our common stock. From the inception of the stock repurchase program through June 30, 2019, we repurchased 167,465 shares of our common stock at an average price of $11.22 on the open market at a total cost of $1.9 million.</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2019 and December 31, 2018, the outstanding principal balance under our revolving credit facility, or the Key Facility, with KeyBank National Association was $89.0 million and $90.5 million, respectively. As of June 30, 2019 and December 31, 2018, we had borrowing capacity under the Key Facility of $36.0 million and $34.5 million, respectively. At June 30, 2019 and December 31, 2018, $12.5 million and $0.9 million, respectively, were available, subject to existing terms and advance rates.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324"/>
        <w:spacing w:after="0" w:line="276" w:lineRule="auto"/>
        <w:rPr>
          <w:sz w:val="20"/>
          <w:szCs w:val="20"/>
          <w:color w:val="auto"/>
        </w:rPr>
      </w:pPr>
      <w:r>
        <w:rPr>
          <w:rFonts w:ascii="Arial" w:cs="Arial" w:eastAsia="Arial" w:hAnsi="Arial"/>
          <w:sz w:val="17"/>
          <w:szCs w:val="17"/>
          <w:color w:val="auto"/>
        </w:rPr>
        <w:t>Our operating activities used cash of $19.5 million for the six months ended June 30, 2019, and our financing activities provided cash of $14.4 million for the same period. Our operating activities used cash primarily to purchase investments in portfolio companies partially offset by principal payments received on our debt investments. Our financing activities provided cash primarily from the completion of a follow-on public offering of 2.0 million shares of common stock for net proceeds of $23.1 million, after deducting underwriting commission and discounts and other offering expenses and advances on our Key Facility, partially offset by cash used to repay our Key Facility and pay distributions to our stockholders.</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operating activities provided cash of $1.6 million for the six months ended June 30, 2018, and our financing activities provided cash of $2.6 million for the same period. Our operating activities provided cash primarily from principal payments received on our debt investments. Our financing activities provided cash primarily from advances on our Key Facility, partially offset by cash used to repay our Key Facility and pay distributions to our stockholders.</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borrowings as of June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b w:val="1"/>
                <w:bCs w:val="1"/>
                <w:color w:val="auto"/>
                <w:w w:val="90"/>
              </w:rPr>
              <w:t>December 31, 2018</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Commitment</w:t>
            </w:r>
          </w:p>
        </w:tc>
        <w:tc>
          <w:tcPr>
            <w:tcW w:w="12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Outstanding</w:t>
            </w:r>
          </w:p>
        </w:tc>
        <w:tc>
          <w:tcPr>
            <w:tcW w:w="8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w:t>
            </w: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Commitment</w:t>
            </w:r>
          </w:p>
        </w:tc>
        <w:tc>
          <w:tcPr>
            <w:tcW w:w="1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900" w:type="dxa"/>
            <w:vAlign w:val="bottom"/>
          </w:tcPr>
          <w:p>
            <w:pPr>
              <w:spacing w:after="0" w:line="182" w:lineRule="exact"/>
              <w:rPr>
                <w:sz w:val="20"/>
                <w:szCs w:val="20"/>
                <w:color w:val="auto"/>
              </w:rPr>
            </w:pPr>
            <w:r>
              <w:rPr>
                <w:rFonts w:ascii="Arial" w:cs="Arial" w:eastAsia="Arial" w:hAnsi="Arial"/>
                <w:sz w:val="18"/>
                <w:szCs w:val="18"/>
                <w:color w:val="auto"/>
                <w:w w:val="92"/>
              </w:rPr>
              <w:t>Unamortized debt issuance costs attributable to term</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entered into the Key Facility effective November 4, 2013. The interest rate on the Key Facility is based upon the one-month LIBOR plus a spread of 3.25%, with a LIBOR floor of 0.75%. The LIBOR rate was 2.40% and 2.50% as of June 30, 2019 and December 31, 2018, respectively. The interest rates in effect were 5.69% and 5.60% as of June 30, 2019 and December 31, 2018, respectively. The Key Facility requires the payment of an unused line fee in an amount equal to 0.50% of any unborrowed amount available under the facility annually.</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Key Facility has an accordion feature which allows for an increase in the total loan commitment to $150 million. On December 28, 2018, we amended the Key Facility, increasing the aggregate commitments under the Key Facility by $25 million to $125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324"/>
        <w:spacing w:after="0" w:line="288" w:lineRule="auto"/>
        <w:rPr>
          <w:sz w:val="20"/>
          <w:szCs w:val="20"/>
          <w:color w:val="auto"/>
        </w:rPr>
      </w:pPr>
      <w:r>
        <w:rPr>
          <w:rFonts w:ascii="Arial" w:cs="Arial" w:eastAsia="Arial" w:hAnsi="Arial"/>
          <w:sz w:val="16"/>
          <w:szCs w:val="16"/>
          <w:color w:val="auto"/>
        </w:rPr>
        <w:t>On September 29, 2017, we issued and sold an aggregate principal amount of $32.5 million of our 6.25% notes due 2022, or the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June 30, 2019, we were in material compliance with the terms of the 2022 Notes. The 2022 Notes are listed on the New York Stock Exchange under the symbol “HTFA”.</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2019 and December 31, 2018, other assets were $1.9 million and $1.8 million, respectively, which is primarily comprised of debt issuance costs and prepaid expenses.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significant contractual payment obligations and off-balance sheet arrangements as of June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right"/>
              <w:ind w:right="5"/>
              <w:spacing w:after="0"/>
              <w:rPr>
                <w:sz w:val="20"/>
                <w:szCs w:val="20"/>
                <w:color w:val="auto"/>
              </w:rPr>
            </w:pPr>
            <w:r>
              <w:rPr>
                <w:rFonts w:ascii="Arial" w:cs="Arial" w:eastAsia="Arial" w:hAnsi="Arial"/>
                <w:sz w:val="18"/>
                <w:szCs w:val="18"/>
                <w:b w:val="1"/>
                <w:bCs w:val="1"/>
                <w:color w:val="auto"/>
              </w:rPr>
              <w:t>Payments due by period</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5"/>
              </w:rPr>
              <w:t>(In thousands)</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9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74,061</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51,523</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Unfunded commitments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June 30, 2019, we had such unfunded commitments of $43.0 million. This includes no undrawn revolver commitments.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June 30, 2019, we reasonably believed that our assets would provide adequate financial resources to satisfy all of our unfunded commitments.</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June 30, 2019 and 2018, we paid the Advisor $2.6 million and $1.9 million, respectively, pursuant to the Investment Management Agreement. During the six months ended June 30, 2019 and 2018, we paid the Advisor $4.7 million and $3.6 million, respectively, pursuant to the Investment Management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324"/>
        <w:spacing w:after="0" w:line="264" w:lineRule="auto"/>
        <w:rPr>
          <w:sz w:val="20"/>
          <w:szCs w:val="20"/>
          <w:color w:val="auto"/>
        </w:rPr>
      </w:pPr>
      <w:r>
        <w:rPr>
          <w:rFonts w:ascii="Arial" w:cs="Arial" w:eastAsia="Arial" w:hAnsi="Arial"/>
          <w:sz w:val="18"/>
          <w:szCs w:val="18"/>
          <w:color w:val="auto"/>
        </w:rPr>
        <w:t>Our Advisor is wholly-owned by HTF Holdings LLC, which is wholly-owned by Horizon Technology Finance, LLC. By virtue of their ownership interest in Horizon Technology Finance, LLC, our Chief Executive Officer, Robert D. Pomeroy, Jr. and our President, Gerald A. Michaud, may be deemed to control our Advisor.</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June 30, 2019 and 2018, we paid the Advisor $0.2 million pursuant to the Administration Agreement. During the six months ended June 30, 2019 and 2018, we paid the Advisor $0.4 million pursuant to the Administration Agreement.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37" w:lineRule="exact"/>
        <w:rPr>
          <w:sz w:val="20"/>
          <w:szCs w:val="20"/>
          <w:color w:val="auto"/>
        </w:rPr>
      </w:pPr>
    </w:p>
    <w:p>
      <w:pPr>
        <w:jc w:val="both"/>
        <w:ind w:left="60" w:firstLine="270"/>
        <w:spacing w:after="0" w:line="279"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3"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left="1100" w:right="260" w:hanging="769"/>
        <w:spacing w:after="0" w:line="264" w:lineRule="auto"/>
        <w:tabs>
          <w:tab w:leader="none" w:pos="10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100" w:right="260" w:hanging="769"/>
        <w:spacing w:after="0" w:line="259" w:lineRule="auto"/>
        <w:tabs>
          <w:tab w:leader="none" w:pos="10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six months ended June 30, 2019 and 2018, we did not recognize any interest income from debt investments on non-accrual status.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and six months ended June 30, 2019, HSLFI distributed $0.3 million and $0.5 million, respectively, classified as dividend income to us. For the period June 1, 2018 (the commencement of HSLFI’s operations) through June 30, 2018, there were no distributions from HSLFI.</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Tax benefits of positions not deemed to meet the more-likely-than-not threshold, or uncertain tax positions, are recorded as a tax expense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It is our policy to recognize accrued interest and penalties related to uncertain tax benefits in income tax expense. We had no material uncertain tax positions at June 30, 2019 and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we adopted ASU 2014-09 effective January 1, 2018, and such adoption did not have an impact on our consolidated financial statements and disclosures.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or ASU 2018-13, which modifies disclosure requirements for the fair value measurement of Level 3 securities of public companies. This guidance is effective for annual and interim periods beginning on or after December 15, 2019 and early adoption is permitted. We elected to early adopt ASU 2018-13 for the year ended December 31, 2018. As a result, no significant changes were made to our disclosures in the notes to the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SEC Disclosure Update and Simplification</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August 2018, the SEC adopted the final rule under SEC Release No. 33-10532, Disclosure Update and Simplification, or the SEC Release, amending certain disclosure requirements that were redundant, duplicative, overlapping, outdated or superseded. The SEC Release is effective for all filings on or after November 5, 2018. As required, we adopted the SEC Release for the year ended December 31, 2018. The SEC Release required changes to the presentation of our Consolidated Statements of Assets and Liabilities and the Consolidated Statements of Changes in Net Assets. Prior to adoption, we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we present distributable earnings in total on the Consolidated Statements of Assets and Liabilities and the Consolidated Statements of Changes in Net Assets. The changes in presentation have been retrospectively applied to the Consolidated Statements of Changes in Net Assets for the six months ended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 2019, we funded a $5.0 million loan to a new portfolio company, LogicBio Therapeutics, Inc., a genome editing company focused on developing medicines to durably treat rare diseases.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are subject to financial market risks, including changes in interest rates. During the periods covered by our financial statements, the interest rates on the debt investments within our portfolio were primarily at floating rates.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debt investments in the future will primarily have floating interest rates. As of June 30, 2019 and December 31, 2018, 99% of the outstanding principal amount of our debt investments bore interest at floating rates. The initial commitments to lend to our portfolio companies are usually based on a floating LIBOR index.</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our June 30, 2019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June 30, 2019, the following table shows the annual impact on the change in net assets resulting from operations of changes in interest rates, which assumes no changes in our investments and borrowings: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Investment</w:t>
            </w:r>
          </w:p>
        </w:tc>
        <w:tc>
          <w:tcPr>
            <w:tcW w:w="240" w:type="dxa"/>
            <w:vAlign w:val="bottom"/>
          </w:tcPr>
          <w:p>
            <w:pPr>
              <w:spacing w:after="0"/>
              <w:rPr>
                <w:sz w:val="19"/>
                <w:szCs w:val="19"/>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7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Change in basis points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23"/>
                <w:szCs w:val="23"/>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Expense</w:t>
            </w:r>
          </w:p>
        </w:tc>
        <w:tc>
          <w:tcPr>
            <w:tcW w:w="1200" w:type="dxa"/>
            <w:vAlign w:val="bottom"/>
            <w:gridSpan w:val="3"/>
          </w:tcPr>
          <w:p>
            <w:pPr>
              <w:jc w:val="right"/>
              <w:ind w:right="120"/>
              <w:spacing w:after="0" w:line="269" w:lineRule="exact"/>
              <w:rPr>
                <w:sz w:val="20"/>
                <w:szCs w:val="20"/>
                <w:color w:val="auto"/>
              </w:rPr>
            </w:pPr>
            <w:r>
              <w:rPr>
                <w:rFonts w:ascii="Arial" w:cs="Arial" w:eastAsia="Arial" w:hAnsi="Arial"/>
                <w:sz w:val="18"/>
                <w:szCs w:val="18"/>
                <w:b w:val="1"/>
                <w:bCs w:val="1"/>
                <w:color w:val="auto"/>
                <w:w w:val="90"/>
              </w:rPr>
              <w:t>Net Assets</w:t>
            </w:r>
            <w:r>
              <w:rPr>
                <w:rFonts w:ascii="Arial" w:cs="Arial" w:eastAsia="Arial" w:hAnsi="Arial"/>
                <w:sz w:val="30"/>
                <w:szCs w:val="30"/>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Up 200 basis points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Down 300 basis points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Down 100 basis points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our 2022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June 30, 2019,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other information set forth in this report, you should carefully consider the factors set forth below and in “Item 1A Risk Factors” in our annual report on Form 10-K for the year ended December 31, 2018,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six months ended June 30, 2019 to the risk factors set forth in “Item 1A. Risk Factors” of our annual report on Form 10-K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passed legislation will allow us to incur additional leverage.</w:t>
      </w:r>
    </w:p>
    <w:p>
      <w:pPr>
        <w:spacing w:after="0" w:line="225"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81"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47"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6"/>
          <w:szCs w:val="16"/>
          <w:color w:val="auto"/>
        </w:rPr>
        <w:t>As a BDC, we are required to meet a 150% asset coverage ratio, subject to certain disclosure requirements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980" w:type="dxa"/>
            <w:vAlign w:val="bottom"/>
            <w:gridSpan w:val="5"/>
          </w:tcPr>
          <w:p>
            <w:pPr>
              <w:ind w:left="158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80" w:type="dxa"/>
            <w:vAlign w:val="bottom"/>
            <w:gridSpan w:val="5"/>
          </w:tcPr>
          <w:p>
            <w:pPr>
              <w:ind w:left="24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400" w:type="dxa"/>
            <w:vAlign w:val="bottom"/>
            <w:tcBorders>
              <w:top w:val="single" w:sz="8" w:color="auto"/>
            </w:tcBorders>
          </w:tcPr>
          <w:p>
            <w:pPr>
              <w:spacing w:after="0" w:line="170"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5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60" w:type="dxa"/>
            <w:vAlign w:val="bottom"/>
            <w:tcBorders>
              <w:top w:val="single" w:sz="8" w:color="auto"/>
            </w:tcBorders>
            <w:gridSpan w:val="8"/>
          </w:tcPr>
          <w:p>
            <w:pPr>
              <w:spacing w:after="0" w:line="170"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Certifications by Chief Executive Officer pursuant to Exchange Act Rule 13a-14(a), as adopted pursuant to Section 302 of the Sarbanes-</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Oxley Act of 2002, as amended</w:t>
              </w:r>
            </w:hyperlink>
          </w:p>
        </w:tc>
        <w:tc>
          <w:tcPr>
            <w:tcW w:w="7540" w:type="dxa"/>
            <w:vAlign w:val="bottom"/>
            <w:tcBorders>
              <w:top w:val="single" w:sz="8" w:color="0000EE"/>
            </w:tcBorders>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4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Certifications by Chief Financial Officer pursuant to Exchange Act Rule 13a-14(a), as adopted pursuant to Section 302 of the Sarbanes-Oxley</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Act of 2002, as amended</w:t>
              </w:r>
            </w:hyperlink>
          </w:p>
        </w:tc>
        <w:tc>
          <w:tcPr>
            <w:tcW w:w="842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4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of the Chief Executive Officer pursuant to 18 U.S.C. Section 1350, as adopted pursuant to Section 906 of the Sarbanes-Oxley</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Act of 2002, as amended</w:t>
              </w:r>
            </w:hyperlink>
          </w:p>
        </w:tc>
        <w:tc>
          <w:tcPr>
            <w:tcW w:w="8200" w:type="dxa"/>
            <w:vAlign w:val="bottom"/>
            <w:tcBorders>
              <w:top w:val="single" w:sz="8" w:color="0000EE"/>
            </w:tcBorders>
            <w:gridSpan w:val="3"/>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4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the Chief Financial Officer pursuant to 18 U.S.C. Section 1350, as adopted pursuant to Section 906 of the Sarbanes-Oxley Act</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of 2002, as amended</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ORIZON</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C</w:t>
            </w:r>
            <w:r>
              <w:rPr>
                <w:rFonts w:ascii="Arial" w:cs="Arial" w:eastAsia="Arial" w:hAnsi="Arial"/>
                <w:sz w:val="12"/>
                <w:szCs w:val="12"/>
                <w:color w:val="auto"/>
              </w:rPr>
              <w:t>ORPORATION</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30, 2019</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35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Robert D. Pomeroy, Jr.</w:t>
            </w:r>
          </w:p>
        </w:tc>
      </w:tr>
      <w:tr>
        <w:trPr>
          <w:trHeight w:val="230"/>
        </w:trPr>
        <w:tc>
          <w:tcPr>
            <w:tcW w:w="3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Chief Executive Officer and Chairman of the Board</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30, 2019</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35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Daniel R. Trolio</w:t>
            </w:r>
          </w:p>
        </w:tc>
      </w:tr>
      <w:tr>
        <w:trPr>
          <w:trHeight w:val="230"/>
        </w:trPr>
        <w:tc>
          <w:tcPr>
            <w:tcW w:w="3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648"/>
        </w:trPr>
        <w:tc>
          <w:tcPr>
            <w:tcW w:w="35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68</w:t>
            </w:r>
          </w:p>
        </w:tc>
        <w:tc>
          <w:tcPr>
            <w:tcW w:w="5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332"/>
        <w:spacing w:after="0" w:line="264" w:lineRule="auto"/>
        <w:tabs>
          <w:tab w:leader="none" w:pos="5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277" w:lineRule="auto"/>
        <w:tabs>
          <w:tab w:leader="none" w:pos="5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332"/>
        <w:spacing w:after="0" w:line="308" w:lineRule="auto"/>
        <w:tabs>
          <w:tab w:leader="none" w:pos="5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332"/>
        <w:spacing w:after="0" w:line="277"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D. Pomeroy, Jr.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332"/>
        <w:spacing w:after="0" w:line="264" w:lineRule="auto"/>
        <w:tabs>
          <w:tab w:leader="none" w:pos="5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277" w:lineRule="auto"/>
        <w:tabs>
          <w:tab w:leader="none" w:pos="5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332"/>
        <w:spacing w:after="0" w:line="308" w:lineRule="auto"/>
        <w:tabs>
          <w:tab w:leader="none" w:pos="5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332"/>
        <w:spacing w:after="0" w:line="277" w:lineRule="auto"/>
        <w:tabs>
          <w:tab w:leader="none" w:pos="5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Trolio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June 30, 2019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87"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In connection with the Quarterly Report on Form 10-Q of Horizon Technology Finance Corporation (the “Company”) for the quarterly period ended June 30, 2019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47" w:lineRule="exact"/>
        <w:rPr>
          <w:sz w:val="20"/>
          <w:szCs w:val="20"/>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2019-12-28T09:45:49Z</dcterms:created>
  <dcterms:modified xsi:type="dcterms:W3CDTF">2019-12-28T09:45:49Z</dcterms:modified>
</cp:coreProperties>
</file>