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13, 2023</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HORIZON TECHNOLOGY FINANCE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36" w:right="339" w:bottom="144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814-00802</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27-2114934</w:t>
      </w:r>
    </w:p>
    <w:p>
      <w:pPr>
        <w:spacing w:after="0" w:line="27" w:lineRule="exact"/>
        <w:rPr>
          <w:sz w:val="24"/>
          <w:szCs w:val="24"/>
          <w:color w:val="auto"/>
        </w:rPr>
      </w:pPr>
    </w:p>
    <w:p>
      <w:pPr>
        <w:jc w:val="center"/>
        <w:ind w:right="4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80" w:space="720"/>
            <w:col w:w="2780" w:space="720"/>
            <w:col w:w="3040"/>
          </w:cols>
          <w:pgMar w:left="320" w:top="436" w:right="339" w:bottom="1440" w:gutter="0" w:footer="0" w:header="0"/>
          <w:type w:val="continuous"/>
        </w:sectPr>
      </w:pPr>
    </w:p>
    <w:p>
      <w:pPr>
        <w:ind w:left="1200"/>
        <w:spacing w:after="0"/>
        <w:rPr>
          <w:sz w:val="20"/>
          <w:szCs w:val="20"/>
          <w:color w:val="auto"/>
        </w:rPr>
      </w:pPr>
      <w:r>
        <w:rPr>
          <w:rFonts w:ascii="Arial" w:cs="Arial" w:eastAsia="Arial" w:hAnsi="Arial"/>
          <w:sz w:val="18"/>
          <w:szCs w:val="18"/>
          <w:color w:val="auto"/>
        </w:rPr>
        <w:t>of incorporation)</w:t>
      </w:r>
    </w:p>
    <w:p>
      <w:pPr>
        <w:spacing w:after="0" w:line="20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312 Farmington Avenue</w:t>
      </w:r>
    </w:p>
    <w:p>
      <w:pPr>
        <w:spacing w:after="0" w:line="27"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Farmington, CT 06032</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and zip code)</w:t>
      </w:r>
    </w:p>
    <w:p>
      <w:pPr>
        <w:sectPr>
          <w:pgSz w:w="11900" w:h="16838" w:orient="portrait"/>
          <w:cols w:equalWidth="0" w:num="1">
            <w:col w:w="11240"/>
          </w:cols>
          <w:pgMar w:left="320" w:top="436" w:right="339" w:bottom="1440" w:gutter="0" w:footer="0" w:header="0"/>
          <w:type w:val="continuous"/>
        </w:sect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(860) 676-8654</w:t>
      </w:r>
    </w:p>
    <w:p>
      <w:pPr>
        <w:spacing w:after="0" w:line="229"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8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Ticker symbol(s)</w:t>
            </w:r>
          </w:p>
        </w:tc>
        <w:tc>
          <w:tcPr>
            <w:tcW w:w="180" w:type="dxa"/>
            <w:vAlign w:val="bottom"/>
          </w:tcPr>
          <w:p>
            <w:pPr>
              <w:spacing w:after="0"/>
              <w:rPr>
                <w:sz w:val="20"/>
                <w:szCs w:val="20"/>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5"/>
        </w:trPr>
        <w:tc>
          <w:tcPr>
            <w:tcW w:w="4300" w:type="dxa"/>
            <w:vAlign w:val="bottom"/>
          </w:tcPr>
          <w:p>
            <w:pPr>
              <w:jc w:val="center"/>
              <w:spacing w:after="0" w:line="195" w:lineRule="exact"/>
              <w:rPr>
                <w:sz w:val="20"/>
                <w:szCs w:val="20"/>
                <w:color w:val="auto"/>
              </w:rPr>
            </w:pPr>
            <w:r>
              <w:rPr>
                <w:rFonts w:ascii="Arial" w:cs="Arial" w:eastAsia="Arial" w:hAnsi="Arial"/>
                <w:sz w:val="18"/>
                <w:szCs w:val="18"/>
                <w:color w:val="auto"/>
                <w:w w:val="89"/>
              </w:rPr>
              <w:t>Common Stock, par value $0.001 per share</w:t>
            </w:r>
          </w:p>
        </w:tc>
        <w:tc>
          <w:tcPr>
            <w:tcW w:w="180" w:type="dxa"/>
            <w:vAlign w:val="bottom"/>
          </w:tcPr>
          <w:p>
            <w:pPr>
              <w:spacing w:after="0"/>
              <w:rPr>
                <w:sz w:val="16"/>
                <w:szCs w:val="16"/>
                <w:color w:val="auto"/>
              </w:rPr>
            </w:pPr>
          </w:p>
        </w:tc>
        <w:tc>
          <w:tcPr>
            <w:tcW w:w="2180" w:type="dxa"/>
            <w:vAlign w:val="bottom"/>
          </w:tcPr>
          <w:p>
            <w:pPr>
              <w:jc w:val="center"/>
              <w:spacing w:after="0" w:line="195" w:lineRule="exact"/>
              <w:rPr>
                <w:sz w:val="20"/>
                <w:szCs w:val="20"/>
                <w:color w:val="auto"/>
              </w:rPr>
            </w:pPr>
            <w:r>
              <w:rPr>
                <w:rFonts w:ascii="Arial" w:cs="Arial" w:eastAsia="Arial" w:hAnsi="Arial"/>
                <w:sz w:val="18"/>
                <w:szCs w:val="18"/>
                <w:color w:val="auto"/>
                <w:w w:val="99"/>
              </w:rPr>
              <w:t>HRZN</w:t>
            </w:r>
          </w:p>
        </w:tc>
        <w:tc>
          <w:tcPr>
            <w:tcW w:w="180" w:type="dxa"/>
            <w:vAlign w:val="bottom"/>
          </w:tcPr>
          <w:p>
            <w:pPr>
              <w:spacing w:after="0"/>
              <w:rPr>
                <w:sz w:val="16"/>
                <w:szCs w:val="16"/>
                <w:color w:val="auto"/>
              </w:rPr>
            </w:pPr>
          </w:p>
        </w:tc>
        <w:tc>
          <w:tcPr>
            <w:tcW w:w="4400" w:type="dxa"/>
            <w:vAlign w:val="bottom"/>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4300" w:type="dxa"/>
            <w:vAlign w:val="bottom"/>
          </w:tcPr>
          <w:p>
            <w:pPr>
              <w:jc w:val="center"/>
              <w:spacing w:after="0"/>
              <w:rPr>
                <w:sz w:val="20"/>
                <w:szCs w:val="20"/>
                <w:color w:val="auto"/>
              </w:rPr>
            </w:pPr>
            <w:r>
              <w:rPr>
                <w:rFonts w:ascii="Arial" w:cs="Arial" w:eastAsia="Arial" w:hAnsi="Arial"/>
                <w:sz w:val="18"/>
                <w:szCs w:val="18"/>
                <w:color w:val="auto"/>
                <w:w w:val="90"/>
              </w:rPr>
              <w:t>4.875% Notes due 2026</w:t>
            </w:r>
          </w:p>
        </w:tc>
        <w:tc>
          <w:tcPr>
            <w:tcW w:w="1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7"/>
              </w:rPr>
              <w:t>HTFB</w:t>
            </w:r>
          </w:p>
        </w:tc>
        <w:tc>
          <w:tcPr>
            <w:tcW w:w="18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1"/>
              </w:rPr>
              <w:t>The New York Stock Exchange</w:t>
            </w:r>
          </w:p>
        </w:tc>
      </w:tr>
      <w:tr>
        <w:trPr>
          <w:trHeight w:val="230"/>
        </w:trPr>
        <w:tc>
          <w:tcPr>
            <w:tcW w:w="4300" w:type="dxa"/>
            <w:vAlign w:val="bottom"/>
          </w:tcPr>
          <w:p>
            <w:pPr>
              <w:jc w:val="center"/>
              <w:spacing w:after="0"/>
              <w:rPr>
                <w:sz w:val="20"/>
                <w:szCs w:val="20"/>
                <w:color w:val="auto"/>
              </w:rPr>
            </w:pPr>
            <w:r>
              <w:rPr>
                <w:rFonts w:ascii="Arial" w:cs="Arial" w:eastAsia="Arial" w:hAnsi="Arial"/>
                <w:sz w:val="18"/>
                <w:szCs w:val="18"/>
                <w:color w:val="auto"/>
                <w:w w:val="89"/>
              </w:rPr>
              <w:t>6.25% Notes due 2027</w:t>
            </w:r>
          </w:p>
        </w:tc>
        <w:tc>
          <w:tcPr>
            <w:tcW w:w="18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5"/>
              </w:rPr>
              <w:t>HTFC</w:t>
            </w:r>
          </w:p>
        </w:tc>
        <w:tc>
          <w:tcPr>
            <w:tcW w:w="18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1"/>
              </w:rPr>
              <w:t>The New York Stock Exchange</w:t>
            </w:r>
          </w:p>
        </w:tc>
      </w:tr>
      <w:tr>
        <w:trPr>
          <w:trHeight w:val="574"/>
        </w:trPr>
        <w:tc>
          <w:tcPr>
            <w:tcW w:w="4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3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Section 7</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Regulation FD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FD Disclosure</w:t>
      </w:r>
    </w:p>
    <w:p>
      <w:pPr>
        <w:spacing w:after="0" w:line="200" w:lineRule="exact"/>
        <w:rPr>
          <w:sz w:val="20"/>
          <w:szCs w:val="20"/>
          <w:color w:val="auto"/>
        </w:rPr>
      </w:pPr>
    </w:p>
    <w:p>
      <w:pPr>
        <w:sectPr>
          <w:pgSz w:w="11900" w:h="16838" w:orient="portrait"/>
          <w:cols w:equalWidth="0" w:num="2">
            <w:col w:w="740" w:space="720"/>
            <w:col w:w="9780"/>
          </w:cols>
          <w:pgMar w:left="320" w:top="580" w:right="339" w:bottom="1440" w:gutter="0" w:footer="0" w:header="0"/>
        </w:sectPr>
      </w:pPr>
    </w:p>
    <w:p>
      <w:pPr>
        <w:spacing w:after="0" w:line="3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On March 10, 2023, Silicon Valley Bank was placed in receivership with the Federal Deposit Insurance Corporation (“</w:t>
      </w:r>
      <w:r>
        <w:rPr>
          <w:rFonts w:ascii="Arial" w:cs="Arial" w:eastAsia="Arial" w:hAnsi="Arial"/>
          <w:sz w:val="17"/>
          <w:szCs w:val="17"/>
          <w:u w:val="single" w:color="auto"/>
          <w:color w:val="auto"/>
        </w:rPr>
        <w:t>FDIC</w:t>
      </w:r>
      <w:r>
        <w:rPr>
          <w:rFonts w:ascii="Arial" w:cs="Arial" w:eastAsia="Arial" w:hAnsi="Arial"/>
          <w:sz w:val="17"/>
          <w:szCs w:val="17"/>
          <w:color w:val="auto"/>
        </w:rPr>
        <w:t>”). On March 12, 2023, the FDIC announced that depositors of Silicon Valley Bank will have access to all of their funds starting Monday, March 13, 2023.</w:t>
      </w:r>
    </w:p>
    <w:p>
      <w:pPr>
        <w:spacing w:after="0" w:line="14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On March 12, 2023, Signature Bank was placed in receivership with the FDIC. On March 12, 2023, the FDIC announced that banking activities will resume on Monday, March 13, 2023.</w:t>
      </w:r>
    </w:p>
    <w:p>
      <w:pPr>
        <w:spacing w:after="0" w:line="170"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Neither Horizon Technology Finance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nor Horizon Technology Finance Management LLC (“</w:t>
      </w:r>
      <w:r>
        <w:rPr>
          <w:rFonts w:ascii="Arial" w:cs="Arial" w:eastAsia="Arial" w:hAnsi="Arial"/>
          <w:sz w:val="16"/>
          <w:szCs w:val="16"/>
          <w:u w:val="single" w:color="auto"/>
          <w:color w:val="auto"/>
        </w:rPr>
        <w:t>HTFM</w:t>
      </w:r>
      <w:r>
        <w:rPr>
          <w:rFonts w:ascii="Arial" w:cs="Arial" w:eastAsia="Arial" w:hAnsi="Arial"/>
          <w:sz w:val="16"/>
          <w:szCs w:val="16"/>
          <w:color w:val="auto"/>
        </w:rPr>
        <w:t>”), the investment adviser of the Company, maintain any deposit or other accounts or credit facilities with Silicon Valley Bank or Signature Bank, or their successors. Less than 2.5% of the fair value of the Company’s debt portfolio is junior in priority to a debt investment of Silicon Valley Bank or its successors. Less than 0.3% of the fair value of the Company’s debt portfolio is junior in priority to a debt investment of Signature Bank and its successors.</w:t>
      </w:r>
    </w:p>
    <w:p>
      <w:pPr>
        <w:spacing w:after="0" w:line="15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and HTFM will continue to assess the impact on any of the Company’s portfolio companies from the Silicon Valley Bank and Signature Bank receiverships and will continue to assess any impact on the Company.</w:t>
      </w:r>
    </w:p>
    <w:p>
      <w:pPr>
        <w:spacing w:after="0" w:line="170"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The information furnished in this Item 7.01 shall not be deemed “filed” for purposes of Section 18 of the Securities Exchange Act of 1934, as amended, and shall not be deemed incorporated by reference into any filing under the Securities Act of 1933, as amended, except as shall be expressly set forth by specific reference in such filing.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p>
      <w:pPr>
        <w:spacing w:after="0"/>
        <w:tabs>
          <w:tab w:leader="none" w:pos="5160" w:val="left"/>
        </w:tabs>
        <w:rPr>
          <w:sz w:val="20"/>
          <w:szCs w:val="20"/>
          <w:color w:val="auto"/>
        </w:rPr>
      </w:pPr>
      <w:r>
        <w:rPr>
          <w:rFonts w:ascii="Arial" w:cs="Arial" w:eastAsia="Arial" w:hAnsi="Arial"/>
          <w:sz w:val="18"/>
          <w:szCs w:val="18"/>
          <w:color w:val="auto"/>
        </w:rPr>
        <w:t>Date: March 13, 2023</w:t>
      </w:r>
      <w:r>
        <w:rPr>
          <w:sz w:val="20"/>
          <w:szCs w:val="20"/>
          <w:color w:val="auto"/>
        </w:rPr>
        <w:tab/>
      </w:r>
      <w:r>
        <w:rPr>
          <w:rFonts w:ascii="Arial" w:cs="Arial" w:eastAsia="Arial" w:hAnsi="Arial"/>
          <w:sz w:val="17"/>
          <w:szCs w:val="17"/>
          <w:color w:val="auto"/>
        </w:rPr>
        <w:t>HORIZON TECHNOLOGY FINANCE CORPORATION</w:t>
      </w:r>
    </w:p>
    <w:p>
      <w:pPr>
        <w:spacing w:after="0" w:line="200" w:lineRule="exact"/>
        <w:rPr>
          <w:sz w:val="20"/>
          <w:szCs w:val="20"/>
          <w:color w:val="auto"/>
        </w:rPr>
      </w:pPr>
    </w:p>
    <w:p>
      <w:pPr>
        <w:spacing w:after="0" w:line="241" w:lineRule="exact"/>
        <w:rPr>
          <w:sz w:val="20"/>
          <w:szCs w:val="20"/>
          <w:color w:val="auto"/>
        </w:rPr>
      </w:pPr>
    </w:p>
    <w:p>
      <w:pPr>
        <w:ind w:left="51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Robert D. Pomeroy, Jr.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Robert D. Pomeroy, Jr.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2023-03-14T05:22:35Z</dcterms:created>
  <dcterms:modified xsi:type="dcterms:W3CDTF">2023-03-14T05:22:35Z</dcterms:modified>
</cp:coreProperties>
</file>