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48" w:lineRule="exact"/>
        <w:rPr>
          <w:sz w:val="24"/>
          <w:szCs w:val="24"/>
          <w:color w:val="auto"/>
        </w:rPr>
      </w:pPr>
    </w:p>
    <w:p>
      <w:pPr>
        <w:ind w:left="3400" w:right="1680" w:hanging="3392"/>
        <w:spacing w:after="0" w:line="563" w:lineRule="auto"/>
        <w:tabs>
          <w:tab w:leader="none" w:pos="59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2018</w:t>
      </w:r>
    </w:p>
    <w:p>
      <w:pPr>
        <w:spacing w:after="0" w:line="1" w:lineRule="exact"/>
        <w:rPr>
          <w:sz w:val="24"/>
          <w:szCs w:val="24"/>
          <w:color w:val="auto"/>
        </w:rPr>
      </w:pPr>
    </w:p>
    <w:p>
      <w:pPr>
        <w:jc w:val="center"/>
        <w:ind w:left="580"/>
        <w:spacing w:after="0"/>
        <w:rPr>
          <w:sz w:val="20"/>
          <w:szCs w:val="20"/>
          <w:color w:val="auto"/>
        </w:rPr>
      </w:pPr>
      <w:r>
        <w:rPr>
          <w:rFonts w:ascii="Arial" w:cs="Arial" w:eastAsia="Arial" w:hAnsi="Arial"/>
          <w:sz w:val="18"/>
          <w:szCs w:val="18"/>
          <w:b w:val="1"/>
          <w:bCs w:val="1"/>
          <w:color w:val="auto"/>
        </w:rPr>
        <w:t>OR</w:t>
      </w:r>
    </w:p>
    <w:p>
      <w:pPr>
        <w:spacing w:after="0" w:line="27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2" w:lineRule="exact"/>
        <w:rPr>
          <w:sz w:val="24"/>
          <w:szCs w:val="24"/>
          <w:color w:val="auto"/>
        </w:rPr>
      </w:pPr>
    </w:p>
    <w:p>
      <w:pPr>
        <w:ind w:left="2820"/>
        <w:spacing w:after="0"/>
        <w:tabs>
          <w:tab w:leader="none" w:pos="7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3961130</wp:posOffset>
            </wp:positionH>
            <wp:positionV relativeFrom="paragraph">
              <wp:posOffset>-7620</wp:posOffset>
            </wp:positionV>
            <wp:extent cx="714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814-00802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HORIZON TECHNOLOGY FINANCE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8"/>
              </w:rPr>
              <w:t>DELAWARE</w:t>
            </w:r>
          </w:p>
        </w:tc>
        <w:tc>
          <w:tcPr>
            <w:tcW w:w="3780" w:type="dxa"/>
            <w:vAlign w:val="bottom"/>
          </w:tcPr>
          <w:p>
            <w:pPr>
              <w:jc w:val="right"/>
              <w:ind w:right="770"/>
              <w:spacing w:after="0"/>
              <w:rPr>
                <w:sz w:val="20"/>
                <w:szCs w:val="20"/>
                <w:color w:val="auto"/>
              </w:rPr>
            </w:pPr>
            <w:r>
              <w:rPr>
                <w:rFonts w:ascii="Arial" w:cs="Arial" w:eastAsia="Arial" w:hAnsi="Arial"/>
                <w:sz w:val="18"/>
                <w:szCs w:val="18"/>
                <w:b w:val="1"/>
                <w:bCs w:val="1"/>
                <w:color w:val="auto"/>
              </w:rPr>
              <w:t>27-2114934</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780" w:type="dxa"/>
            <w:vAlign w:val="bottom"/>
          </w:tcPr>
          <w:p>
            <w:pPr>
              <w:jc w:val="center"/>
              <w:ind w:left="11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14"/>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1"/>
              </w:rPr>
              <w:t>312 Farmington Avenue</w:t>
            </w:r>
          </w:p>
        </w:tc>
        <w:tc>
          <w:tcPr>
            <w:tcW w:w="3780" w:type="dxa"/>
            <w:vAlign w:val="bottom"/>
          </w:tcPr>
          <w:p>
            <w:pPr>
              <w:spacing w:after="0"/>
              <w:rPr>
                <w:sz w:val="24"/>
                <w:szCs w:val="24"/>
                <w:color w:val="auto"/>
              </w:rPr>
            </w:pPr>
          </w:p>
        </w:tc>
      </w:tr>
      <w:tr>
        <w:trPr>
          <w:trHeight w:val="220"/>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4"/>
              </w:rPr>
              <w:t>Farmington, CT</w:t>
            </w:r>
          </w:p>
        </w:tc>
        <w:tc>
          <w:tcPr>
            <w:tcW w:w="3780" w:type="dxa"/>
            <w:vAlign w:val="bottom"/>
          </w:tcPr>
          <w:p>
            <w:pPr>
              <w:jc w:val="right"/>
              <w:ind w:right="970"/>
              <w:spacing w:after="0"/>
              <w:rPr>
                <w:sz w:val="20"/>
                <w:szCs w:val="20"/>
                <w:color w:val="auto"/>
              </w:rPr>
            </w:pPr>
            <w:r>
              <w:rPr>
                <w:rFonts w:ascii="Arial" w:cs="Arial" w:eastAsia="Arial" w:hAnsi="Arial"/>
                <w:sz w:val="18"/>
                <w:szCs w:val="18"/>
                <w:b w:val="1"/>
                <w:bCs w:val="1"/>
                <w:color w:val="auto"/>
              </w:rPr>
              <w:t>06032</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780" w:type="dxa"/>
            <w:vAlign w:val="bottom"/>
          </w:tcPr>
          <w:p>
            <w:pPr>
              <w:jc w:val="center"/>
              <w:ind w:left="111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(860) 676-8654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20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20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4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209"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the registrant’s common stock, $0.001 par value per share, outstanding as of October 30, 2018 was 11,532,652.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360" w:type="dxa"/>
            <w:vAlign w:val="bottom"/>
            <w:gridSpan w:val="15"/>
          </w:tcPr>
          <w:p>
            <w:pPr>
              <w:jc w:val="center"/>
              <w:ind w:right="1780"/>
              <w:spacing w:after="0"/>
              <w:rPr>
                <w:sz w:val="20"/>
                <w:szCs w:val="20"/>
                <w:color w:val="auto"/>
              </w:rPr>
            </w:pPr>
            <w:r>
              <w:rPr>
                <w:rFonts w:ascii="Arial" w:cs="Arial" w:eastAsia="Arial" w:hAnsi="Arial"/>
                <w:sz w:val="18"/>
                <w:szCs w:val="18"/>
                <w:b w:val="1"/>
                <w:bCs w:val="1"/>
                <w:color w:val="auto"/>
              </w:rPr>
              <w:t>HORIZON TECHNOLOGY FINANCE CORPORATION</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20" w:type="dxa"/>
            <w:vAlign w:val="bottom"/>
            <w:gridSpan w:val="13"/>
          </w:tcPr>
          <w:p>
            <w:pPr>
              <w:jc w:val="center"/>
              <w:ind w:right="2520"/>
              <w:spacing w:after="0"/>
              <w:rPr>
                <w:sz w:val="20"/>
                <w:szCs w:val="20"/>
                <w:color w:val="auto"/>
              </w:rPr>
            </w:pPr>
            <w:r>
              <w:rPr>
                <w:rFonts w:ascii="Arial" w:cs="Arial" w:eastAsia="Arial" w:hAnsi="Arial"/>
                <w:sz w:val="18"/>
                <w:szCs w:val="18"/>
                <w:b w:val="1"/>
                <w:bCs w:val="1"/>
                <w:color w:val="auto"/>
                <w:w w:val="99"/>
              </w:rPr>
              <w:t>FORM 10-Q</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20" w:type="dxa"/>
            <w:vAlign w:val="bottom"/>
            <w:gridSpan w:val="13"/>
          </w:tcPr>
          <w:p>
            <w:pPr>
              <w:jc w:val="center"/>
              <w:ind w:right="2500"/>
              <w:spacing w:after="0"/>
              <w:rPr>
                <w:sz w:val="20"/>
                <w:szCs w:val="20"/>
                <w:color w:val="auto"/>
              </w:rPr>
            </w:pPr>
            <w:r>
              <w:rPr>
                <w:rFonts w:ascii="Arial" w:cs="Arial" w:eastAsia="Arial" w:hAnsi="Arial"/>
                <w:sz w:val="18"/>
                <w:szCs w:val="18"/>
                <w:b w:val="1"/>
                <w:bCs w:val="1"/>
                <w:color w:val="auto"/>
                <w:w w:val="98"/>
              </w:rPr>
              <w:t>TABLE OF CONTENTS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gridSpan w:val="4"/>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0000EE"/>
            </w:tcBorders>
            <w:gridSpan w:val="4"/>
            <w:shd w:val="clear" w:color="auto" w:fill="CCEEFF"/>
          </w:tcPr>
          <w:p>
            <w:pPr>
              <w:jc w:val="center"/>
              <w:spacing w:after="0" w:line="17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4260" w:type="dxa"/>
            <w:vAlign w:val="bottom"/>
            <w:tcBorders>
              <w:bottom w:val="single" w:sz="8" w:color="CCEEFF"/>
            </w:tcBorders>
            <w:gridSpan w:val="8"/>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3"/>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120" w:type="dxa"/>
            <w:vAlign w:val="bottom"/>
            <w:gridSpan w:val="21"/>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120" w:type="dxa"/>
            <w:vAlign w:val="bottom"/>
            <w:gridSpan w:val="21"/>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Assets and Liabilities as of September 30, 2018 and December 31, 2017 (unaudited)</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520" w:type="dxa"/>
            <w:vAlign w:val="bottom"/>
            <w:gridSpan w:val="19"/>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for the three and nine months ended September 30, 2018 and 2017 (unaudited)</w:t>
              </w:r>
            </w:hyperlink>
          </w:p>
        </w:tc>
        <w:tc>
          <w:tcPr>
            <w:tcW w:w="600" w:type="dxa"/>
            <w:vAlign w:val="bottom"/>
            <w:gridSpan w:val="2"/>
            <w:shd w:val="clear" w:color="auto" w:fill="CCEEFF"/>
          </w:tcPr>
          <w:p>
            <w:pPr>
              <w:spacing w:after="0"/>
              <w:rPr>
                <w:sz w:val="15"/>
                <w:szCs w:val="15"/>
                <w:color w:val="auto"/>
              </w:rPr>
            </w:pPr>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120" w:type="dxa"/>
            <w:vAlign w:val="bottom"/>
            <w:gridSpan w:val="21"/>
          </w:tcPr>
          <w:p>
            <w:pPr>
              <w:spacing w:after="0" w:line="17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Consolidated Statements of Changes in Net Assets for the nine months ended September 30, 2018 and 2017 (unaudited)</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120" w:type="dxa"/>
            <w:vAlign w:val="bottom"/>
            <w:gridSpan w:val="21"/>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for the nine months ended September 30, 2018 and 2017 (unaudited)</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60" w:type="dxa"/>
            <w:vAlign w:val="bottom"/>
            <w:gridSpan w:val="17"/>
          </w:tcPr>
          <w:p>
            <w:pPr>
              <w:spacing w:after="0" w:line="17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Consolidated Schedules of Investments as of September 30, 2018 and December 31, 2017 (unaudited)</w:t>
              </w:r>
            </w:hyperlink>
          </w:p>
        </w:tc>
        <w:tc>
          <w:tcPr>
            <w:tcW w:w="1260" w:type="dxa"/>
            <w:vAlign w:val="bottom"/>
            <w:gridSpan w:val="4"/>
          </w:tcPr>
          <w:p>
            <w:pPr>
              <w:spacing w:after="0"/>
              <w:rPr>
                <w:sz w:val="15"/>
                <w:szCs w:val="15"/>
                <w:color w:val="auto"/>
              </w:rPr>
            </w:pPr>
          </w:p>
        </w:tc>
        <w:tc>
          <w:tcPr>
            <w:tcW w:w="1140" w:type="dxa"/>
            <w:vAlign w:val="bottom"/>
            <w:gridSpan w:val="3"/>
          </w:tcPr>
          <w:p>
            <w:pPr>
              <w:jc w:val="right"/>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120" w:type="dxa"/>
            <w:vAlign w:val="bottom"/>
            <w:gridSpan w:val="21"/>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Notes to the Consolidated Financial Statements (unaudited)</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17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3"/>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2.</w:t>
              </w:r>
            </w:hyperlink>
          </w:p>
        </w:tc>
        <w:tc>
          <w:tcPr>
            <w:tcW w:w="9120" w:type="dxa"/>
            <w:vAlign w:val="bottom"/>
            <w:gridSpan w:val="21"/>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Management’s Discussion and Analysis of Financial Condition and Results of Operations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42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Item 3.</w:t>
              </w:r>
            </w:hyperlink>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43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2"/>
              </w:rPr>
            </w:pPr>
            <w:hyperlink w:anchor="page61">
              <w:r>
                <w:rPr>
                  <w:rFonts w:ascii="Arial" w:cs="Arial" w:eastAsia="Arial" w:hAnsi="Arial"/>
                  <w:sz w:val="18"/>
                  <w:szCs w:val="18"/>
                  <w:color w:val="0000EE"/>
                  <w:w w:val="92"/>
                </w:rPr>
                <w:t>Quantitative and Qualitative Disclosures About Market Risk</w:t>
              </w:r>
            </w:hyperlink>
          </w:p>
        </w:tc>
        <w:tc>
          <w:tcPr>
            <w:tcW w:w="4760" w:type="dxa"/>
            <w:vAlign w:val="bottom"/>
            <w:tcBorders>
              <w:bottom w:val="single" w:sz="8" w:color="CCEEFF"/>
            </w:tcBorders>
            <w:gridSpan w:val="9"/>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61">
              <w:r>
                <w:rPr>
                  <w:rFonts w:ascii="Arial" w:cs="Arial" w:eastAsia="Arial" w:hAnsi="Arial"/>
                  <w:sz w:val="18"/>
                  <w:szCs w:val="18"/>
                  <w:color w:val="0000EE"/>
                  <w:w w:val="79"/>
                </w:rPr>
                <w:t>60</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3"/>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Item 4.</w:t>
              </w:r>
            </w:hyperlink>
          </w:p>
        </w:tc>
        <w:tc>
          <w:tcPr>
            <w:tcW w:w="9120" w:type="dxa"/>
            <w:vAlign w:val="bottom"/>
            <w:gridSpan w:val="21"/>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Controls and Procedures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gridSpan w:val="11"/>
          </w:tcPr>
          <w:p>
            <w:pPr>
              <w:spacing w:after="0" w:line="176"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PART II</w:t>
              </w:r>
            </w:hyperlink>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3"/>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1.</w:t>
              </w:r>
            </w:hyperlink>
          </w:p>
        </w:tc>
        <w:tc>
          <w:tcPr>
            <w:tcW w:w="9120" w:type="dxa"/>
            <w:vAlign w:val="bottom"/>
            <w:gridSpan w:val="21"/>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Legal Proceedings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Item 1A.</w:t>
              </w:r>
            </w:hyperlink>
          </w:p>
        </w:tc>
        <w:tc>
          <w:tcPr>
            <w:tcW w:w="9120" w:type="dxa"/>
            <w:vAlign w:val="bottom"/>
            <w:gridSpan w:val="21"/>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Risk Factors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 2.</w:t>
              </w:r>
            </w:hyperlink>
          </w:p>
        </w:tc>
        <w:tc>
          <w:tcPr>
            <w:tcW w:w="520" w:type="dxa"/>
            <w:vAlign w:val="bottom"/>
          </w:tcPr>
          <w:p>
            <w:pPr>
              <w:spacing w:after="0"/>
              <w:rPr>
                <w:sz w:val="15"/>
                <w:szCs w:val="15"/>
                <w:color w:val="auto"/>
              </w:rPr>
            </w:pPr>
          </w:p>
        </w:tc>
        <w:tc>
          <w:tcPr>
            <w:tcW w:w="9120" w:type="dxa"/>
            <w:vAlign w:val="bottom"/>
            <w:gridSpan w:val="21"/>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Unregistered Sales of Equity Securities and Use of Proceeds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Item 3.</w:t>
              </w:r>
            </w:hyperlink>
          </w:p>
        </w:tc>
        <w:tc>
          <w:tcPr>
            <w:tcW w:w="640" w:type="dxa"/>
            <w:vAlign w:val="bottom"/>
            <w:gridSpan w:val="2"/>
            <w:shd w:val="clear" w:color="auto" w:fill="CCEEFF"/>
          </w:tcPr>
          <w:p>
            <w:pPr>
              <w:spacing w:after="0"/>
              <w:rPr>
                <w:sz w:val="17"/>
                <w:szCs w:val="17"/>
                <w:color w:val="auto"/>
              </w:rPr>
            </w:pPr>
          </w:p>
        </w:tc>
        <w:tc>
          <w:tcPr>
            <w:tcW w:w="9120" w:type="dxa"/>
            <w:vAlign w:val="bottom"/>
            <w:gridSpan w:val="21"/>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Defaults Upon Senior Securities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Item 4.</w:t>
              </w:r>
            </w:hyperlink>
          </w:p>
        </w:tc>
        <w:tc>
          <w:tcPr>
            <w:tcW w:w="640" w:type="dxa"/>
            <w:vAlign w:val="bottom"/>
            <w:tcBorders>
              <w:top w:val="single" w:sz="8" w:color="CCEEFF"/>
            </w:tcBorders>
            <w:gridSpan w:val="2"/>
          </w:tcPr>
          <w:p>
            <w:pPr>
              <w:spacing w:after="0"/>
              <w:rPr>
                <w:sz w:val="15"/>
                <w:szCs w:val="15"/>
                <w:color w:val="auto"/>
              </w:rPr>
            </w:pPr>
          </w:p>
        </w:tc>
        <w:tc>
          <w:tcPr>
            <w:tcW w:w="232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Mine Safety Disclosures</w:t>
              </w:r>
            </w:hyperlink>
          </w:p>
        </w:tc>
        <w:tc>
          <w:tcPr>
            <w:tcW w:w="6800" w:type="dxa"/>
            <w:vAlign w:val="bottom"/>
            <w:tcBorders>
              <w:top w:val="single" w:sz="8" w:color="CCEEFF"/>
            </w:tcBorders>
            <w:gridSpan w:val="14"/>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Item 5.</w:t>
              </w:r>
            </w:hyperlink>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13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Other Information</w:t>
              </w:r>
            </w:hyperlink>
          </w:p>
        </w:tc>
        <w:tc>
          <w:tcPr>
            <w:tcW w:w="7800" w:type="dxa"/>
            <w:vAlign w:val="bottom"/>
            <w:tcBorders>
              <w:bottom w:val="single" w:sz="8" w:color="CCEEFF"/>
            </w:tcBorders>
            <w:gridSpan w:val="17"/>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66</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3"/>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Item 6.</w:t>
              </w:r>
            </w:hyperlink>
          </w:p>
        </w:tc>
        <w:tc>
          <w:tcPr>
            <w:tcW w:w="9120" w:type="dxa"/>
            <w:vAlign w:val="bottom"/>
            <w:gridSpan w:val="21"/>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Exhibits</w:t>
              </w:r>
            </w:hyperlink>
          </w:p>
        </w:tc>
        <w:tc>
          <w:tcPr>
            <w:tcW w:w="1140" w:type="dxa"/>
            <w:vAlign w:val="bottom"/>
            <w:gridSpan w:val="3"/>
          </w:tcPr>
          <w:p>
            <w:pPr>
              <w:jc w:val="right"/>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120" w:type="dxa"/>
            <w:vAlign w:val="bottom"/>
            <w:gridSpan w:val="21"/>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Signatures</w:t>
              </w:r>
            </w:hyperlink>
          </w:p>
        </w:tc>
        <w:tc>
          <w:tcPr>
            <w:tcW w:w="1140" w:type="dxa"/>
            <w:vAlign w:val="bottom"/>
            <w:gridSpan w:val="3"/>
            <w:shd w:val="clear" w:color="auto" w:fill="CCEEFF"/>
          </w:tcPr>
          <w:p>
            <w:pPr>
              <w:jc w:val="right"/>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685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EX-31.1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EX-32.2</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1"/>
              </w:rPr>
              <w:t>September 30,</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8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Non-affiliate investments at fair value (cost of $228,313 and $219,303, respectively)</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227,813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218,600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Non-controlled affiliate investments at fair value (cost of $7,882 and $3,774, respectively) (Note 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00" w:type="dxa"/>
            <w:vAlign w:val="bottom"/>
          </w:tcPr>
          <w:p>
            <w:pPr>
              <w:spacing w:after="0"/>
              <w:rPr>
                <w:sz w:val="20"/>
                <w:szCs w:val="20"/>
                <w:color w:val="auto"/>
              </w:rPr>
            </w:pPr>
            <w:r>
              <w:rPr>
                <w:rFonts w:ascii="Arial" w:cs="Arial" w:eastAsia="Arial" w:hAnsi="Arial"/>
                <w:sz w:val="18"/>
                <w:szCs w:val="18"/>
                <w:color w:val="auto"/>
              </w:rPr>
              <w:t>Controlled affiliate investments at fair value (cost of $4,413 and $0, respectively) (Note 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4,413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 at fair value (cost of $240,608 and $223,077, respectively) (Note 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239,757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Cash</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5,909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6,594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0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1,731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252,162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234,146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Borrowings (Note 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112,284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94,075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Base management fee payable (Note 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Incentive fee payable (Note 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117,706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500" w:type="dxa"/>
            <w:vAlign w:val="bottom"/>
          </w:tcPr>
          <w:p>
            <w:pPr>
              <w:spacing w:after="0" w:line="201" w:lineRule="exact"/>
              <w:rPr>
                <w:sz w:val="20"/>
                <w:szCs w:val="20"/>
                <w:color w:val="auto"/>
              </w:rPr>
            </w:pPr>
            <w:r>
              <w:rPr>
                <w:rFonts w:ascii="Arial" w:cs="Arial" w:eastAsia="Arial" w:hAnsi="Arial"/>
                <w:sz w:val="18"/>
                <w:szCs w:val="18"/>
                <w:color w:val="auto"/>
                <w:w w:val="91"/>
              </w:rPr>
              <w:t>Preferred stock, par value $0.001 per share, 1,000,000 shares authorized, zero shares issued and outstanding as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00" w:type="dxa"/>
            <w:vAlign w:val="bottom"/>
          </w:tcPr>
          <w:p>
            <w:pPr>
              <w:ind w:left="180"/>
              <w:spacing w:after="0"/>
              <w:rPr>
                <w:sz w:val="20"/>
                <w:szCs w:val="20"/>
                <w:color w:val="auto"/>
              </w:rPr>
            </w:pPr>
            <w:r>
              <w:rPr>
                <w:rFonts w:ascii="Arial" w:cs="Arial" w:eastAsia="Arial" w:hAnsi="Arial"/>
                <w:sz w:val="18"/>
                <w:szCs w:val="18"/>
                <w:color w:val="auto"/>
              </w:rPr>
              <w:t>September 30, 2018 and December 31, 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Common stock, par value $0.001 per share, 100,000,000 shares authorized, 11,698,864 and 11,687,871 shares issued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and 11,531,399 and 11,520,406 shares outstanding as of September 30, 2018 and December 31, 2017, respectively</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Paid-in capital in excess of par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179,606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179,641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in excess of net investment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30"/>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(41,702)</w:t>
            </w:r>
          </w:p>
        </w:tc>
        <w:tc>
          <w:tcPr>
            <w:tcW w:w="0" w:type="dxa"/>
            <w:vAlign w:val="bottom"/>
          </w:tcPr>
          <w:p>
            <w:pPr>
              <w:spacing w:after="0"/>
              <w:rPr>
                <w:sz w:val="1"/>
                <w:szCs w:val="1"/>
                <w:color w:val="auto"/>
              </w:rPr>
            </w:pPr>
          </w:p>
        </w:tc>
      </w:tr>
      <w:tr>
        <w:trPr>
          <w:trHeight w:val="210"/>
        </w:trPr>
        <w:tc>
          <w:tcPr>
            <w:tcW w:w="85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net assets</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134,456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135,075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net assets</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252,162</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234,146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8"/>
                <w:szCs w:val="18"/>
                <w:b w:val="1"/>
                <w:bCs w:val="1"/>
                <w:color w:val="auto"/>
              </w:rPr>
              <w:t>Net asset value per common share</w:t>
            </w:r>
          </w:p>
        </w:tc>
        <w:tc>
          <w:tcPr>
            <w:tcW w:w="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0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11.66</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4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4"/>
              </w:rPr>
              <w:t>For the Three Months Ended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2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w w:val="94"/>
              </w:rPr>
              <w:t>For the Nine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Interest income on investments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non-affiliate investments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6,164</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20,385</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Interest income on non-controlled affiliate investments</w:t>
            </w:r>
          </w:p>
        </w:tc>
        <w:tc>
          <w:tcPr>
            <w:tcW w:w="1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193</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528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interest income on investments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b w:val="1"/>
                <w:bCs w:val="1"/>
                <w:color w:val="auto"/>
              </w:rPr>
              <w:t>Fee income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Prepayment fee income on non-affiliate investments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Fee income on non-affiliate investments</w:t>
            </w:r>
          </w:p>
        </w:tc>
        <w:tc>
          <w:tcPr>
            <w:tcW w:w="1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875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fee income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b w:val="1"/>
                <w:bCs w:val="1"/>
                <w:color w:val="auto"/>
              </w:rPr>
              <w:t>Dividend income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 on affiliate investments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dividend income</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 income</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4,616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Base management fee (Note 3)</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3,399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Performance based incentive fee (Note 3)</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Administrative fee (Note 3)</w:t>
            </w:r>
          </w:p>
        </w:tc>
        <w:tc>
          <w:tcPr>
            <w:tcW w:w="1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517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636</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Performance based incentive fee waived (Note 3)</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expenses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investment income</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on investments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realized gain (loss) on non-affiliate investments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(11,098)</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realized gain (loss) on investments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(11,098</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Net unrealized appreciation (depreciation) on non-affiliate investments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8,295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unrealized appreciation (depreciation) on non-controlled affiliate</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unrealized appreciation (depreciation) on investments</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on investments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4,259</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9,792</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6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investment income per common share</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0.30</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0.86</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0.86</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Net increase in net assets per common share</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0.37</w:t>
            </w:r>
          </w:p>
        </w:tc>
        <w:tc>
          <w:tcPr>
            <w:tcW w:w="16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0.24</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0.85</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0.62</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6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Distributions declared per share</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0.30</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0.30</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0.90</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11,529,611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11,518,552</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11,525,906</w:t>
            </w:r>
          </w:p>
        </w:tc>
        <w:tc>
          <w:tcPr>
            <w:tcW w:w="1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11,516,246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2"/>
              </w:rPr>
              <w:t>Distributions</w:t>
            </w:r>
          </w:p>
        </w:tc>
        <w:tc>
          <w:tcPr>
            <w:tcW w:w="80" w:type="dxa"/>
            <w:vAlign w:val="bottom"/>
          </w:tcPr>
          <w:p>
            <w:pPr>
              <w:spacing w:after="0"/>
              <w:rPr>
                <w:sz w:val="14"/>
                <w:szCs w:val="14"/>
                <w:color w:val="auto"/>
              </w:rPr>
            </w:pPr>
          </w:p>
        </w:tc>
        <w:tc>
          <w:tcPr>
            <w:tcW w:w="1140" w:type="dxa"/>
            <w:vAlign w:val="bottom"/>
            <w:gridSpan w:val="3"/>
            <w:vMerge w:val="restart"/>
          </w:tcPr>
          <w:p>
            <w:pPr>
              <w:jc w:val="center"/>
              <w:ind w:right="99"/>
              <w:spacing w:after="0"/>
              <w:rPr>
                <w:sz w:val="20"/>
                <w:szCs w:val="20"/>
                <w:color w:val="auto"/>
              </w:rPr>
            </w:pPr>
            <w:r>
              <w:rPr>
                <w:rFonts w:ascii="Arial" w:cs="Arial" w:eastAsia="Arial" w:hAnsi="Arial"/>
                <w:sz w:val="14"/>
                <w:szCs w:val="14"/>
                <w:b w:val="1"/>
                <w:bCs w:val="1"/>
                <w:color w:val="auto"/>
                <w:w w:val="94"/>
              </w:rPr>
              <w:t>Net Unrealized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88"/>
              </w:rPr>
              <w:t>in Excess of</w:t>
            </w:r>
          </w:p>
        </w:tc>
        <w:tc>
          <w:tcPr>
            <w:tcW w:w="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center"/>
              <w:ind w:right="168"/>
              <w:spacing w:after="0"/>
              <w:rPr>
                <w:sz w:val="20"/>
                <w:szCs w:val="20"/>
                <w:color w:val="auto"/>
              </w:rPr>
            </w:pPr>
            <w:r>
              <w:rPr>
                <w:rFonts w:ascii="Arial" w:cs="Arial" w:eastAsia="Arial" w:hAnsi="Arial"/>
                <w:sz w:val="14"/>
                <w:szCs w:val="14"/>
                <w:b w:val="1"/>
                <w:bCs w:val="1"/>
                <w:color w:val="auto"/>
                <w:w w:val="93"/>
              </w:rPr>
              <w:t>Net Realized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8"/>
              </w:rPr>
              <w:t>Capital in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88"/>
              </w:rPr>
              <w:t>Net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79"/>
              <w:spacing w:after="0" w:line="149" w:lineRule="exact"/>
              <w:rPr>
                <w:sz w:val="20"/>
                <w:szCs w:val="20"/>
                <w:color w:val="auto"/>
              </w:rPr>
            </w:pPr>
            <w:r>
              <w:rPr>
                <w:rFonts w:ascii="Arial" w:cs="Arial" w:eastAsia="Arial" w:hAnsi="Arial"/>
                <w:sz w:val="14"/>
                <w:szCs w:val="14"/>
                <w:b w:val="1"/>
                <w:bCs w:val="1"/>
                <w:color w:val="auto"/>
                <w:w w:val="91"/>
              </w:rPr>
              <w:t>Depreciation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12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Excess of</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1"/>
              </w:rPr>
              <w:t>Investment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179"/>
              <w:spacing w:after="0"/>
              <w:rPr>
                <w:sz w:val="20"/>
                <w:szCs w:val="20"/>
                <w:color w:val="auto"/>
              </w:rPr>
            </w:pPr>
            <w:r>
              <w:rPr>
                <w:rFonts w:ascii="Arial" w:cs="Arial" w:eastAsia="Arial" w:hAnsi="Arial"/>
                <w:sz w:val="14"/>
                <w:szCs w:val="14"/>
                <w:b w:val="1"/>
                <w:bCs w:val="1"/>
                <w:color w:val="auto"/>
                <w:w w:val="81"/>
              </w:rPr>
              <w:t>on</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89"/>
              </w:rPr>
              <w:t>Loss on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Total Net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8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Shares</w:t>
            </w: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7"/>
              </w:rPr>
              <w:t>Par</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148"/>
              <w:spacing w:after="0" w:line="155" w:lineRule="exact"/>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79"/>
              <w:spacing w:after="0" w:line="155" w:lineRule="exact"/>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168"/>
              <w:spacing w:after="0" w:line="155" w:lineRule="exact"/>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420"/>
              <w:spacing w:after="0" w:line="155" w:lineRule="exact"/>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December 31, 2016</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11,510,424</w:t>
            </w:r>
          </w:p>
        </w:tc>
        <w:tc>
          <w:tcPr>
            <w:tcW w:w="2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ind w:right="688"/>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179,551</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(19,463)</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(20,511)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139,192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tcPr>
          <w:p>
            <w:pPr>
              <w:spacing w:after="0" w:line="130" w:lineRule="exact"/>
              <w:rPr>
                <w:sz w:val="20"/>
                <w:szCs w:val="20"/>
                <w:color w:val="auto"/>
              </w:rPr>
            </w:pPr>
            <w:r>
              <w:rPr>
                <w:rFonts w:ascii="Arial" w:cs="Arial" w:eastAsia="Arial" w:hAnsi="Arial"/>
                <w:sz w:val="14"/>
                <w:szCs w:val="14"/>
                <w:color w:val="auto"/>
              </w:rPr>
              <w:t>Net increase in net assets resulting from</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tcPr>
          <w:p>
            <w:pPr>
              <w:ind w:left="60"/>
              <w:spacing w:after="0"/>
              <w:rPr>
                <w:sz w:val="20"/>
                <w:szCs w:val="20"/>
                <w:color w:val="auto"/>
              </w:rPr>
            </w:pPr>
            <w:r>
              <w:rPr>
                <w:rFonts w:ascii="Arial" w:cs="Arial" w:eastAsia="Arial" w:hAnsi="Arial"/>
                <w:sz w:val="14"/>
                <w:szCs w:val="14"/>
                <w:color w:val="auto"/>
              </w:rPr>
              <w:t>operations</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9,917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4"/>
                <w:szCs w:val="14"/>
                <w:color w:val="auto"/>
              </w:rPr>
              <w:t>8,276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8"/>
              <w:spacing w:after="0"/>
              <w:rPr>
                <w:sz w:val="20"/>
                <w:szCs w:val="20"/>
                <w:color w:val="auto"/>
              </w:rPr>
            </w:pPr>
            <w:r>
              <w:rPr>
                <w:rFonts w:ascii="Arial" w:cs="Arial" w:eastAsia="Arial" w:hAnsi="Arial"/>
                <w:sz w:val="14"/>
                <w:szCs w:val="14"/>
                <w:color w:val="auto"/>
              </w:rPr>
              <w:t>(11,098)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7,095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under dividend</w:t>
            </w: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60"/>
              <w:spacing w:after="0"/>
              <w:rPr>
                <w:sz w:val="20"/>
                <w:szCs w:val="20"/>
                <w:color w:val="auto"/>
              </w:rPr>
            </w:pPr>
            <w:r>
              <w:rPr>
                <w:rFonts w:ascii="Arial" w:cs="Arial" w:eastAsia="Arial" w:hAnsi="Arial"/>
                <w:sz w:val="14"/>
                <w:szCs w:val="14"/>
                <w:color w:val="auto"/>
              </w:rPr>
              <w:t>reinvestment plan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12,278</w:t>
            </w:r>
          </w:p>
        </w:tc>
        <w:tc>
          <w:tcPr>
            <w:tcW w:w="8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Repurchases of common stock</w:t>
            </w:r>
          </w:p>
        </w:tc>
        <w:tc>
          <w:tcPr>
            <w:tcW w:w="12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(5,923)</w:t>
            </w:r>
          </w:p>
        </w:tc>
        <w:tc>
          <w:tcPr>
            <w:tcW w:w="840" w:type="dxa"/>
            <w:vAlign w:val="bottom"/>
          </w:tcPr>
          <w:p>
            <w:pPr>
              <w:spacing w:after="0"/>
              <w:rPr>
                <w:sz w:val="12"/>
                <w:szCs w:val="12"/>
                <w:color w:val="auto"/>
              </w:rPr>
            </w:pPr>
          </w:p>
        </w:tc>
        <w:tc>
          <w:tcPr>
            <w:tcW w:w="4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4"/>
                <w:szCs w:val="14"/>
                <w:color w:val="auto"/>
              </w:rPr>
              <w:t>Distributions declared</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(10,366)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(10,366)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Balance at September 30, 2017</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11,516,779</w:t>
            </w:r>
          </w:p>
        </w:tc>
        <w:tc>
          <w:tcPr>
            <w:tcW w:w="24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688"/>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w:t>
            </w: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179,626</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(846</w:t>
            </w:r>
          </w:p>
        </w:tc>
        <w:tc>
          <w:tcPr>
            <w:tcW w:w="140" w:type="dxa"/>
            <w:vAlign w:val="bottom"/>
            <w:tcBorders>
              <w:bottom w:val="single" w:sz="8" w:color="CCEEFF"/>
            </w:tcBorders>
          </w:tcPr>
          <w:p>
            <w:pPr>
              <w:jc w:val="right"/>
              <w:ind w:right="8"/>
              <w:spacing w:after="0" w:line="142" w:lineRule="exact"/>
              <w:rPr>
                <w:sz w:val="20"/>
                <w:szCs w:val="20"/>
                <w:color w:val="auto"/>
              </w:rPr>
            </w:pPr>
            <w:r>
              <w:rPr>
                <w:rFonts w:ascii="Arial" w:cs="Arial" w:eastAsia="Arial" w:hAnsi="Arial"/>
                <w:sz w:val="14"/>
                <w:szCs w:val="14"/>
                <w:color w:val="auto"/>
                <w:w w:val="84"/>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(11,187</w:t>
            </w:r>
          </w:p>
        </w:tc>
        <w:tc>
          <w:tcPr>
            <w:tcW w:w="120" w:type="dxa"/>
            <w:vAlign w:val="bottom"/>
            <w:tcBorders>
              <w:bottom w:val="single" w:sz="8" w:color="CCEEFF"/>
            </w:tcBorders>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(31,609</w:t>
            </w:r>
          </w:p>
        </w:tc>
        <w:tc>
          <w:tcPr>
            <w:tcW w:w="140" w:type="dxa"/>
            <w:vAlign w:val="bottom"/>
            <w:tcBorders>
              <w:bottom w:val="single" w:sz="8" w:color="CCEEFF"/>
            </w:tcBorders>
          </w:tcPr>
          <w:p>
            <w:pPr>
              <w:jc w:val="right"/>
              <w:ind w:right="8"/>
              <w:spacing w:after="0" w:line="142" w:lineRule="exact"/>
              <w:rPr>
                <w:sz w:val="20"/>
                <w:szCs w:val="20"/>
                <w:color w:val="auto"/>
              </w:rPr>
            </w:pPr>
            <w:r>
              <w:rPr>
                <w:rFonts w:ascii="Arial" w:cs="Arial" w:eastAsia="Arial" w:hAnsi="Arial"/>
                <w:sz w:val="14"/>
                <w:szCs w:val="14"/>
                <w:color w:val="auto"/>
                <w:w w:val="84"/>
              </w:rPr>
              <w:t>)</w:t>
            </w: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135,996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auto"/>
              </w:rPr>
              <w:t>Balance at December 31, 2017</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11,520,406</w:t>
            </w:r>
          </w:p>
        </w:tc>
        <w:tc>
          <w:tcPr>
            <w:tcW w:w="840" w:type="dxa"/>
            <w:vAlign w:val="bottom"/>
          </w:tcPr>
          <w:p>
            <w:pPr>
              <w:jc w:val="right"/>
              <w:ind w:right="688"/>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4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179,641</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(1,898)</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(978)</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(41,702)</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135,075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increase in net assets resulting from</w:t>
            </w: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60"/>
              <w:spacing w:after="0"/>
              <w:rPr>
                <w:sz w:val="20"/>
                <w:szCs w:val="20"/>
                <w:color w:val="auto"/>
              </w:rPr>
            </w:pPr>
            <w:r>
              <w:rPr>
                <w:rFonts w:ascii="Arial" w:cs="Arial" w:eastAsia="Arial" w:hAnsi="Arial"/>
                <w:sz w:val="14"/>
                <w:szCs w:val="14"/>
                <w:color w:val="auto"/>
              </w:rPr>
              <w:t>operations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9,902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(237)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9,792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Financing costs</w:t>
            </w: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spacing w:after="0"/>
              <w:rPr>
                <w:sz w:val="12"/>
                <w:szCs w:val="12"/>
                <w:color w:val="auto"/>
              </w:rPr>
            </w:pPr>
          </w:p>
        </w:tc>
        <w:tc>
          <w:tcPr>
            <w:tcW w:w="4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under dividend</w:t>
            </w: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60"/>
              <w:spacing w:after="0"/>
              <w:rPr>
                <w:sz w:val="20"/>
                <w:szCs w:val="20"/>
                <w:color w:val="auto"/>
              </w:rPr>
            </w:pPr>
            <w:r>
              <w:rPr>
                <w:rFonts w:ascii="Arial" w:cs="Arial" w:eastAsia="Arial" w:hAnsi="Arial"/>
                <w:sz w:val="14"/>
                <w:szCs w:val="14"/>
                <w:color w:val="auto"/>
              </w:rPr>
              <w:t>reinvestment plan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10,993</w:t>
            </w:r>
          </w:p>
        </w:tc>
        <w:tc>
          <w:tcPr>
            <w:tcW w:w="8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4"/>
                <w:szCs w:val="14"/>
                <w:color w:val="auto"/>
              </w:rPr>
              <w:t>Distributions declared</w:t>
            </w: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4"/>
                <w:szCs w:val="14"/>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8"/>
              <w:spacing w:after="0"/>
              <w:rPr>
                <w:sz w:val="20"/>
                <w:szCs w:val="20"/>
                <w:color w:val="auto"/>
              </w:rPr>
            </w:pPr>
            <w:r>
              <w:rPr>
                <w:rFonts w:ascii="Arial" w:cs="Arial" w:eastAsia="Arial" w:hAnsi="Arial"/>
                <w:sz w:val="14"/>
                <w:szCs w:val="14"/>
                <w:color w:val="auto"/>
              </w:rPr>
              <w:t>(10,376)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color w:val="auto"/>
              </w:rPr>
              <w:t>(10,376)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4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at September 30, 2018</w:t>
            </w:r>
          </w:p>
        </w:tc>
        <w:tc>
          <w:tcPr>
            <w:tcW w:w="10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11,531,399</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ind w:right="68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179,606</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(2,372</w:t>
            </w:r>
          </w:p>
        </w:tc>
        <w:tc>
          <w:tcPr>
            <w:tcW w:w="14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(851</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(41,939</w:t>
            </w:r>
          </w:p>
        </w:tc>
        <w:tc>
          <w:tcPr>
            <w:tcW w:w="14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134,456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280" w:type="dxa"/>
            <w:vAlign w:val="bottom"/>
          </w:tcPr>
          <w:p>
            <w:pPr>
              <w:jc w:val="center"/>
              <w:ind w:left="3050"/>
              <w:spacing w:after="0"/>
              <w:rPr>
                <w:sz w:val="20"/>
                <w:szCs w:val="20"/>
                <w:color w:val="auto"/>
              </w:rPr>
            </w:pPr>
            <w:r>
              <w:rPr>
                <w:rFonts w:ascii="Arial" w:cs="Arial" w:eastAsia="Arial" w:hAnsi="Arial"/>
                <w:sz w:val="18"/>
                <w:szCs w:val="18"/>
                <w:b w:val="1"/>
                <w:bCs w:val="1"/>
                <w:color w:val="auto"/>
                <w:w w:val="90"/>
              </w:rPr>
              <w:t>Horizon Technology Finance Corporation and Subsidiaries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280" w:type="dxa"/>
            <w:vAlign w:val="bottom"/>
          </w:tcPr>
          <w:p>
            <w:pPr>
              <w:jc w:val="center"/>
              <w:ind w:left="307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80" w:type="dxa"/>
            <w:vAlign w:val="bottom"/>
          </w:tcPr>
          <w:p>
            <w:pPr>
              <w:jc w:val="center"/>
              <w:ind w:left="3050"/>
              <w:spacing w:after="0"/>
              <w:rPr>
                <w:sz w:val="20"/>
                <w:szCs w:val="20"/>
                <w:color w:val="auto"/>
              </w:rPr>
            </w:pPr>
            <w:r>
              <w:rPr>
                <w:rFonts w:ascii="Arial" w:cs="Arial" w:eastAsia="Arial" w:hAnsi="Arial"/>
                <w:sz w:val="18"/>
                <w:szCs w:val="18"/>
                <w:b w:val="1"/>
                <w:bCs w:val="1"/>
                <w:color w:val="auto"/>
                <w:w w:val="89"/>
              </w:rPr>
              <w:t>(Dollars in thousands)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4"/>
              </w:rPr>
              <w:t>For the Nine Months Ended</w:t>
            </w:r>
          </w:p>
        </w:tc>
        <w:tc>
          <w:tcPr>
            <w:tcW w:w="0" w:type="dxa"/>
            <w:vAlign w:val="bottom"/>
          </w:tcPr>
          <w:p>
            <w:pPr>
              <w:spacing w:after="0"/>
              <w:rPr>
                <w:sz w:val="1"/>
                <w:szCs w:val="1"/>
                <w:color w:val="auto"/>
              </w:rPr>
            </w:pPr>
          </w:p>
        </w:tc>
      </w:tr>
      <w:tr>
        <w:trPr>
          <w:trHeight w:val="243"/>
        </w:trPr>
        <w:tc>
          <w:tcPr>
            <w:tcW w:w="8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9,792</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7,095</w:t>
            </w:r>
          </w:p>
        </w:tc>
        <w:tc>
          <w:tcPr>
            <w:tcW w:w="0" w:type="dxa"/>
            <w:vAlign w:val="bottom"/>
          </w:tcPr>
          <w:p>
            <w:pPr>
              <w:spacing w:after="0"/>
              <w:rPr>
                <w:sz w:val="1"/>
                <w:szCs w:val="1"/>
                <w:color w:val="auto"/>
              </w:rPr>
            </w:pPr>
          </w:p>
        </w:tc>
      </w:tr>
      <w:tr>
        <w:trPr>
          <w:trHeight w:val="202"/>
        </w:trPr>
        <w:tc>
          <w:tcPr>
            <w:tcW w:w="8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Adjustments to reconcile net increase in net assets resulting from operations to net cash (used in) provided by</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420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11,098</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Net unrealized appreciation on investments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(8,276)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Purchase of investments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(62,246)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(66,311)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46,503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80,062</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controlled affiliate investments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Proceeds from sale of investments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3,360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Equity received in settlement of fee income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Warrants received in settlement of fee income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40"/>
              <w:spacing w:after="0"/>
              <w:rPr>
                <w:sz w:val="20"/>
                <w:szCs w:val="20"/>
                <w:color w:val="auto"/>
              </w:rPr>
            </w:pPr>
            <w:r>
              <w:rPr>
                <w:rFonts w:ascii="Arial" w:cs="Arial" w:eastAsia="Arial" w:hAnsi="Arial"/>
                <w:sz w:val="18"/>
                <w:szCs w:val="18"/>
                <w:color w:val="auto"/>
              </w:rPr>
              <w:t>(Increase) decrease in interest receivable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decrease in end-of-term payments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8280" w:type="dxa"/>
            <w:vAlign w:val="bottom"/>
          </w:tcPr>
          <w:p>
            <w:pPr>
              <w:ind w:left="140"/>
              <w:spacing w:after="0"/>
              <w:rPr>
                <w:sz w:val="20"/>
                <w:szCs w:val="20"/>
                <w:color w:val="auto"/>
              </w:rPr>
            </w:pPr>
            <w:r>
              <w:rPr>
                <w:rFonts w:ascii="Arial" w:cs="Arial" w:eastAsia="Arial" w:hAnsi="Arial"/>
                <w:sz w:val="18"/>
                <w:szCs w:val="18"/>
                <w:color w:val="auto"/>
              </w:rPr>
              <w:t>Decrease in unearned income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(512)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 other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8280" w:type="dxa"/>
            <w:vAlign w:val="bottom"/>
          </w:tcPr>
          <w:p>
            <w:pPr>
              <w:ind w:left="140"/>
              <w:spacing w:after="0"/>
              <w:rPr>
                <w:sz w:val="20"/>
                <w:szCs w:val="20"/>
                <w:color w:val="auto"/>
              </w:rPr>
            </w:pPr>
            <w:r>
              <w:rPr>
                <w:rFonts w:ascii="Arial" w:cs="Arial" w:eastAsia="Arial" w:hAnsi="Arial"/>
                <w:sz w:val="18"/>
                <w:szCs w:val="18"/>
                <w:color w:val="auto"/>
              </w:rPr>
              <w:t>Increase in other accrued expenses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(decrease) in base management fee payable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Increase in incentive fee payable</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0"/>
        </w:trPr>
        <w:tc>
          <w:tcPr>
            <w:tcW w:w="82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2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2022 Notes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32,500</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Advances on credit facility</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28,000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34,000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Repayment of credit facility</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(97,000)</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Distributions paid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(10,253)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(10,230)</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Financing costs</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(41,926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decrease in cash</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280" w:type="dxa"/>
            <w:vAlign w:val="bottom"/>
          </w:tcPr>
          <w:p>
            <w:pPr>
              <w:spacing w:after="0"/>
              <w:rPr>
                <w:sz w:val="20"/>
                <w:szCs w:val="20"/>
                <w:color w:val="auto"/>
              </w:rPr>
            </w:pPr>
            <w:r>
              <w:rPr>
                <w:rFonts w:ascii="Arial" w:cs="Arial" w:eastAsia="Arial" w:hAnsi="Arial"/>
                <w:sz w:val="18"/>
                <w:szCs w:val="18"/>
                <w:b w:val="1"/>
                <w:bCs w:val="1"/>
                <w:color w:val="auto"/>
              </w:rPr>
              <w:t>Cash:</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6,594</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37,135</w:t>
            </w:r>
          </w:p>
        </w:tc>
        <w:tc>
          <w:tcPr>
            <w:tcW w:w="0" w:type="dxa"/>
            <w:vAlign w:val="bottom"/>
          </w:tcPr>
          <w:p>
            <w:pPr>
              <w:spacing w:after="0"/>
              <w:rPr>
                <w:sz w:val="1"/>
                <w:szCs w:val="1"/>
                <w:color w:val="auto"/>
              </w:rPr>
            </w:pPr>
          </w:p>
        </w:tc>
      </w:tr>
      <w:tr>
        <w:trPr>
          <w:trHeight w:val="263"/>
        </w:trPr>
        <w:tc>
          <w:tcPr>
            <w:tcW w:w="8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 of period</w:t>
            </w:r>
          </w:p>
        </w:tc>
        <w:tc>
          <w:tcPr>
            <w:tcW w:w="3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5,909</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22,326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828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4,085</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224"/>
        </w:trPr>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non-cash investing and financing activities:</w:t>
            </w: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8280" w:type="dxa"/>
            <w:vAlign w:val="bottom"/>
          </w:tcPr>
          <w:p>
            <w:pPr>
              <w:ind w:left="180"/>
              <w:spacing w:after="0"/>
              <w:rPr>
                <w:sz w:val="20"/>
                <w:szCs w:val="20"/>
                <w:color w:val="auto"/>
              </w:rPr>
            </w:pPr>
            <w:r>
              <w:rPr>
                <w:rFonts w:ascii="Arial" w:cs="Arial" w:eastAsia="Arial" w:hAnsi="Arial"/>
                <w:sz w:val="18"/>
                <w:szCs w:val="18"/>
                <w:color w:val="auto"/>
              </w:rPr>
              <w:t>Warrant investments received and recorded as unearned income</w:t>
            </w:r>
          </w:p>
        </w:tc>
        <w:tc>
          <w:tcPr>
            <w:tcW w:w="5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1,007</w:t>
            </w: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197"/>
        </w:trPr>
        <w:tc>
          <w:tcPr>
            <w:tcW w:w="82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Distributions payable</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80" w:type="dxa"/>
            <w:vAlign w:val="bottom"/>
            <w:vMerge w:val="restart"/>
          </w:tcPr>
          <w:p>
            <w:pPr>
              <w:ind w:left="180"/>
              <w:spacing w:after="0"/>
              <w:rPr>
                <w:sz w:val="20"/>
                <w:szCs w:val="20"/>
                <w:color w:val="auto"/>
              </w:rPr>
            </w:pPr>
            <w:r>
              <w:rPr>
                <w:rFonts w:ascii="Arial" w:cs="Arial" w:eastAsia="Arial" w:hAnsi="Arial"/>
                <w:sz w:val="18"/>
                <w:szCs w:val="18"/>
                <w:color w:val="auto"/>
              </w:rPr>
              <w:t>End-of-term payments receivable</w:t>
            </w:r>
          </w:p>
        </w:tc>
        <w:tc>
          <w:tcPr>
            <w:tcW w:w="3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8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3,667</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3,657</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2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Receivable resulting from sale of investment</w:t>
            </w: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Principal</w:t>
            </w:r>
          </w:p>
        </w:tc>
        <w:tc>
          <w:tcPr>
            <w:tcW w:w="8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 of</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r>
      <w:tr>
        <w:trPr>
          <w:trHeight w:val="171"/>
        </w:trPr>
        <w:tc>
          <w:tcPr>
            <w:tcW w:w="2640" w:type="dxa"/>
            <w:vAlign w:val="bottom"/>
          </w:tcPr>
          <w:p>
            <w:pPr>
              <w:spacing w:after="0"/>
              <w:rPr>
                <w:sz w:val="20"/>
                <w:szCs w:val="20"/>
                <w:color w:val="auto"/>
              </w:rPr>
            </w:pPr>
            <w:r>
              <w:rPr>
                <w:rFonts w:ascii="Arial" w:cs="Arial" w:eastAsia="Arial" w:hAnsi="Arial"/>
                <w:sz w:val="14"/>
                <w:szCs w:val="14"/>
                <w:b w:val="1"/>
                <w:bCs w:val="1"/>
                <w:color w:val="auto"/>
              </w:rPr>
              <w:t>Portfolio Company (1)(3)</w:t>
            </w:r>
          </w:p>
        </w:tc>
        <w:tc>
          <w:tcPr>
            <w:tcW w:w="1300" w:type="dxa"/>
            <w:vAlign w:val="bottom"/>
          </w:tcPr>
          <w:p>
            <w:pPr>
              <w:ind w:left="560"/>
              <w:spacing w:after="0"/>
              <w:rPr>
                <w:sz w:val="20"/>
                <w:szCs w:val="20"/>
                <w:color w:val="auto"/>
              </w:rPr>
            </w:pPr>
            <w:r>
              <w:rPr>
                <w:rFonts w:ascii="Arial" w:cs="Arial" w:eastAsia="Arial" w:hAnsi="Arial"/>
                <w:sz w:val="14"/>
                <w:szCs w:val="14"/>
                <w:b w:val="1"/>
                <w:bCs w:val="1"/>
                <w:color w:val="auto"/>
              </w:rPr>
              <w:t>Sector</w:t>
            </w:r>
          </w:p>
        </w:tc>
        <w:tc>
          <w:tcPr>
            <w:tcW w:w="3520" w:type="dxa"/>
            <w:vAlign w:val="bottom"/>
            <w:gridSpan w:val="2"/>
          </w:tcPr>
          <w:p>
            <w:pPr>
              <w:ind w:left="820"/>
              <w:spacing w:after="0"/>
              <w:rPr>
                <w:sz w:val="20"/>
                <w:szCs w:val="20"/>
                <w:color w:val="auto"/>
              </w:rPr>
            </w:pPr>
            <w:r>
              <w:rPr>
                <w:rFonts w:ascii="Arial" w:cs="Arial" w:eastAsia="Arial" w:hAnsi="Arial"/>
                <w:sz w:val="14"/>
                <w:szCs w:val="14"/>
                <w:b w:val="1"/>
                <w:bCs w:val="1"/>
                <w:color w:val="auto"/>
              </w:rPr>
              <w:t>Type of Investment (4)(7)(9)(10)</w:t>
            </w:r>
          </w:p>
        </w:tc>
        <w:tc>
          <w:tcPr>
            <w:tcW w:w="1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Investments (6)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26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Investments — 169.4% (8)</w:t>
            </w:r>
          </w:p>
        </w:tc>
        <w:tc>
          <w:tcPr>
            <w:tcW w:w="1300" w:type="dxa"/>
            <w:vAlign w:val="bottom"/>
            <w:tcBorders>
              <w:top w:val="single" w:sz="8" w:color="auto"/>
            </w:tcBorders>
            <w:shd w:val="clear" w:color="auto" w:fill="CCEEFF"/>
          </w:tcPr>
          <w:p>
            <w:pPr>
              <w:spacing w:after="0"/>
              <w:rPr>
                <w:sz w:val="12"/>
                <w:szCs w:val="12"/>
                <w:color w:val="auto"/>
              </w:rPr>
            </w:pPr>
          </w:p>
        </w:tc>
        <w:tc>
          <w:tcPr>
            <w:tcW w:w="3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3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Non-Affiliate Debt Investments — 155.1% (8)</w:t>
            </w: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Debt Investments — Life Science — 53.0% (8)</w:t>
            </w:r>
          </w:p>
        </w:tc>
        <w:tc>
          <w:tcPr>
            <w:tcW w:w="3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Celsion Corporation (2)(5)(12)</w:t>
            </w:r>
          </w:p>
        </w:tc>
        <w:tc>
          <w:tcPr>
            <w:tcW w:w="1300" w:type="dxa"/>
            <w:vAlign w:val="bottom"/>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52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Term Loan (9.73% cash (Libor + 7.63%; Floor</w:t>
            </w:r>
          </w:p>
        </w:tc>
        <w:tc>
          <w:tcPr>
            <w:tcW w:w="180" w:type="dxa"/>
            <w:vAlign w:val="bottom"/>
          </w:tcPr>
          <w:p>
            <w:pPr>
              <w:jc w:val="right"/>
              <w:ind w:right="28"/>
              <w:spacing w:after="0" w:line="130"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2,500</w:t>
            </w:r>
          </w:p>
        </w:tc>
        <w:tc>
          <w:tcPr>
            <w:tcW w:w="80" w:type="dxa"/>
            <w:vAlign w:val="bottom"/>
          </w:tcPr>
          <w:p>
            <w:pPr>
              <w:jc w:val="right"/>
              <w:spacing w:after="0" w:line="130"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2,446</w:t>
            </w:r>
          </w:p>
        </w:tc>
        <w:tc>
          <w:tcPr>
            <w:tcW w:w="360" w:type="dxa"/>
            <w:vAlign w:val="bottom"/>
            <w:gridSpan w:val="2"/>
          </w:tcPr>
          <w:p>
            <w:pPr>
              <w:jc w:val="right"/>
              <w:ind w:right="180"/>
              <w:spacing w:after="0" w:line="130"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2,446</w:t>
            </w:r>
          </w:p>
        </w:tc>
      </w:tr>
      <w:tr>
        <w:trPr>
          <w:trHeight w:val="167"/>
        </w:trPr>
        <w:tc>
          <w:tcPr>
            <w:tcW w:w="2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9.63%), 4.00% ETP, Due 7/1/22)</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352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Loan (9.73% cash (Libor + 7.63%;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2,500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2,446</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2,446</w:t>
            </w:r>
          </w:p>
        </w:tc>
      </w:tr>
      <w:tr>
        <w:trPr>
          <w:trHeight w:val="167"/>
        </w:trPr>
        <w:tc>
          <w:tcPr>
            <w:tcW w:w="26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9.63%), 4.00% ETP, Due 7/1/22)</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52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Term Loan (9.73% cash (Libor + 7.63%;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2,500</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2,446</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2,446</w:t>
            </w:r>
          </w:p>
        </w:tc>
      </w:tr>
      <w:tr>
        <w:trPr>
          <w:trHeight w:val="167"/>
        </w:trPr>
        <w:tc>
          <w:tcPr>
            <w:tcW w:w="2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9.63%), 4.00% ETP, Due 7/1/22)</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352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Loan (9.73% cash (Libor + 7.63%;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2,500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2,446</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2,446</w:t>
            </w:r>
          </w:p>
        </w:tc>
      </w:tr>
      <w:tr>
        <w:trPr>
          <w:trHeight w:val="167"/>
        </w:trPr>
        <w:tc>
          <w:tcPr>
            <w:tcW w:w="26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9.63%), 4.00% ETP, Due 7/1/22)</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Espero BioPharma, Inc. (2)(12)</w:t>
            </w:r>
          </w:p>
        </w:tc>
        <w:tc>
          <w:tcPr>
            <w:tcW w:w="1300" w:type="dxa"/>
            <w:vAlign w:val="bottom"/>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52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Term Loan (12.00% cash (Libor + 9.9%;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5,000</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4,689</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4,689</w:t>
            </w:r>
          </w:p>
        </w:tc>
      </w:tr>
      <w:tr>
        <w:trPr>
          <w:trHeight w:val="167"/>
        </w:trPr>
        <w:tc>
          <w:tcPr>
            <w:tcW w:w="2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12.00%), 4.00% ETP, Due 6/30/19)</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Palatin Technologies, Inc. (2)(5)(12)</w:t>
            </w:r>
          </w:p>
        </w:tc>
        <w:tc>
          <w:tcPr>
            <w:tcW w:w="13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52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Loan (10.60% cash (Libor + 8.50%; Floor</w:t>
            </w: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500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495</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495</w:t>
            </w:r>
          </w:p>
        </w:tc>
      </w:tr>
      <w:tr>
        <w:trPr>
          <w:trHeight w:val="167"/>
        </w:trPr>
        <w:tc>
          <w:tcPr>
            <w:tcW w:w="26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9.00%), 5.00% ETP, Due 1/1/19)</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52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Term Loan (10.60% cash (Libor + 8.50%; Floor</w:t>
            </w:r>
          </w:p>
        </w:tc>
        <w:tc>
          <w:tcPr>
            <w:tcW w:w="180" w:type="dxa"/>
            <w:vAlign w:val="bottom"/>
          </w:tcPr>
          <w:p>
            <w:pPr>
              <w:spacing w:after="0"/>
              <w:rPr>
                <w:sz w:val="11"/>
                <w:szCs w:val="11"/>
                <w:color w:val="auto"/>
              </w:rPr>
            </w:pPr>
          </w:p>
        </w:tc>
        <w:tc>
          <w:tcPr>
            <w:tcW w:w="980" w:type="dxa"/>
            <w:vAlign w:val="bottom"/>
          </w:tcPr>
          <w:p>
            <w:pPr>
              <w:jc w:val="right"/>
              <w:spacing w:after="0" w:line="130" w:lineRule="exact"/>
              <w:rPr>
                <w:sz w:val="20"/>
                <w:szCs w:val="20"/>
                <w:color w:val="auto"/>
              </w:rPr>
            </w:pPr>
            <w:r>
              <w:rPr>
                <w:rFonts w:ascii="Arial" w:cs="Arial" w:eastAsia="Arial" w:hAnsi="Arial"/>
                <w:sz w:val="14"/>
                <w:szCs w:val="14"/>
                <w:color w:val="auto"/>
              </w:rPr>
              <w:t>500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500</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500</w:t>
            </w:r>
          </w:p>
        </w:tc>
      </w:tr>
      <w:tr>
        <w:trPr>
          <w:trHeight w:val="167"/>
        </w:trPr>
        <w:tc>
          <w:tcPr>
            <w:tcW w:w="2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9.00%), 3.44% ETP, Due 1/1/19)</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352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Loan (10.60% cash (Libor + 8.50%;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1,667</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1,652</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1,652</w:t>
            </w:r>
          </w:p>
        </w:tc>
      </w:tr>
      <w:tr>
        <w:trPr>
          <w:trHeight w:val="167"/>
        </w:trPr>
        <w:tc>
          <w:tcPr>
            <w:tcW w:w="26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9.00%), 5.00% ETP, Due 8/1/19)</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52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Term Loan (10.60% cash (Libor + 8.50%;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1,667</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1,667</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1,667</w:t>
            </w:r>
          </w:p>
        </w:tc>
      </w:tr>
      <w:tr>
        <w:trPr>
          <w:trHeight w:val="167"/>
        </w:trPr>
        <w:tc>
          <w:tcPr>
            <w:tcW w:w="2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9.00%), 3.27% ETP, Due 8/1/19)</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vTv Therapeutics Inc. (2)(5)(12)</w:t>
            </w:r>
          </w:p>
        </w:tc>
        <w:tc>
          <w:tcPr>
            <w:tcW w:w="13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Biotechnology</w:t>
            </w:r>
          </w:p>
        </w:tc>
        <w:tc>
          <w:tcPr>
            <w:tcW w:w="352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Loan (12.10% cash (Libor + 10.00%;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4,948</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4,912</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4,912</w:t>
            </w:r>
          </w:p>
        </w:tc>
      </w:tr>
      <w:tr>
        <w:trPr>
          <w:trHeight w:val="167"/>
        </w:trPr>
        <w:tc>
          <w:tcPr>
            <w:tcW w:w="26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10.50%), 6.00% ETP, Due 5/1/20)</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52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Term Loan (12.10% cash (Libor + 10.00%;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3,750</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3,714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3,714</w:t>
            </w:r>
          </w:p>
        </w:tc>
      </w:tr>
      <w:tr>
        <w:trPr>
          <w:trHeight w:val="167"/>
        </w:trPr>
        <w:tc>
          <w:tcPr>
            <w:tcW w:w="2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10.50%), 6.00% ETP, Due 10/1/20)</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Titan Pharmaceuticals, Inc. (2)(5)(12)</w:t>
            </w:r>
          </w:p>
        </w:tc>
        <w:tc>
          <w:tcPr>
            <w:tcW w:w="13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Drug Delivery</w:t>
            </w:r>
          </w:p>
        </w:tc>
        <w:tc>
          <w:tcPr>
            <w:tcW w:w="352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Loan (10.50% cash (Libor + 8.40%;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1,600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1,484</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1,484</w:t>
            </w:r>
          </w:p>
        </w:tc>
      </w:tr>
      <w:tr>
        <w:trPr>
          <w:trHeight w:val="167"/>
        </w:trPr>
        <w:tc>
          <w:tcPr>
            <w:tcW w:w="26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9.50%), 5.00% ETP, Due 6/1/21)</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Aerin Medical, Inc. (2)(12)</w:t>
            </w:r>
          </w:p>
        </w:tc>
        <w:tc>
          <w:tcPr>
            <w:tcW w:w="1300" w:type="dxa"/>
            <w:vAlign w:val="bottom"/>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52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Term Loan (9.55% cash (Libor + 7.45%;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3,887</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3,887</w:t>
            </w:r>
          </w:p>
        </w:tc>
      </w:tr>
      <w:tr>
        <w:trPr>
          <w:trHeight w:val="167"/>
        </w:trPr>
        <w:tc>
          <w:tcPr>
            <w:tcW w:w="2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8.75%), 4.00% ETP, Due 1/1/22)</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352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Loan (9.55% cash (Libor + 7.45%;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2,963</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2,963</w:t>
            </w:r>
          </w:p>
        </w:tc>
      </w:tr>
      <w:tr>
        <w:trPr>
          <w:trHeight w:val="167"/>
        </w:trPr>
        <w:tc>
          <w:tcPr>
            <w:tcW w:w="26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8.75%), 4.00% ETP, Due 1/1/22)</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52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Term Loan (9.55% cash (Libor + 7.45%;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2,963</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2,963</w:t>
            </w:r>
          </w:p>
        </w:tc>
      </w:tr>
      <w:tr>
        <w:trPr>
          <w:trHeight w:val="167"/>
        </w:trPr>
        <w:tc>
          <w:tcPr>
            <w:tcW w:w="2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8.75%), 4.00% ETP, Due 1/1/22)</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Conventus Orthopaedics, Inc. (2)(12)</w:t>
            </w:r>
          </w:p>
        </w:tc>
        <w:tc>
          <w:tcPr>
            <w:tcW w:w="13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52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Loan (10.10% cash (Libor + 8.00%;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3,944</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3,944</w:t>
            </w:r>
          </w:p>
        </w:tc>
      </w:tr>
      <w:tr>
        <w:trPr>
          <w:trHeight w:val="167"/>
        </w:trPr>
        <w:tc>
          <w:tcPr>
            <w:tcW w:w="26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9.25%), 6.00% ETP, Due 6/1/21)</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52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Term Loan (10.10% cash (Libor + 8.00%;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3,944</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3,944</w:t>
            </w:r>
          </w:p>
        </w:tc>
      </w:tr>
      <w:tr>
        <w:trPr>
          <w:trHeight w:val="167"/>
        </w:trPr>
        <w:tc>
          <w:tcPr>
            <w:tcW w:w="2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9.25%), 6.00% ETP, Due 6/1/21)</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352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Loan (10.10% cash (Libor + 8.00%;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3,944</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3,944</w:t>
            </w:r>
          </w:p>
        </w:tc>
      </w:tr>
      <w:tr>
        <w:trPr>
          <w:trHeight w:val="167"/>
        </w:trPr>
        <w:tc>
          <w:tcPr>
            <w:tcW w:w="26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9.25%), 6.00% ETP, Due 6/1/21)</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CSA Medical, Inc. (12)</w:t>
            </w:r>
          </w:p>
        </w:tc>
        <w:tc>
          <w:tcPr>
            <w:tcW w:w="1300" w:type="dxa"/>
            <w:vAlign w:val="bottom"/>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52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Term Loan (10.14% cash (Libor + 7.93%;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6,000</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5,761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5,761</w:t>
            </w:r>
          </w:p>
        </w:tc>
      </w:tr>
      <w:tr>
        <w:trPr>
          <w:trHeight w:val="167"/>
        </w:trPr>
        <w:tc>
          <w:tcPr>
            <w:tcW w:w="2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10.00%), 5.00% ETP, Due 10/1/22)</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Lantos Technologies, Inc. (2)(12)</w:t>
            </w:r>
          </w:p>
        </w:tc>
        <w:tc>
          <w:tcPr>
            <w:tcW w:w="13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52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Loan (10.53% cash (Libor + 8.43%;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3,522</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3,522</w:t>
            </w:r>
          </w:p>
        </w:tc>
      </w:tr>
      <w:tr>
        <w:trPr>
          <w:trHeight w:val="167"/>
        </w:trPr>
        <w:tc>
          <w:tcPr>
            <w:tcW w:w="26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10.00%), 6.00% ETP, Due 9/1/21)</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MacuLogix, Inc. (2)(12)</w:t>
            </w:r>
          </w:p>
        </w:tc>
        <w:tc>
          <w:tcPr>
            <w:tcW w:w="1300" w:type="dxa"/>
            <w:vAlign w:val="bottom"/>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52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Term Loan (9.78% cash (Libor + 7.68%;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3,750</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3,525</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3,525</w:t>
            </w:r>
          </w:p>
        </w:tc>
      </w:tr>
      <w:tr>
        <w:trPr>
          <w:trHeight w:val="167"/>
        </w:trPr>
        <w:tc>
          <w:tcPr>
            <w:tcW w:w="2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9.50%), 4.00% ETP, Due 8/1/22)</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VERO Biotech LLC (2)(12)</w:t>
            </w:r>
          </w:p>
        </w:tc>
        <w:tc>
          <w:tcPr>
            <w:tcW w:w="13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Medical Device</w:t>
            </w:r>
          </w:p>
        </w:tc>
        <w:tc>
          <w:tcPr>
            <w:tcW w:w="352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Loan (10.10% cash (Libor + 8.00%;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3,946</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3,946</w:t>
            </w:r>
          </w:p>
        </w:tc>
      </w:tr>
      <w:tr>
        <w:trPr>
          <w:trHeight w:val="167"/>
        </w:trPr>
        <w:tc>
          <w:tcPr>
            <w:tcW w:w="26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9.25%), 5.00% ETP, Due 1/1/22)</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3"/>
        </w:trPr>
        <w:tc>
          <w:tcPr>
            <w:tcW w:w="26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520" w:type="dxa"/>
            <w:vAlign w:val="bottom"/>
            <w:gridSpan w:val="2"/>
          </w:tcPr>
          <w:p>
            <w:pPr>
              <w:ind w:left="200"/>
              <w:spacing w:after="0" w:line="143" w:lineRule="exact"/>
              <w:rPr>
                <w:sz w:val="20"/>
                <w:szCs w:val="20"/>
                <w:color w:val="auto"/>
              </w:rPr>
            </w:pPr>
            <w:r>
              <w:rPr>
                <w:rFonts w:ascii="Arial" w:cs="Arial" w:eastAsia="Arial" w:hAnsi="Arial"/>
                <w:sz w:val="14"/>
                <w:szCs w:val="14"/>
                <w:color w:val="auto"/>
              </w:rPr>
              <w:t>Term Loan (10.10% cash (Libor + 8.00%; Floor</w:t>
            </w:r>
          </w:p>
        </w:tc>
        <w:tc>
          <w:tcPr>
            <w:tcW w:w="180" w:type="dxa"/>
            <w:vAlign w:val="bottom"/>
          </w:tcPr>
          <w:p>
            <w:pPr>
              <w:spacing w:after="0"/>
              <w:rPr>
                <w:sz w:val="12"/>
                <w:szCs w:val="12"/>
                <w:color w:val="auto"/>
              </w:rPr>
            </w:pPr>
          </w:p>
        </w:tc>
        <w:tc>
          <w:tcPr>
            <w:tcW w:w="118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4,000</w:t>
            </w:r>
          </w:p>
        </w:tc>
        <w:tc>
          <w:tcPr>
            <w:tcW w:w="80" w:type="dxa"/>
            <w:vAlign w:val="bottom"/>
          </w:tcPr>
          <w:p>
            <w:pPr>
              <w:spacing w:after="0"/>
              <w:rPr>
                <w:sz w:val="12"/>
                <w:szCs w:val="12"/>
                <w:color w:val="auto"/>
              </w:rPr>
            </w:pPr>
          </w:p>
        </w:tc>
        <w:tc>
          <w:tcPr>
            <w:tcW w:w="116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3,946</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3,946</w:t>
            </w:r>
          </w:p>
        </w:tc>
      </w:tr>
      <w:tr>
        <w:trPr>
          <w:trHeight w:val="167"/>
        </w:trPr>
        <w:tc>
          <w:tcPr>
            <w:tcW w:w="264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35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9.25%), 5.00% ETP, Due 1/1/22)</w:t>
            </w:r>
          </w:p>
        </w:tc>
        <w:tc>
          <w:tcPr>
            <w:tcW w:w="18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142"/>
        </w:trPr>
        <w:tc>
          <w:tcPr>
            <w:tcW w:w="39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Non-Affiliate Debt Investments — Life Science</w:t>
            </w:r>
          </w:p>
        </w:tc>
        <w:tc>
          <w:tcPr>
            <w:tcW w:w="3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71,242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71,242</w:t>
            </w:r>
          </w:p>
        </w:tc>
        <w:tc>
          <w:tcPr>
            <w:tcW w:w="100" w:type="dxa"/>
            <w:vAlign w:val="bottom"/>
            <w:shd w:val="clear" w:color="auto" w:fill="CCEEFF"/>
          </w:tcPr>
          <w:p>
            <w:pPr>
              <w:spacing w:after="0"/>
              <w:rPr>
                <w:sz w:val="12"/>
                <w:szCs w:val="12"/>
                <w:color w:val="auto"/>
              </w:rPr>
            </w:pPr>
          </w:p>
        </w:tc>
      </w:tr>
      <w:tr>
        <w:trPr>
          <w:trHeight w:val="142"/>
        </w:trPr>
        <w:tc>
          <w:tcPr>
            <w:tcW w:w="39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Non-Affiliate Debt Investments — Technology — 84.7% (8)</w:t>
            </w: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Audacy Corporation (2)(12)</w:t>
            </w:r>
          </w:p>
        </w:tc>
        <w:tc>
          <w:tcPr>
            <w:tcW w:w="13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Communications</w:t>
            </w:r>
          </w:p>
        </w:tc>
        <w:tc>
          <w:tcPr>
            <w:tcW w:w="352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Loan (10.00% cash (Libor + 7.90%;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3,932</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3,932</w:t>
            </w:r>
          </w:p>
        </w:tc>
      </w:tr>
      <w:tr>
        <w:trPr>
          <w:trHeight w:val="167"/>
        </w:trPr>
        <w:tc>
          <w:tcPr>
            <w:tcW w:w="26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9.50%), 5.00% ETP, Due 7/1/22)</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Intelepeer Holdings, Inc. (2)(12)</w:t>
            </w:r>
          </w:p>
        </w:tc>
        <w:tc>
          <w:tcPr>
            <w:tcW w:w="1300" w:type="dxa"/>
            <w:vAlign w:val="bottom"/>
          </w:tcPr>
          <w:p>
            <w:pPr>
              <w:ind w:left="120"/>
              <w:spacing w:after="0" w:line="130" w:lineRule="exact"/>
              <w:rPr>
                <w:sz w:val="20"/>
                <w:szCs w:val="20"/>
                <w:color w:val="auto"/>
              </w:rPr>
            </w:pPr>
            <w:r>
              <w:rPr>
                <w:rFonts w:ascii="Arial" w:cs="Arial" w:eastAsia="Arial" w:hAnsi="Arial"/>
                <w:sz w:val="14"/>
                <w:szCs w:val="14"/>
                <w:color w:val="auto"/>
              </w:rPr>
              <w:t>Communications</w:t>
            </w:r>
          </w:p>
        </w:tc>
        <w:tc>
          <w:tcPr>
            <w:tcW w:w="352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Term Loan (12.05% cash (Libor + 9.95%;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3,942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3,942</w:t>
            </w:r>
          </w:p>
        </w:tc>
      </w:tr>
      <w:tr>
        <w:trPr>
          <w:trHeight w:val="167"/>
        </w:trPr>
        <w:tc>
          <w:tcPr>
            <w:tcW w:w="2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11.25%), 2.50% ETP, Due 7/1/21)</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352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Loan (12.05% cash (Libor + 9.95%;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3,942</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3,942</w:t>
            </w:r>
          </w:p>
        </w:tc>
      </w:tr>
      <w:tr>
        <w:trPr>
          <w:trHeight w:val="167"/>
        </w:trPr>
        <w:tc>
          <w:tcPr>
            <w:tcW w:w="26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11.25%), 2.50% ETP, Due 7/1/21)</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52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Term Loan (12.05% cash (Libor + 9.95%;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3,942</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3,942</w:t>
            </w:r>
          </w:p>
        </w:tc>
      </w:tr>
      <w:tr>
        <w:trPr>
          <w:trHeight w:val="167"/>
        </w:trPr>
        <w:tc>
          <w:tcPr>
            <w:tcW w:w="2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11.25%), 2.50% ETP, Due 7/1/21)</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352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Loan (12.05% cash (Libor + 9.95%; Floor</w:t>
            </w:r>
          </w:p>
        </w:tc>
        <w:tc>
          <w:tcPr>
            <w:tcW w:w="18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2,952</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2,952</w:t>
            </w:r>
          </w:p>
        </w:tc>
      </w:tr>
      <w:tr>
        <w:trPr>
          <w:trHeight w:val="167"/>
        </w:trPr>
        <w:tc>
          <w:tcPr>
            <w:tcW w:w="26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11.25%), 2.50% ETP, Due 2/1/22)</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PebblePost, Inc. (2) (12)</w:t>
            </w:r>
          </w:p>
        </w:tc>
        <w:tc>
          <w:tcPr>
            <w:tcW w:w="1300" w:type="dxa"/>
            <w:vAlign w:val="bottom"/>
          </w:tcPr>
          <w:p>
            <w:pPr>
              <w:ind w:left="120"/>
              <w:spacing w:after="0" w:line="130" w:lineRule="exact"/>
              <w:rPr>
                <w:sz w:val="20"/>
                <w:szCs w:val="20"/>
                <w:color w:val="auto"/>
              </w:rPr>
            </w:pPr>
            <w:r>
              <w:rPr>
                <w:rFonts w:ascii="Arial" w:cs="Arial" w:eastAsia="Arial" w:hAnsi="Arial"/>
                <w:sz w:val="14"/>
                <w:szCs w:val="14"/>
                <w:color w:val="auto"/>
              </w:rPr>
              <w:t>Communications</w:t>
            </w:r>
          </w:p>
        </w:tc>
        <w:tc>
          <w:tcPr>
            <w:tcW w:w="352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Term Loan (11.36% cash (Libor + 9.26%; Floor</w:t>
            </w:r>
          </w:p>
        </w:tc>
        <w:tc>
          <w:tcPr>
            <w:tcW w:w="180" w:type="dxa"/>
            <w:vAlign w:val="bottom"/>
          </w:tcPr>
          <w:p>
            <w:pPr>
              <w:spacing w:after="0"/>
              <w:rPr>
                <w:sz w:val="11"/>
                <w:szCs w:val="11"/>
                <w:color w:val="auto"/>
              </w:rPr>
            </w:pPr>
          </w:p>
        </w:tc>
        <w:tc>
          <w:tcPr>
            <w:tcW w:w="118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tcPr>
          <w:p>
            <w:pPr>
              <w:spacing w:after="0"/>
              <w:rPr>
                <w:sz w:val="11"/>
                <w:szCs w:val="11"/>
                <w:color w:val="auto"/>
              </w:rPr>
            </w:pPr>
          </w:p>
        </w:tc>
        <w:tc>
          <w:tcPr>
            <w:tcW w:w="11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3,947</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3,947</w:t>
            </w:r>
          </w:p>
        </w:tc>
      </w:tr>
      <w:tr>
        <w:trPr>
          <w:trHeight w:val="182"/>
        </w:trPr>
        <w:tc>
          <w:tcPr>
            <w:tcW w:w="2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520" w:type="dxa"/>
            <w:vAlign w:val="bottom"/>
            <w:gridSpan w:val="2"/>
          </w:tcPr>
          <w:p>
            <w:pPr>
              <w:ind w:left="200"/>
              <w:spacing w:after="0"/>
              <w:rPr>
                <w:sz w:val="20"/>
                <w:szCs w:val="20"/>
                <w:color w:val="auto"/>
              </w:rPr>
            </w:pPr>
            <w:r>
              <w:rPr>
                <w:rFonts w:ascii="Arial" w:cs="Arial" w:eastAsia="Arial" w:hAnsi="Arial"/>
                <w:sz w:val="14"/>
                <w:szCs w:val="14"/>
                <w:color w:val="auto"/>
              </w:rPr>
              <w:t>10.25%), 4.00% ETP, Due 7/1/21)</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Principal</w:t>
            </w: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Cost of</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r>
      <w:tr>
        <w:trPr>
          <w:trHeight w:val="171"/>
        </w:trPr>
        <w:tc>
          <w:tcPr>
            <w:tcW w:w="2640" w:type="dxa"/>
            <w:vAlign w:val="bottom"/>
          </w:tcPr>
          <w:p>
            <w:pPr>
              <w:spacing w:after="0"/>
              <w:rPr>
                <w:sz w:val="20"/>
                <w:szCs w:val="20"/>
                <w:color w:val="auto"/>
              </w:rPr>
            </w:pPr>
            <w:r>
              <w:rPr>
                <w:rFonts w:ascii="Arial" w:cs="Arial" w:eastAsia="Arial" w:hAnsi="Arial"/>
                <w:sz w:val="14"/>
                <w:szCs w:val="14"/>
                <w:b w:val="1"/>
                <w:bCs w:val="1"/>
                <w:color w:val="auto"/>
              </w:rPr>
              <w:t>Portfolio Company (1)(3)</w:t>
            </w:r>
          </w:p>
        </w:tc>
        <w:tc>
          <w:tcPr>
            <w:tcW w:w="120" w:type="dxa"/>
            <w:vAlign w:val="bottom"/>
          </w:tcPr>
          <w:p>
            <w:pPr>
              <w:spacing w:after="0"/>
              <w:rPr>
                <w:sz w:val="14"/>
                <w:szCs w:val="14"/>
                <w:color w:val="auto"/>
              </w:rPr>
            </w:pPr>
          </w:p>
        </w:tc>
        <w:tc>
          <w:tcPr>
            <w:tcW w:w="1260" w:type="dxa"/>
            <w:vAlign w:val="bottom"/>
          </w:tcPr>
          <w:p>
            <w:pPr>
              <w:ind w:left="440"/>
              <w:spacing w:after="0"/>
              <w:rPr>
                <w:sz w:val="20"/>
                <w:szCs w:val="20"/>
                <w:color w:val="auto"/>
              </w:rPr>
            </w:pPr>
            <w:r>
              <w:rPr>
                <w:rFonts w:ascii="Arial" w:cs="Arial" w:eastAsia="Arial" w:hAnsi="Arial"/>
                <w:sz w:val="14"/>
                <w:szCs w:val="14"/>
                <w:b w:val="1"/>
                <w:bCs w:val="1"/>
                <w:color w:val="auto"/>
              </w:rPr>
              <w:t>Sector</w:t>
            </w:r>
          </w:p>
        </w:tc>
        <w:tc>
          <w:tcPr>
            <w:tcW w:w="120" w:type="dxa"/>
            <w:vAlign w:val="bottom"/>
          </w:tcPr>
          <w:p>
            <w:pPr>
              <w:spacing w:after="0"/>
              <w:rPr>
                <w:sz w:val="14"/>
                <w:szCs w:val="14"/>
                <w:color w:val="auto"/>
              </w:rPr>
            </w:pPr>
          </w:p>
        </w:tc>
        <w:tc>
          <w:tcPr>
            <w:tcW w:w="332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 (4)(7)(9)(10)</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3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Investments (6)</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123"/>
        </w:trPr>
        <w:tc>
          <w:tcPr>
            <w:tcW w:w="2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2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Term Loan (11.36% cash (Libor + 9.26%; Floor</w:t>
            </w:r>
          </w:p>
        </w:tc>
        <w:tc>
          <w:tcPr>
            <w:tcW w:w="12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4,000</w:t>
            </w:r>
          </w:p>
        </w:tc>
        <w:tc>
          <w:tcPr>
            <w:tcW w:w="20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3,947</w:t>
            </w:r>
          </w:p>
        </w:tc>
        <w:tc>
          <w:tcPr>
            <w:tcW w:w="2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3,947</w:t>
            </w:r>
          </w:p>
        </w:tc>
        <w:tc>
          <w:tcPr>
            <w:tcW w:w="100" w:type="dxa"/>
            <w:vAlign w:val="bottom"/>
            <w:tcBorders>
              <w:top w:val="single" w:sz="8" w:color="CCEEFF"/>
            </w:tcBorders>
            <w:shd w:val="clear" w:color="auto" w:fill="CCEEFF"/>
          </w:tcPr>
          <w:p>
            <w:pPr>
              <w:spacing w:after="0"/>
              <w:rPr>
                <w:sz w:val="10"/>
                <w:szCs w:val="10"/>
                <w:color w:val="auto"/>
              </w:rPr>
            </w:pP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10.25%), 4.00% ETP, Due 7/1/21)</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IgnitionOne, Inc. (2)(12)</w:t>
            </w:r>
          </w:p>
        </w:tc>
        <w:tc>
          <w:tcPr>
            <w:tcW w:w="120" w:type="dxa"/>
            <w:vAlign w:val="bottom"/>
          </w:tcPr>
          <w:p>
            <w:pPr>
              <w:spacing w:after="0"/>
              <w:rPr>
                <w:sz w:val="11"/>
                <w:szCs w:val="11"/>
                <w:color w:val="auto"/>
              </w:rPr>
            </w:pPr>
          </w:p>
        </w:tc>
        <w:tc>
          <w:tcPr>
            <w:tcW w:w="1260" w:type="dxa"/>
            <w:vAlign w:val="bottom"/>
          </w:tcPr>
          <w:p>
            <w:pPr>
              <w:spacing w:after="0" w:line="130" w:lineRule="exact"/>
              <w:rPr>
                <w:sz w:val="20"/>
                <w:szCs w:val="20"/>
                <w:color w:val="auto"/>
              </w:rPr>
            </w:pPr>
            <w:r>
              <w:rPr>
                <w:rFonts w:ascii="Arial" w:cs="Arial" w:eastAsia="Arial" w:hAnsi="Arial"/>
                <w:sz w:val="14"/>
                <w:szCs w:val="14"/>
                <w:color w:val="auto"/>
              </w:rPr>
              <w:t>Internet and Media</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(12.33% cash (Libor + 10.23%;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2,861</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2,861</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10.23%), 2.00% ETP, Due 4/1/22)</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(12.33% cash (Libor + 10.23%;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2,861</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2,861</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10.23%), 2.00% ETP, Due 4/1/22)</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(12.33% cash (Libor + 10.23%;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2,861</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2,861</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10.23%), 2.00% ETP, Due 4/1/22)</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(12.33% cash (Libor + 10.23%;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2,861</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2,861</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10.23%), 2.00% ETP, Due 4/1/22)</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Jump Ramp Games, Inc. (2)(12)</w:t>
            </w:r>
          </w:p>
        </w:tc>
        <w:tc>
          <w:tcPr>
            <w:tcW w:w="120" w:type="dxa"/>
            <w:vAlign w:val="bottom"/>
          </w:tcPr>
          <w:p>
            <w:pPr>
              <w:spacing w:after="0"/>
              <w:rPr>
                <w:sz w:val="11"/>
                <w:szCs w:val="11"/>
                <w:color w:val="auto"/>
              </w:rPr>
            </w:pPr>
          </w:p>
        </w:tc>
        <w:tc>
          <w:tcPr>
            <w:tcW w:w="1260" w:type="dxa"/>
            <w:vAlign w:val="bottom"/>
          </w:tcPr>
          <w:p>
            <w:pPr>
              <w:spacing w:after="0" w:line="130" w:lineRule="exact"/>
              <w:rPr>
                <w:sz w:val="20"/>
                <w:szCs w:val="20"/>
                <w:color w:val="auto"/>
              </w:rPr>
            </w:pPr>
            <w:r>
              <w:rPr>
                <w:rFonts w:ascii="Arial" w:cs="Arial" w:eastAsia="Arial" w:hAnsi="Arial"/>
                <w:sz w:val="14"/>
                <w:szCs w:val="14"/>
                <w:color w:val="auto"/>
              </w:rPr>
              <w:t>Internet and Media</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(11.83% cash (Libor + 9.73%),</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3,956</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3,851</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3.00% ETP, Due 4/1/21)</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Kixeye, Inc. (2)(12)</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Internet and Media</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(11.70% cash (Libor + 9.60%;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2,750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2,658</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2,658</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10.75%), 2.00% ETP, Due 5/1/21)</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(11.70% cash (Libor + 9.60%;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2,750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2,707</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2,707</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10.75%), 2.00% ETP, Due 5/1/21)</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Rocket Lawyer Incorporated (2)(12)</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Internet and Media</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(11.50% cash (Libor + 9.40%;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3,947</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3,947</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10.50%), 3.00% ETP, Due 7/1/21)</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(11.50% cash (Libor + 9.40%;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3,947</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3,947</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10.50%), 3.00% ETP, Due 7/1/21)</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(11.50% cash (Libor + 9.40%;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1,971</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1,971</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10.50%), 3.00% ETP, Due 11/1/21)</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Verve Wireless, Inc. (2)(12)</w:t>
            </w:r>
          </w:p>
        </w:tc>
        <w:tc>
          <w:tcPr>
            <w:tcW w:w="120" w:type="dxa"/>
            <w:vAlign w:val="bottom"/>
          </w:tcPr>
          <w:p>
            <w:pPr>
              <w:spacing w:after="0"/>
              <w:rPr>
                <w:sz w:val="11"/>
                <w:szCs w:val="11"/>
                <w:color w:val="auto"/>
              </w:rPr>
            </w:pPr>
          </w:p>
        </w:tc>
        <w:tc>
          <w:tcPr>
            <w:tcW w:w="1260" w:type="dxa"/>
            <w:vAlign w:val="bottom"/>
          </w:tcPr>
          <w:p>
            <w:pPr>
              <w:spacing w:after="0" w:line="130" w:lineRule="exact"/>
              <w:rPr>
                <w:sz w:val="20"/>
                <w:szCs w:val="20"/>
                <w:color w:val="auto"/>
              </w:rPr>
            </w:pPr>
            <w:r>
              <w:rPr>
                <w:rFonts w:ascii="Arial" w:cs="Arial" w:eastAsia="Arial" w:hAnsi="Arial"/>
                <w:sz w:val="14"/>
                <w:szCs w:val="14"/>
                <w:color w:val="auto"/>
              </w:rPr>
              <w:t>Internet and Media</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(10.90% cash (Libor + 8.80%;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3,600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3,460</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3,460</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10.80%), 3.33% ETP, Due 9/1/21)</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Zinio Holdings, LLC (2)(12)</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Internet and Media</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(13.35% cash (Libor + 11.25%;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3,400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3,386</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3,386</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11.75%), 6.00% ETP, Due 2/1/20)</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The NanoSteel Company, Inc. (2)(12)</w:t>
            </w:r>
          </w:p>
        </w:tc>
        <w:tc>
          <w:tcPr>
            <w:tcW w:w="120" w:type="dxa"/>
            <w:vAlign w:val="bottom"/>
          </w:tcPr>
          <w:p>
            <w:pPr>
              <w:spacing w:after="0"/>
              <w:rPr>
                <w:sz w:val="11"/>
                <w:szCs w:val="11"/>
                <w:color w:val="auto"/>
              </w:rPr>
            </w:pPr>
          </w:p>
        </w:tc>
        <w:tc>
          <w:tcPr>
            <w:tcW w:w="1260" w:type="dxa"/>
            <w:vAlign w:val="bottom"/>
          </w:tcPr>
          <w:p>
            <w:pPr>
              <w:spacing w:after="0" w:line="130" w:lineRule="exact"/>
              <w:rPr>
                <w:sz w:val="20"/>
                <w:szCs w:val="20"/>
                <w:color w:val="auto"/>
              </w:rPr>
            </w:pPr>
            <w:r>
              <w:rPr>
                <w:rFonts w:ascii="Arial" w:cs="Arial" w:eastAsia="Arial" w:hAnsi="Arial"/>
                <w:sz w:val="14"/>
                <w:szCs w:val="14"/>
                <w:color w:val="auto"/>
              </w:rPr>
              <w:t>Materials</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(11.60% cash (Libor + 9.50%;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3,959</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3,891</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3,891</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10.00%), 7.20% ETP, Due 5/1/20)</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(11.60% cash (Libor + 9.50%;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1,980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1,955</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1,955</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10.00%), 6.45% ETP, Due 5/1/20)</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(11.60% cash (Libor + 9.50%;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2,188</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2,159</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2,159</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10.00%), 5.85% ETP, Due 7/1/20)</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Powerhouse Dynamics, Inc. (2)(12)</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Power Management</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(12.80% cash (Libor + 10.70%; Floor</w:t>
            </w:r>
          </w:p>
        </w:tc>
        <w:tc>
          <w:tcPr>
            <w:tcW w:w="11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700</w:t>
            </w:r>
          </w:p>
        </w:tc>
        <w:tc>
          <w:tcPr>
            <w:tcW w:w="20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682</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682</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11.20%), 3.32% ETP, Due 9/1/19)</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Luxtera, Inc. (12)</w:t>
            </w:r>
          </w:p>
        </w:tc>
        <w:tc>
          <w:tcPr>
            <w:tcW w:w="120" w:type="dxa"/>
            <w:vAlign w:val="bottom"/>
          </w:tcPr>
          <w:p>
            <w:pPr>
              <w:spacing w:after="0"/>
              <w:rPr>
                <w:sz w:val="11"/>
                <w:szCs w:val="11"/>
                <w:color w:val="auto"/>
              </w:rPr>
            </w:pPr>
          </w:p>
        </w:tc>
        <w:tc>
          <w:tcPr>
            <w:tcW w:w="1260" w:type="dxa"/>
            <w:vAlign w:val="bottom"/>
          </w:tcPr>
          <w:p>
            <w:pPr>
              <w:spacing w:after="0" w:line="130" w:lineRule="exact"/>
              <w:rPr>
                <w:sz w:val="20"/>
                <w:szCs w:val="20"/>
                <w:color w:val="auto"/>
              </w:rPr>
            </w:pPr>
            <w:r>
              <w:rPr>
                <w:rFonts w:ascii="Arial" w:cs="Arial" w:eastAsia="Arial" w:hAnsi="Arial"/>
                <w:sz w:val="14"/>
                <w:szCs w:val="14"/>
                <w:color w:val="auto"/>
              </w:rPr>
              <w:t>Semiconductors</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(12.00% cash (Prime + 6.75%),</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2,000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1,934</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1,934</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Due 3/28/20)</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(12.00% cash (Prime + 6.75%),</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1,500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1,462</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1,462</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Due 3/28/20)</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Bridge2 Solutions, LLC. (2)(12)</w:t>
            </w:r>
          </w:p>
        </w:tc>
        <w:tc>
          <w:tcPr>
            <w:tcW w:w="120" w:type="dxa"/>
            <w:vAlign w:val="bottom"/>
          </w:tcPr>
          <w:p>
            <w:pPr>
              <w:spacing w:after="0"/>
              <w:rPr>
                <w:sz w:val="11"/>
                <w:szCs w:val="11"/>
                <w:color w:val="auto"/>
              </w:rPr>
            </w:pPr>
          </w:p>
        </w:tc>
        <w:tc>
          <w:tcPr>
            <w:tcW w:w="1260" w:type="dxa"/>
            <w:vAlign w:val="bottom"/>
          </w:tcPr>
          <w:p>
            <w:pPr>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(11.35% cash (Libor + 9.25%;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5,000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4,821</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4,821</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10.50%), 2.00% ETP, Due 11/1/21)</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(11.35% cash (Libor + 9.25%;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5,000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4,821</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4,821</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10.50%), 2.00% ETP, Due 11/1/21)</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Education Elements, Inc. (2)(12)</w:t>
            </w:r>
          </w:p>
        </w:tc>
        <w:tc>
          <w:tcPr>
            <w:tcW w:w="120" w:type="dxa"/>
            <w:vAlign w:val="bottom"/>
          </w:tcPr>
          <w:p>
            <w:pPr>
              <w:spacing w:after="0"/>
              <w:rPr>
                <w:sz w:val="11"/>
                <w:szCs w:val="11"/>
                <w:color w:val="auto"/>
              </w:rPr>
            </w:pPr>
          </w:p>
        </w:tc>
        <w:tc>
          <w:tcPr>
            <w:tcW w:w="1260" w:type="dxa"/>
            <w:vAlign w:val="bottom"/>
          </w:tcPr>
          <w:p>
            <w:pPr>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(12.10% cash (Libor + 10.00%; Floor</w:t>
            </w:r>
          </w:p>
        </w:tc>
        <w:tc>
          <w:tcPr>
            <w:tcW w:w="1160" w:type="dxa"/>
            <w:vAlign w:val="bottom"/>
          </w:tcPr>
          <w:p>
            <w:pPr>
              <w:jc w:val="right"/>
              <w:spacing w:after="0" w:line="130" w:lineRule="exact"/>
              <w:rPr>
                <w:sz w:val="20"/>
                <w:szCs w:val="20"/>
                <w:color w:val="auto"/>
              </w:rPr>
            </w:pPr>
            <w:r>
              <w:rPr>
                <w:rFonts w:ascii="Arial" w:cs="Arial" w:eastAsia="Arial" w:hAnsi="Arial"/>
                <w:sz w:val="14"/>
                <w:szCs w:val="14"/>
                <w:color w:val="auto"/>
              </w:rPr>
              <w:t>200</w:t>
            </w:r>
          </w:p>
        </w:tc>
        <w:tc>
          <w:tcPr>
            <w:tcW w:w="200" w:type="dxa"/>
            <w:vAlign w:val="bottom"/>
          </w:tcPr>
          <w:p>
            <w:pPr>
              <w:spacing w:after="0"/>
              <w:rPr>
                <w:sz w:val="11"/>
                <w:szCs w:val="11"/>
                <w:color w:val="auto"/>
              </w:rPr>
            </w:pP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197</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197</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10.50%), 4.00% ETP, Due 1/1/19)</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(12.10% cash (Libor + 10.00%; Floor</w:t>
            </w:r>
          </w:p>
        </w:tc>
        <w:tc>
          <w:tcPr>
            <w:tcW w:w="11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500</w:t>
            </w:r>
          </w:p>
        </w:tc>
        <w:tc>
          <w:tcPr>
            <w:tcW w:w="20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493</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493</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10.50%), 4.00% ETP, Due 8/1/19)</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New Signature US, Inc. (2)(12)(13)</w:t>
            </w:r>
          </w:p>
        </w:tc>
        <w:tc>
          <w:tcPr>
            <w:tcW w:w="120" w:type="dxa"/>
            <w:vAlign w:val="bottom"/>
          </w:tcPr>
          <w:p>
            <w:pPr>
              <w:spacing w:after="0"/>
              <w:rPr>
                <w:sz w:val="11"/>
                <w:szCs w:val="11"/>
                <w:color w:val="auto"/>
              </w:rPr>
            </w:pPr>
          </w:p>
        </w:tc>
        <w:tc>
          <w:tcPr>
            <w:tcW w:w="1260" w:type="dxa"/>
            <w:vAlign w:val="bottom"/>
          </w:tcPr>
          <w:p>
            <w:pPr>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(10.60% cash (Libor + 8.50%;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2,750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2,697</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2,697</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10.50%), 3.50% ETP, Due 7/1/22)</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ShopKeep.com, Inc. (2)(12)</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(12.05% cash (Libor + 9.95%;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4,900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4,825</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4,825</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10.45%), 4.08% ETP, Due 10/1/20)</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(12.05% cash (Libor + 9.95%;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3,600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3,542</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3,542</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10.45%), 3.55% ETP, Due 2/1/21)</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SIGNiX, Inc. (12)</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(13.10% cash (Libor + 11.00%;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1,995</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1,927</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1,605</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11.50%), 6.17% ETP, Due 2/1/20)</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xAd, Inc. (2)(12)</w:t>
            </w:r>
          </w:p>
        </w:tc>
        <w:tc>
          <w:tcPr>
            <w:tcW w:w="120" w:type="dxa"/>
            <w:vAlign w:val="bottom"/>
          </w:tcPr>
          <w:p>
            <w:pPr>
              <w:spacing w:after="0"/>
              <w:rPr>
                <w:sz w:val="11"/>
                <w:szCs w:val="11"/>
                <w:color w:val="auto"/>
              </w:rPr>
            </w:pPr>
          </w:p>
        </w:tc>
        <w:tc>
          <w:tcPr>
            <w:tcW w:w="1260" w:type="dxa"/>
            <w:vAlign w:val="bottom"/>
          </w:tcPr>
          <w:p>
            <w:pPr>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(10.80% cash (Libor + 8.70%;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5,000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4,916</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4,916</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10.00%), 4.75% ETP, Due 11/1/21)</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(10.80% cash (Libor + 8.70%;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5,000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4,916</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4,916</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10.00%), 4.75% ETP, Due 11/1/21)</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(10.80% cash (Libor + 8.70%;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2,950</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2,950</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10.00%), 4.75% ETP, Due 11/1/21)</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(10.80% cash (Libor + 8.70%; Floor</w:t>
            </w:r>
          </w:p>
        </w:tc>
        <w:tc>
          <w:tcPr>
            <w:tcW w:w="1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2,000</w:t>
            </w: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1,966</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1,966</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Cost of</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(1)(3)</w:t>
            </w:r>
          </w:p>
        </w:tc>
        <w:tc>
          <w:tcPr>
            <w:tcW w:w="100" w:type="dxa"/>
            <w:vAlign w:val="bottom"/>
          </w:tcPr>
          <w:p>
            <w:pPr>
              <w:spacing w:after="0"/>
              <w:rPr>
                <w:sz w:val="14"/>
                <w:szCs w:val="14"/>
                <w:color w:val="auto"/>
              </w:rPr>
            </w:pPr>
          </w:p>
        </w:tc>
        <w:tc>
          <w:tcPr>
            <w:tcW w:w="1960" w:type="dxa"/>
            <w:vAlign w:val="bottom"/>
            <w:gridSpan w:val="2"/>
          </w:tcPr>
          <w:p>
            <w:pPr>
              <w:ind w:left="720"/>
              <w:spacing w:after="0"/>
              <w:rPr>
                <w:sz w:val="20"/>
                <w:szCs w:val="20"/>
                <w:color w:val="auto"/>
              </w:rPr>
            </w:pPr>
            <w:r>
              <w:rPr>
                <w:rFonts w:ascii="Arial" w:cs="Arial" w:eastAsia="Arial" w:hAnsi="Arial"/>
                <w:sz w:val="14"/>
                <w:szCs w:val="14"/>
                <w:b w:val="1"/>
                <w:bCs w:val="1"/>
                <w:color w:val="auto"/>
              </w:rPr>
              <w:t>Sector</w:t>
            </w:r>
          </w:p>
        </w:tc>
        <w:tc>
          <w:tcPr>
            <w:tcW w:w="3120" w:type="dxa"/>
            <w:vAlign w:val="bottom"/>
            <w:gridSpan w:val="2"/>
          </w:tcPr>
          <w:p>
            <w:pPr>
              <w:ind w:left="520"/>
              <w:spacing w:after="0"/>
              <w:rPr>
                <w:sz w:val="20"/>
                <w:szCs w:val="20"/>
                <w:color w:val="auto"/>
              </w:rPr>
            </w:pPr>
            <w:r>
              <w:rPr>
                <w:rFonts w:ascii="Arial" w:cs="Arial" w:eastAsia="Arial" w:hAnsi="Arial"/>
                <w:sz w:val="14"/>
                <w:szCs w:val="14"/>
                <w:b w:val="1"/>
                <w:bCs w:val="1"/>
                <w:color w:val="auto"/>
              </w:rPr>
              <w:t>Type of Investment (4)(7)(9)(10)</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Investments (6)</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10.00%), 4.75% ETP, Due 11/1/21)</w:t>
            </w:r>
          </w:p>
        </w:tc>
        <w:tc>
          <w:tcPr>
            <w:tcW w:w="1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Borders>
              <w:bottom w:val="single" w:sz="8" w:color="CCEEFF"/>
            </w:tcBorders>
            <w:gridSpan w:val="4"/>
          </w:tcPr>
          <w:p>
            <w:pPr>
              <w:spacing w:after="0" w:line="142" w:lineRule="exact"/>
              <w:rPr>
                <w:sz w:val="20"/>
                <w:szCs w:val="20"/>
                <w:color w:val="auto"/>
              </w:rPr>
            </w:pPr>
            <w:r>
              <w:rPr>
                <w:rFonts w:ascii="Arial" w:cs="Arial" w:eastAsia="Arial" w:hAnsi="Arial"/>
                <w:sz w:val="14"/>
                <w:szCs w:val="14"/>
                <w:color w:val="auto"/>
              </w:rPr>
              <w:t>Total Non-Affiliate Debt Investments — Technology</w:t>
            </w:r>
          </w:p>
        </w:tc>
        <w:tc>
          <w:tcPr>
            <w:tcW w:w="30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114,234</w:t>
            </w:r>
          </w:p>
        </w:tc>
        <w:tc>
          <w:tcPr>
            <w:tcW w:w="2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113,807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gridSpan w:val="6"/>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Debt Investments — Healthcare information and services — 17.4% (8)</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line="130" w:lineRule="exact"/>
              <w:rPr>
                <w:sz w:val="20"/>
                <w:szCs w:val="20"/>
                <w:color w:val="auto"/>
              </w:rPr>
            </w:pPr>
            <w:r>
              <w:rPr>
                <w:rFonts w:ascii="Arial" w:cs="Arial" w:eastAsia="Arial" w:hAnsi="Arial"/>
                <w:sz w:val="14"/>
                <w:szCs w:val="14"/>
                <w:color w:val="auto"/>
              </w:rPr>
              <w:t>Catasys, Inc. (2)(5)(12)</w:t>
            </w:r>
          </w:p>
        </w:tc>
        <w:tc>
          <w:tcPr>
            <w:tcW w:w="20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2"/>
          </w:tcPr>
          <w:p>
            <w:pPr>
              <w:spacing w:after="0" w:line="130" w:lineRule="exact"/>
              <w:rPr>
                <w:sz w:val="20"/>
                <w:szCs w:val="20"/>
                <w:color w:val="auto"/>
              </w:rPr>
            </w:pPr>
            <w:r>
              <w:rPr>
                <w:rFonts w:ascii="Arial" w:cs="Arial" w:eastAsia="Arial" w:hAnsi="Arial"/>
                <w:sz w:val="14"/>
                <w:szCs w:val="14"/>
                <w:color w:val="auto"/>
              </w:rPr>
              <w:t>Term Loan (9.85% cash (Libor + 7.75%;</w:t>
            </w:r>
          </w:p>
        </w:tc>
        <w:tc>
          <w:tcPr>
            <w:tcW w:w="12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2,500</w:t>
            </w:r>
          </w:p>
        </w:tc>
        <w:tc>
          <w:tcPr>
            <w:tcW w:w="13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2,477</w:t>
            </w:r>
          </w:p>
        </w:tc>
        <w:tc>
          <w:tcPr>
            <w:tcW w:w="11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2,477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Arial" w:cs="Arial" w:eastAsia="Arial" w:hAnsi="Arial"/>
                <w:sz w:val="14"/>
                <w:szCs w:val="14"/>
                <w:color w:val="auto"/>
              </w:rPr>
              <w:t>Floor 9.75%), 6.00% ETP, Due 3/1/22)</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(9.85% cash (Libor + 7.75%;</w:t>
            </w:r>
          </w:p>
        </w:tc>
        <w:tc>
          <w:tcPr>
            <w:tcW w:w="12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2,500</w:t>
            </w:r>
          </w:p>
        </w:tc>
        <w:tc>
          <w:tcPr>
            <w:tcW w:w="13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2,477</w:t>
            </w:r>
          </w:p>
        </w:tc>
        <w:tc>
          <w:tcPr>
            <w:tcW w:w="11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2,477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Floor 9.75%), 6.00% ETP, Due 3/1/22)</w:t>
            </w: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20" w:type="dxa"/>
            <w:vAlign w:val="bottom"/>
            <w:gridSpan w:val="2"/>
          </w:tcPr>
          <w:p>
            <w:pPr>
              <w:spacing w:after="0" w:line="130" w:lineRule="exact"/>
              <w:rPr>
                <w:sz w:val="20"/>
                <w:szCs w:val="20"/>
                <w:color w:val="auto"/>
              </w:rPr>
            </w:pPr>
            <w:r>
              <w:rPr>
                <w:rFonts w:ascii="Arial" w:cs="Arial" w:eastAsia="Arial" w:hAnsi="Arial"/>
                <w:sz w:val="14"/>
                <w:szCs w:val="14"/>
                <w:color w:val="auto"/>
              </w:rPr>
              <w:t>Term Loan (9.85% cash (Libor + 7.75%;</w:t>
            </w:r>
          </w:p>
        </w:tc>
        <w:tc>
          <w:tcPr>
            <w:tcW w:w="12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2,500</w:t>
            </w:r>
          </w:p>
        </w:tc>
        <w:tc>
          <w:tcPr>
            <w:tcW w:w="13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2,476</w:t>
            </w:r>
          </w:p>
        </w:tc>
        <w:tc>
          <w:tcPr>
            <w:tcW w:w="11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2,476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Arial" w:cs="Arial" w:eastAsia="Arial" w:hAnsi="Arial"/>
                <w:sz w:val="14"/>
                <w:szCs w:val="14"/>
                <w:color w:val="auto"/>
              </w:rPr>
              <w:t>Floor 9.75%), 6.00% ETP, Due 3/1/22)</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HealthEdge Software, Inc. (2)(12)</w:t>
            </w:r>
          </w:p>
        </w:tc>
        <w:tc>
          <w:tcPr>
            <w:tcW w:w="20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(10.35% cash (Libor + 8.25%;</w:t>
            </w:r>
          </w:p>
        </w:tc>
        <w:tc>
          <w:tcPr>
            <w:tcW w:w="12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5,000</w:t>
            </w:r>
          </w:p>
        </w:tc>
        <w:tc>
          <w:tcPr>
            <w:tcW w:w="13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4,905</w:t>
            </w:r>
          </w:p>
        </w:tc>
        <w:tc>
          <w:tcPr>
            <w:tcW w:w="11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4,905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Floor 9.25%), 3.00% ETP, Due 7/1/22)</w:t>
            </w: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20" w:type="dxa"/>
            <w:vAlign w:val="bottom"/>
            <w:gridSpan w:val="2"/>
          </w:tcPr>
          <w:p>
            <w:pPr>
              <w:spacing w:after="0" w:line="130" w:lineRule="exact"/>
              <w:rPr>
                <w:sz w:val="20"/>
                <w:szCs w:val="20"/>
                <w:color w:val="auto"/>
              </w:rPr>
            </w:pPr>
            <w:r>
              <w:rPr>
                <w:rFonts w:ascii="Arial" w:cs="Arial" w:eastAsia="Arial" w:hAnsi="Arial"/>
                <w:sz w:val="14"/>
                <w:szCs w:val="14"/>
                <w:color w:val="auto"/>
              </w:rPr>
              <w:t>Term Loan (10.35% cash (Libor + 8.25%;</w:t>
            </w:r>
          </w:p>
        </w:tc>
        <w:tc>
          <w:tcPr>
            <w:tcW w:w="12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3,750</w:t>
            </w:r>
          </w:p>
        </w:tc>
        <w:tc>
          <w:tcPr>
            <w:tcW w:w="13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3,701</w:t>
            </w:r>
          </w:p>
        </w:tc>
        <w:tc>
          <w:tcPr>
            <w:tcW w:w="118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3,701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Arial" w:cs="Arial" w:eastAsia="Arial" w:hAnsi="Arial"/>
                <w:sz w:val="14"/>
                <w:szCs w:val="14"/>
                <w:color w:val="auto"/>
              </w:rPr>
              <w:t>Floor 9.25%), 3.00% ETP, Due 1/1/23)</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(10.35% cash (Libor + 8.25%;</w:t>
            </w:r>
          </w:p>
        </w:tc>
        <w:tc>
          <w:tcPr>
            <w:tcW w:w="12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3,750</w:t>
            </w:r>
          </w:p>
        </w:tc>
        <w:tc>
          <w:tcPr>
            <w:tcW w:w="13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3,698</w:t>
            </w:r>
          </w:p>
        </w:tc>
        <w:tc>
          <w:tcPr>
            <w:tcW w:w="11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3,698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Floor 9.25%), 3.00% ETP, Due 4/1/23)</w:t>
            </w: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gridSpan w:val="2"/>
          </w:tcPr>
          <w:p>
            <w:pPr>
              <w:spacing w:after="0" w:line="143" w:lineRule="exact"/>
              <w:rPr>
                <w:sz w:val="20"/>
                <w:szCs w:val="20"/>
                <w:color w:val="auto"/>
              </w:rPr>
            </w:pPr>
            <w:r>
              <w:rPr>
                <w:rFonts w:ascii="Arial" w:cs="Arial" w:eastAsia="Arial" w:hAnsi="Arial"/>
                <w:sz w:val="14"/>
                <w:szCs w:val="14"/>
                <w:color w:val="auto"/>
              </w:rPr>
              <w:t>Term Loan (10.46% cash (Libor + 8.25%;</w:t>
            </w:r>
          </w:p>
        </w:tc>
        <w:tc>
          <w:tcPr>
            <w:tcW w:w="12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3,750</w:t>
            </w:r>
          </w:p>
        </w:tc>
        <w:tc>
          <w:tcPr>
            <w:tcW w:w="13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3,696</w:t>
            </w:r>
          </w:p>
        </w:tc>
        <w:tc>
          <w:tcPr>
            <w:tcW w:w="118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3,696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1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Floor 9.25%), 3.00% ETP, Due 10/1/23)</w:t>
            </w:r>
          </w:p>
        </w:tc>
        <w:tc>
          <w:tcPr>
            <w:tcW w:w="10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gridSpan w:val="4"/>
            <w:shd w:val="clear" w:color="auto" w:fill="CCEEFF"/>
          </w:tcPr>
          <w:p>
            <w:pPr>
              <w:spacing w:after="0" w:line="142" w:lineRule="exact"/>
              <w:rPr>
                <w:sz w:val="20"/>
                <w:szCs w:val="20"/>
                <w:color w:val="auto"/>
              </w:rPr>
            </w:pPr>
            <w:r>
              <w:rPr>
                <w:rFonts w:ascii="Arial" w:cs="Arial" w:eastAsia="Arial" w:hAnsi="Arial"/>
                <w:sz w:val="14"/>
                <w:szCs w:val="14"/>
                <w:color w:val="auto"/>
                <w:w w:val="95"/>
              </w:rPr>
              <w:t>Total Non-Affiliate Debt Investments — Healthcare information and services</w:t>
            </w:r>
          </w:p>
        </w:tc>
        <w:tc>
          <w:tcPr>
            <w:tcW w:w="3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23,430</w:t>
            </w:r>
          </w:p>
        </w:tc>
        <w:tc>
          <w:tcPr>
            <w:tcW w:w="22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Pr>
          <w:p>
            <w:pPr>
              <w:spacing w:after="0" w:line="142" w:lineRule="exact"/>
              <w:rPr>
                <w:sz w:val="20"/>
                <w:szCs w:val="20"/>
                <w:color w:val="auto"/>
              </w:rPr>
            </w:pPr>
            <w:r>
              <w:rPr>
                <w:rFonts w:ascii="Arial" w:cs="Arial" w:eastAsia="Arial" w:hAnsi="Arial"/>
                <w:sz w:val="14"/>
                <w:szCs w:val="14"/>
                <w:b w:val="1"/>
                <w:bCs w:val="1"/>
                <w:color w:val="auto"/>
                <w:w w:val="97"/>
              </w:rPr>
              <w:t>Total Non- Affiliate Debt Investments</w:t>
            </w: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208,906</w:t>
            </w:r>
          </w:p>
        </w:tc>
        <w:tc>
          <w:tcPr>
            <w:tcW w:w="22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208,479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Warrant Investments — 7.7% (8)</w:t>
            </w:r>
          </w:p>
        </w:tc>
        <w:tc>
          <w:tcPr>
            <w:tcW w:w="3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Non-Affiliate Warrants — Life Science — 1.7% (8)</w:t>
            </w: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 Biotech Corporation</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130,872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Alpine Immune Sciences, Inc. (5)(12)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4,634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122</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Argos Therapeutics, Inc. (2)(5)(12)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3,656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Celsion Corporation (2)(5)(12)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190,522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145</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Espero BioPharma, Inc. (2)(5)(12)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833,792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line="130" w:lineRule="exact"/>
              <w:rPr>
                <w:sz w:val="20"/>
                <w:szCs w:val="20"/>
                <w:color w:val="auto"/>
              </w:rPr>
            </w:pPr>
            <w:r>
              <w:rPr>
                <w:rFonts w:ascii="Arial" w:cs="Arial" w:eastAsia="Arial" w:hAnsi="Arial"/>
                <w:sz w:val="14"/>
                <w:szCs w:val="14"/>
                <w:color w:val="auto"/>
                <w:w w:val="96"/>
              </w:rPr>
              <w:t>Rocket Pharmaceuticals Corporation (5)</w:t>
            </w:r>
          </w:p>
        </w:tc>
        <w:tc>
          <w:tcPr>
            <w:tcW w:w="20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Biotechnology</w:t>
            </w:r>
          </w:p>
        </w:tc>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40" w:type="dxa"/>
            <w:vAlign w:val="bottom"/>
            <w:gridSpan w:val="2"/>
          </w:tcPr>
          <w:p>
            <w:pPr>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Arial" w:cs="Arial" w:eastAsia="Arial" w:hAnsi="Arial"/>
                <w:sz w:val="14"/>
                <w:szCs w:val="14"/>
                <w:color w:val="auto"/>
              </w:rPr>
              <w:t>1,763 Common Stock Warrants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Palatin Technologies, Inc. (2)(5)(12)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608,058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Revance Therapeutics, Inc. (5)(12)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34,113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Sample6, Inc. (2)(12)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661,956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Strongbridge U.S. Inc. (2)(5)(12)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160,714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72</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Sunesis Pharmaceuticals, Inc. (5)(12)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2,050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vTv Therapeutics Inc. (2)(5)(12)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95,293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Titan Pharmaceuticals, Inc. (2)(5)(12)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Drug Delivery</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320,612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AccuVein Inc. (2)(12)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1,174,881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Aerin Medical, Inc. (2)(12)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1,818,182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Conventus Orthopaedics, Inc. (2)(12)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720,000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CSA Medical, Inc. (12)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1,569,577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Lantos Technologies, Inc. (2)(12)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1,715,926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253</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MacuLogix, Inc. (2)(12)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158,451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Mitralign, Inc. (2)(12)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64,190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NinePoint Medical, Inc. (2)(12)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29,102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ReShape Lifesciences Inc. (5)(12)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134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347</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Tryton Medical, Inc. (2)(12)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122,362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VERO Biotech LLC (2)(12)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800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ViOptix, Inc. (12)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375,763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4"/>
          </w:tcPr>
          <w:p>
            <w:pPr>
              <w:spacing w:after="0" w:line="149" w:lineRule="exact"/>
              <w:rPr>
                <w:sz w:val="20"/>
                <w:szCs w:val="20"/>
                <w:color w:val="auto"/>
              </w:rPr>
            </w:pPr>
            <w:r>
              <w:rPr>
                <w:rFonts w:ascii="Arial" w:cs="Arial" w:eastAsia="Arial" w:hAnsi="Arial"/>
                <w:sz w:val="14"/>
                <w:szCs w:val="14"/>
                <w:color w:val="auto"/>
              </w:rPr>
              <w:t>Total Non-Affiliate Warrants — Life Science</w:t>
            </w: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2,097</w:t>
            </w: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Warrants — Technology — 5.4% (8)</w:t>
            </w:r>
          </w:p>
        </w:tc>
        <w:tc>
          <w:tcPr>
            <w:tcW w:w="3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Audacy Corporation (2)(12)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Communications</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1,017,173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194</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Ekahau, Inc. (2)(12)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Communications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978,261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Intelepeer Holdings, Inc. (2)(12)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Communications</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2,451,549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160</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PebblePost, Inc. (2)(12)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Communications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598,850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Additech, Inc. (2)(12)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7"/>
              </w:rPr>
              <w:t>Consumer-related Technologies</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150,000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Gwynnie Bee, Inc. (2)(12)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Consumer-related Technologies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268,591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Le Tote, Inc. (2)(12)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7"/>
              </w:rPr>
              <w:t>Consumer-related Technologies</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202,974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Rhapsody International Inc. (2)(12)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Consumer-related Technologies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852,273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IgnitionOne, Inc. (2)(12)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Internet and Media</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262,910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672</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Jump Ramp Games, Inc. (2)(12)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Internet and Media</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159,766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Kixeye, Inc. (2)(12)</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Internet and Media</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791,251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Rocket Lawyer Incorporated (2)(12)</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Internet and Media</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261,721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20" w:type="dxa"/>
            <w:vAlign w:val="bottom"/>
          </w:tcPr>
          <w:p>
            <w:pPr>
              <w:spacing w:after="0"/>
              <w:rPr>
                <w:sz w:val="20"/>
                <w:szCs w:val="20"/>
                <w:color w:val="auto"/>
              </w:rPr>
            </w:pPr>
            <w:r>
              <w:rPr>
                <w:rFonts w:ascii="Arial" w:cs="Arial" w:eastAsia="Arial" w:hAnsi="Arial"/>
                <w:sz w:val="14"/>
                <w:szCs w:val="14"/>
                <w:color w:val="auto"/>
              </w:rPr>
              <w:t>Verve Wireless, Inc. (2)(12)</w:t>
            </w:r>
          </w:p>
        </w:tc>
        <w:tc>
          <w:tcPr>
            <w:tcW w:w="2060" w:type="dxa"/>
            <w:vAlign w:val="bottom"/>
            <w:gridSpan w:val="3"/>
          </w:tcPr>
          <w:p>
            <w:pPr>
              <w:ind w:left="100"/>
              <w:spacing w:after="0"/>
              <w:rPr>
                <w:sz w:val="20"/>
                <w:szCs w:val="20"/>
                <w:color w:val="auto"/>
              </w:rPr>
            </w:pPr>
            <w:r>
              <w:rPr>
                <w:rFonts w:ascii="Arial" w:cs="Arial" w:eastAsia="Arial" w:hAnsi="Arial"/>
                <w:sz w:val="14"/>
                <w:szCs w:val="14"/>
                <w:color w:val="auto"/>
              </w:rPr>
              <w:t>Internet and Media</w:t>
            </w:r>
          </w:p>
        </w:tc>
        <w:tc>
          <w:tcPr>
            <w:tcW w:w="3120" w:type="dxa"/>
            <w:vAlign w:val="bottom"/>
            <w:gridSpan w:val="2"/>
          </w:tcPr>
          <w:p>
            <w:pPr>
              <w:spacing w:after="0"/>
              <w:rPr>
                <w:sz w:val="20"/>
                <w:szCs w:val="20"/>
                <w:color w:val="auto"/>
              </w:rPr>
            </w:pPr>
            <w:r>
              <w:rPr>
                <w:rFonts w:ascii="Arial" w:cs="Arial" w:eastAsia="Arial" w:hAnsi="Arial"/>
                <w:sz w:val="14"/>
                <w:szCs w:val="14"/>
                <w:color w:val="auto"/>
              </w:rPr>
              <w:t>112,805 Common Stock Warrants</w:t>
            </w: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120</w:t>
            </w:r>
          </w:p>
        </w:tc>
        <w:tc>
          <w:tcPr>
            <w:tcW w:w="22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Principal</w:t>
            </w: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Cost of</w:t>
            </w: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56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 (1)(3)</w:t>
            </w:r>
          </w:p>
        </w:tc>
        <w:tc>
          <w:tcPr>
            <w:tcW w:w="1840" w:type="dxa"/>
            <w:vAlign w:val="bottom"/>
          </w:tcPr>
          <w:p>
            <w:pPr>
              <w:ind w:left="720"/>
              <w:spacing w:after="0"/>
              <w:rPr>
                <w:sz w:val="20"/>
                <w:szCs w:val="20"/>
                <w:color w:val="auto"/>
              </w:rPr>
            </w:pPr>
            <w:r>
              <w:rPr>
                <w:rFonts w:ascii="Arial" w:cs="Arial" w:eastAsia="Arial" w:hAnsi="Arial"/>
                <w:sz w:val="14"/>
                <w:szCs w:val="14"/>
                <w:b w:val="1"/>
                <w:bCs w:val="1"/>
                <w:color w:val="auto"/>
              </w:rPr>
              <w:t>Sector</w:t>
            </w:r>
          </w:p>
        </w:tc>
        <w:tc>
          <w:tcPr>
            <w:tcW w:w="100" w:type="dxa"/>
            <w:vAlign w:val="bottom"/>
          </w:tcPr>
          <w:p>
            <w:pPr>
              <w:spacing w:after="0"/>
              <w:rPr>
                <w:sz w:val="14"/>
                <w:szCs w:val="14"/>
                <w:color w:val="auto"/>
              </w:rPr>
            </w:pPr>
          </w:p>
        </w:tc>
        <w:tc>
          <w:tcPr>
            <w:tcW w:w="3120" w:type="dxa"/>
            <w:vAlign w:val="bottom"/>
            <w:gridSpan w:val="2"/>
          </w:tcPr>
          <w:p>
            <w:pPr>
              <w:ind w:left="540"/>
              <w:spacing w:after="0"/>
              <w:rPr>
                <w:sz w:val="20"/>
                <w:szCs w:val="20"/>
                <w:color w:val="auto"/>
              </w:rPr>
            </w:pPr>
            <w:r>
              <w:rPr>
                <w:rFonts w:ascii="Arial" w:cs="Arial" w:eastAsia="Arial" w:hAnsi="Arial"/>
                <w:sz w:val="14"/>
                <w:szCs w:val="14"/>
                <w:b w:val="1"/>
                <w:bCs w:val="1"/>
                <w:color w:val="auto"/>
              </w:rPr>
              <w:t>Type of Investment (4)(7)(9)(10)</w:t>
            </w: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c>
          <w:tcPr>
            <w:tcW w:w="13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Investments (6)</w:t>
            </w: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NanoSteel Company, Inc. (2)(12)</w:t>
            </w: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Materials</w:t>
            </w:r>
          </w:p>
        </w:tc>
        <w:tc>
          <w:tcPr>
            <w:tcW w:w="32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379,360 Preferred Stock Warrants</w:t>
            </w: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187</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528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Powerhouse Dynamics, Inc. (2)(12)</w:t>
            </w: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Power Management</w:t>
            </w:r>
          </w:p>
        </w:tc>
        <w:tc>
          <w:tcPr>
            <w:tcW w:w="32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348,838 Preferred Stock Warrants</w:t>
            </w: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Avalanche Technology, Inc. (2)(12)</w:t>
            </w: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Semiconductors</w:t>
            </w:r>
          </w:p>
        </w:tc>
        <w:tc>
          <w:tcPr>
            <w:tcW w:w="32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202,602 Preferred Stock Warrants</w:t>
            </w: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101</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Kaminario, Inc. (12)</w:t>
            </w: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Semiconductors</w:t>
            </w:r>
          </w:p>
        </w:tc>
        <w:tc>
          <w:tcPr>
            <w:tcW w:w="32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4,800,000 Preferred Stock Warrants</w:t>
            </w: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Luxtera, Inc.(2)(12)</w:t>
            </w: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Semiconductors</w:t>
            </w:r>
          </w:p>
        </w:tc>
        <w:tc>
          <w:tcPr>
            <w:tcW w:w="32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3,546,553 Preferred Stock Warrants</w:t>
            </w: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213</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Soraa, Inc. (2)(12)</w:t>
            </w: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Semiconductors</w:t>
            </w:r>
          </w:p>
        </w:tc>
        <w:tc>
          <w:tcPr>
            <w:tcW w:w="32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203,616 Preferred Stock Warrants</w:t>
            </w: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80</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Bolt Solutions Inc. (2)(12)</w:t>
            </w: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2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202,892 Preferred Stock Warrants</w:t>
            </w: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113</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Bridge2 Solutions, Inc. (2)(12)</w:t>
            </w: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32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125,458 Common Stock Warrants</w:t>
            </w: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432</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BSI Platform Holdings, LLC (2)(12)(13)</w:t>
            </w: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2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137,500 Preferred Stock Warrants</w:t>
            </w: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Clarabridge, Inc. (12)</w:t>
            </w: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32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53,486 Preferred Stock Warrants</w:t>
            </w: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Education Elements, Inc. (2)(12)</w:t>
            </w: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2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238,121 Preferred Stock Warrants</w:t>
            </w: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Lotame Solutions, Inc. (2)(12)</w:t>
            </w: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32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288,115 Preferred Stock Warrants</w:t>
            </w: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Metricly, Inc. (12)</w:t>
            </w: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2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41,569 Common Stock Warrants</w:t>
            </w: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w:t>
            </w:r>
          </w:p>
        </w:tc>
        <w:tc>
          <w:tcPr>
            <w:tcW w:w="11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Riv Data Corp. (2)(12)</w:t>
            </w: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32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321,428 Preferred Stock Warrants</w:t>
            </w: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ShopKeep.com, Inc. (2)(12)</w:t>
            </w: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2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193,962 Preferred Stock Warrants</w:t>
            </w: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118</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SIGNiX, Inc. (12)</w:t>
            </w: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32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133,560 Preferred Stock Warrants</w:t>
            </w: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225</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Skyword, Inc. (12)</w:t>
            </w: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2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301,056 Preferred Stock Warrants</w:t>
            </w: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w:t>
            </w: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Sys-Tech Solutions, Inc. (2)(12)</w:t>
            </w:r>
          </w:p>
        </w:tc>
        <w:tc>
          <w:tcPr>
            <w:tcW w:w="1840" w:type="dxa"/>
            <w:vAlign w:val="bottom"/>
          </w:tcPr>
          <w:p>
            <w:pPr>
              <w:spacing w:after="0" w:line="149" w:lineRule="exact"/>
              <w:rPr>
                <w:sz w:val="20"/>
                <w:szCs w:val="20"/>
                <w:color w:val="auto"/>
              </w:rPr>
            </w:pPr>
            <w:r>
              <w:rPr>
                <w:rFonts w:ascii="Arial" w:cs="Arial" w:eastAsia="Arial" w:hAnsi="Arial"/>
                <w:sz w:val="14"/>
                <w:szCs w:val="14"/>
                <w:color w:val="auto"/>
              </w:rPr>
              <w:t>Software</w:t>
            </w:r>
          </w:p>
        </w:tc>
        <w:tc>
          <w:tcPr>
            <w:tcW w:w="32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375,000 Preferred Stock Warrants</w:t>
            </w: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242</w:t>
            </w: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Weblinc Corporation (2)(12)</w:t>
            </w: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2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195,122 Preferred Stock Warrants</w:t>
            </w: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w:t>
            </w:r>
          </w:p>
        </w:tc>
        <w:tc>
          <w:tcPr>
            <w:tcW w:w="11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40" w:type="dxa"/>
            <w:vAlign w:val="bottom"/>
            <w:gridSpan w:val="2"/>
          </w:tcPr>
          <w:p>
            <w:pPr>
              <w:spacing w:after="0"/>
              <w:rPr>
                <w:sz w:val="20"/>
                <w:szCs w:val="20"/>
                <w:color w:val="auto"/>
              </w:rPr>
            </w:pPr>
            <w:r>
              <w:rPr>
                <w:rFonts w:ascii="Arial" w:cs="Arial" w:eastAsia="Arial" w:hAnsi="Arial"/>
                <w:sz w:val="14"/>
                <w:szCs w:val="14"/>
                <w:color w:val="auto"/>
              </w:rPr>
              <w:t>xAd, Inc. (2)(12)</w:t>
            </w:r>
          </w:p>
        </w:tc>
        <w:tc>
          <w:tcPr>
            <w:tcW w:w="1840" w:type="dxa"/>
            <w:vAlign w:val="bottom"/>
          </w:tcPr>
          <w:p>
            <w:pPr>
              <w:spacing w:after="0"/>
              <w:rPr>
                <w:sz w:val="20"/>
                <w:szCs w:val="20"/>
                <w:color w:val="auto"/>
              </w:rPr>
            </w:pPr>
            <w:r>
              <w:rPr>
                <w:rFonts w:ascii="Arial" w:cs="Arial" w:eastAsia="Arial" w:hAnsi="Arial"/>
                <w:sz w:val="14"/>
                <w:szCs w:val="14"/>
                <w:color w:val="auto"/>
              </w:rPr>
              <w:t>Software</w:t>
            </w:r>
          </w:p>
        </w:tc>
        <w:tc>
          <w:tcPr>
            <w:tcW w:w="3220" w:type="dxa"/>
            <w:vAlign w:val="bottom"/>
            <w:gridSpan w:val="3"/>
          </w:tcPr>
          <w:p>
            <w:pPr>
              <w:ind w:left="100"/>
              <w:spacing w:after="0"/>
              <w:rPr>
                <w:sz w:val="20"/>
                <w:szCs w:val="20"/>
                <w:color w:val="auto"/>
              </w:rPr>
            </w:pPr>
            <w:r>
              <w:rPr>
                <w:rFonts w:ascii="Arial" w:cs="Arial" w:eastAsia="Arial" w:hAnsi="Arial"/>
                <w:sz w:val="14"/>
                <w:szCs w:val="14"/>
                <w:color w:val="auto"/>
              </w:rPr>
              <w:t>4,343,350 Preferred Stock Warrants</w:t>
            </w: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177</w:t>
            </w: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299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Borders>
              <w:top w:val="single" w:sz="8" w:color="CCEEFF"/>
            </w:tcBorders>
            <w:gridSpan w:val="3"/>
            <w:shd w:val="clear" w:color="auto" w:fill="CCEEFF"/>
          </w:tcPr>
          <w:p>
            <w:pPr>
              <w:spacing w:after="0" w:line="142" w:lineRule="exact"/>
              <w:rPr>
                <w:sz w:val="20"/>
                <w:szCs w:val="20"/>
                <w:color w:val="auto"/>
              </w:rPr>
            </w:pPr>
            <w:r>
              <w:rPr>
                <w:rFonts w:ascii="Arial" w:cs="Arial" w:eastAsia="Arial" w:hAnsi="Arial"/>
                <w:sz w:val="14"/>
                <w:szCs w:val="14"/>
                <w:color w:val="auto"/>
              </w:rPr>
              <w:t>Total Non-Affiliate Warrants — Technology</w:t>
            </w:r>
          </w:p>
        </w:tc>
        <w:tc>
          <w:tcPr>
            <w:tcW w:w="100" w:type="dxa"/>
            <w:vAlign w:val="bottom"/>
            <w:tcBorders>
              <w:top w:val="single" w:sz="8" w:color="CCEEFF"/>
            </w:tcBorders>
            <w:shd w:val="clear" w:color="auto" w:fill="CCEEFF"/>
          </w:tcPr>
          <w:p>
            <w:pPr>
              <w:spacing w:after="0"/>
              <w:rPr>
                <w:sz w:val="12"/>
                <w:szCs w:val="12"/>
                <w:color w:val="auto"/>
              </w:rPr>
            </w:pPr>
          </w:p>
        </w:tc>
        <w:tc>
          <w:tcPr>
            <w:tcW w:w="30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4,010</w:t>
            </w:r>
          </w:p>
        </w:tc>
        <w:tc>
          <w:tcPr>
            <w:tcW w:w="22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7,296</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Non-Affiliate Warrants — Cleantech — 0.1% (8)</w:t>
            </w:r>
          </w:p>
        </w:tc>
        <w:tc>
          <w:tcPr>
            <w:tcW w:w="1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Renmatix, Inc. (2)(12)</w:t>
            </w:r>
          </w:p>
        </w:tc>
        <w:tc>
          <w:tcPr>
            <w:tcW w:w="1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Alternative Energy</w:t>
            </w:r>
          </w:p>
        </w:tc>
        <w:tc>
          <w:tcPr>
            <w:tcW w:w="322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53,022 Preferred Stock Warrants</w:t>
            </w: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68</w:t>
            </w:r>
          </w:p>
        </w:tc>
        <w:tc>
          <w:tcPr>
            <w:tcW w:w="11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40" w:type="dxa"/>
            <w:vAlign w:val="bottom"/>
            <w:gridSpan w:val="2"/>
          </w:tcPr>
          <w:p>
            <w:pPr>
              <w:spacing w:after="0" w:line="143" w:lineRule="exact"/>
              <w:rPr>
                <w:sz w:val="20"/>
                <w:szCs w:val="20"/>
                <w:color w:val="auto"/>
              </w:rPr>
            </w:pPr>
            <w:r>
              <w:rPr>
                <w:rFonts w:ascii="Arial" w:cs="Arial" w:eastAsia="Arial" w:hAnsi="Arial"/>
                <w:sz w:val="14"/>
                <w:szCs w:val="14"/>
                <w:color w:val="auto"/>
              </w:rPr>
              <w:t>Tigo Energy, Inc. (2)(12)</w:t>
            </w:r>
          </w:p>
        </w:tc>
        <w:tc>
          <w:tcPr>
            <w:tcW w:w="1840" w:type="dxa"/>
            <w:vAlign w:val="bottom"/>
          </w:tcPr>
          <w:p>
            <w:pPr>
              <w:spacing w:after="0" w:line="143" w:lineRule="exact"/>
              <w:rPr>
                <w:sz w:val="20"/>
                <w:szCs w:val="20"/>
                <w:color w:val="auto"/>
              </w:rPr>
            </w:pPr>
            <w:r>
              <w:rPr>
                <w:rFonts w:ascii="Arial" w:cs="Arial" w:eastAsia="Arial" w:hAnsi="Arial"/>
                <w:sz w:val="14"/>
                <w:szCs w:val="14"/>
                <w:color w:val="auto"/>
              </w:rPr>
              <w:t>Energy Efficiency</w:t>
            </w:r>
          </w:p>
        </w:tc>
        <w:tc>
          <w:tcPr>
            <w:tcW w:w="3220" w:type="dxa"/>
            <w:vAlign w:val="bottom"/>
            <w:gridSpan w:val="3"/>
          </w:tcPr>
          <w:p>
            <w:pPr>
              <w:ind w:left="100"/>
              <w:spacing w:after="0" w:line="143" w:lineRule="exact"/>
              <w:rPr>
                <w:sz w:val="20"/>
                <w:szCs w:val="20"/>
                <w:color w:val="auto"/>
              </w:rPr>
            </w:pPr>
            <w:r>
              <w:rPr>
                <w:rFonts w:ascii="Arial" w:cs="Arial" w:eastAsia="Arial" w:hAnsi="Arial"/>
                <w:sz w:val="14"/>
                <w:szCs w:val="14"/>
                <w:color w:val="auto"/>
              </w:rPr>
              <w:t>804,604 Preferred Stock Warrants</w:t>
            </w: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100</w:t>
            </w:r>
          </w:p>
        </w:tc>
        <w:tc>
          <w:tcPr>
            <w:tcW w:w="110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560" w:type="dxa"/>
            <w:vAlign w:val="bottom"/>
            <w:gridSpan w:val="3"/>
          </w:tcPr>
          <w:p>
            <w:pPr>
              <w:spacing w:after="0" w:line="142" w:lineRule="exact"/>
              <w:rPr>
                <w:sz w:val="20"/>
                <w:szCs w:val="20"/>
                <w:color w:val="auto"/>
              </w:rPr>
            </w:pPr>
            <w:r>
              <w:rPr>
                <w:rFonts w:ascii="Arial" w:cs="Arial" w:eastAsia="Arial" w:hAnsi="Arial"/>
                <w:sz w:val="14"/>
                <w:szCs w:val="14"/>
                <w:color w:val="auto"/>
                <w:w w:val="98"/>
              </w:rPr>
              <w:t>Total Non-Affiliate Warrants — Cleantech</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168</w:t>
            </w:r>
          </w:p>
        </w:tc>
        <w:tc>
          <w:tcPr>
            <w:tcW w:w="220" w:type="dxa"/>
            <w:vAlign w:val="bottom"/>
          </w:tcPr>
          <w:p>
            <w:pPr>
              <w:spacing w:after="0"/>
              <w:rPr>
                <w:sz w:val="12"/>
                <w:szCs w:val="12"/>
                <w:color w:val="auto"/>
              </w:rPr>
            </w:pPr>
          </w:p>
        </w:tc>
        <w:tc>
          <w:tcPr>
            <w:tcW w:w="110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113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Non-Affiliate Warrants — Healthcare information and services — 0.5%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-97155</wp:posOffset>
            </wp:positionV>
            <wp:extent cx="15265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4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LifePrint Group, Inc. (2)(12)</w:t>
            </w:r>
          </w:p>
        </w:tc>
        <w:tc>
          <w:tcPr>
            <w:tcW w:w="198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Diagnostics</w:t>
            </w:r>
          </w:p>
        </w:tc>
        <w:tc>
          <w:tcPr>
            <w:tcW w:w="480" w:type="dxa"/>
            <w:vAlign w:val="bottom"/>
            <w:shd w:val="clear" w:color="auto" w:fill="CCEEFF"/>
          </w:tcPr>
          <w:p>
            <w:pPr>
              <w:ind w:left="60"/>
              <w:spacing w:after="0" w:line="157" w:lineRule="exact"/>
              <w:rPr>
                <w:sz w:val="20"/>
                <w:szCs w:val="20"/>
                <w:color w:val="auto"/>
              </w:rPr>
            </w:pPr>
            <w:r>
              <w:rPr>
                <w:rFonts w:ascii="Arial" w:cs="Arial" w:eastAsia="Arial" w:hAnsi="Arial"/>
                <w:sz w:val="14"/>
                <w:szCs w:val="14"/>
                <w:color w:val="auto"/>
                <w:w w:val="93"/>
              </w:rPr>
              <w:t>49,000</w:t>
            </w:r>
          </w:p>
        </w:tc>
        <w:tc>
          <w:tcPr>
            <w:tcW w:w="31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Preferred Stock Warrants</w:t>
            </w:r>
          </w:p>
        </w:tc>
        <w:tc>
          <w:tcPr>
            <w:tcW w:w="8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ProterixBio, Inc. (2)(12)</w:t>
            </w:r>
          </w:p>
        </w:tc>
        <w:tc>
          <w:tcPr>
            <w:tcW w:w="1980" w:type="dxa"/>
            <w:vAlign w:val="bottom"/>
          </w:tcPr>
          <w:p>
            <w:pPr>
              <w:ind w:left="100"/>
              <w:spacing w:after="0" w:line="149" w:lineRule="exact"/>
              <w:rPr>
                <w:sz w:val="20"/>
                <w:szCs w:val="20"/>
                <w:color w:val="auto"/>
              </w:rPr>
            </w:pPr>
            <w:r>
              <w:rPr>
                <w:rFonts w:ascii="Arial" w:cs="Arial" w:eastAsia="Arial" w:hAnsi="Arial"/>
                <w:sz w:val="14"/>
                <w:szCs w:val="14"/>
                <w:color w:val="auto"/>
              </w:rPr>
              <w:t>Diagnostics</w:t>
            </w:r>
          </w:p>
        </w:tc>
        <w:tc>
          <w:tcPr>
            <w:tcW w:w="36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2,676 Common Stock Warrants</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Singulex, Inc. (12)</w:t>
            </w:r>
          </w:p>
        </w:tc>
        <w:tc>
          <w:tcPr>
            <w:tcW w:w="19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Healthcare</w:t>
            </w:r>
          </w:p>
        </w:tc>
        <w:tc>
          <w:tcPr>
            <w:tcW w:w="36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294,231 Preferred Stock Warrants</w:t>
            </w: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Verity Solutions Group, Inc. (12)</w:t>
            </w:r>
          </w:p>
        </w:tc>
        <w:tc>
          <w:tcPr>
            <w:tcW w:w="1980" w:type="dxa"/>
            <w:vAlign w:val="bottom"/>
          </w:tcPr>
          <w:p>
            <w:pPr>
              <w:ind w:left="100"/>
              <w:spacing w:after="0" w:line="149" w:lineRule="exact"/>
              <w:rPr>
                <w:sz w:val="20"/>
                <w:szCs w:val="20"/>
                <w:color w:val="auto"/>
              </w:rPr>
            </w:pPr>
            <w:r>
              <w:rPr>
                <w:rFonts w:ascii="Arial" w:cs="Arial" w:eastAsia="Arial" w:hAnsi="Arial"/>
                <w:sz w:val="14"/>
                <w:szCs w:val="14"/>
                <w:color w:val="auto"/>
              </w:rPr>
              <w:t>Other Healthcare</w:t>
            </w:r>
          </w:p>
        </w:tc>
        <w:tc>
          <w:tcPr>
            <w:tcW w:w="36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300,360 Preferred Stock Warrants</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Watermark Medical, Inc. (2)(12)</w:t>
            </w:r>
          </w:p>
        </w:tc>
        <w:tc>
          <w:tcPr>
            <w:tcW w:w="19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Healthcare</w:t>
            </w:r>
          </w:p>
        </w:tc>
        <w:tc>
          <w:tcPr>
            <w:tcW w:w="4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3"/>
              </w:rPr>
              <w:t>27,373</w:t>
            </w:r>
          </w:p>
        </w:tc>
        <w:tc>
          <w:tcPr>
            <w:tcW w:w="3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Preferred Stock Warrants</w:t>
            </w: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HealthEdge Software, Inc. (2)(12)</w:t>
            </w:r>
          </w:p>
        </w:tc>
        <w:tc>
          <w:tcPr>
            <w:tcW w:w="1980" w:type="dxa"/>
            <w:vAlign w:val="bottom"/>
          </w:tcPr>
          <w:p>
            <w:pPr>
              <w:ind w:left="100"/>
              <w:spacing w:after="0" w:line="149" w:lineRule="exact"/>
              <w:rPr>
                <w:sz w:val="20"/>
                <w:szCs w:val="20"/>
                <w:color w:val="auto"/>
              </w:rPr>
            </w:pPr>
            <w:r>
              <w:rPr>
                <w:rFonts w:ascii="Arial" w:cs="Arial" w:eastAsia="Arial" w:hAnsi="Arial"/>
                <w:sz w:val="14"/>
                <w:szCs w:val="14"/>
                <w:color w:val="auto"/>
              </w:rPr>
              <w:t>Software</w:t>
            </w:r>
          </w:p>
        </w:tc>
        <w:tc>
          <w:tcPr>
            <w:tcW w:w="36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205,481 Preferred Stock Warrants</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Medsphere Systems Corporation (2)(12)</w:t>
            </w:r>
          </w:p>
        </w:tc>
        <w:tc>
          <w:tcPr>
            <w:tcW w:w="19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36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7,097,792 Preferred Stock Warrants</w:t>
            </w: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rPr>
                <w:sz w:val="20"/>
                <w:szCs w:val="20"/>
                <w:color w:val="auto"/>
              </w:rPr>
            </w:pPr>
            <w:r>
              <w:rPr>
                <w:rFonts w:ascii="Arial" w:cs="Arial" w:eastAsia="Arial" w:hAnsi="Arial"/>
                <w:sz w:val="14"/>
                <w:szCs w:val="14"/>
                <w:color w:val="auto"/>
              </w:rPr>
              <w:t>Recondo Technology, Inc. (2)(12)</w:t>
            </w:r>
          </w:p>
        </w:tc>
        <w:tc>
          <w:tcPr>
            <w:tcW w:w="1980" w:type="dxa"/>
            <w:vAlign w:val="bottom"/>
          </w:tcPr>
          <w:p>
            <w:pPr>
              <w:ind w:left="100"/>
              <w:spacing w:after="0"/>
              <w:rPr>
                <w:sz w:val="20"/>
                <w:szCs w:val="20"/>
                <w:color w:val="auto"/>
              </w:rPr>
            </w:pPr>
            <w:r>
              <w:rPr>
                <w:rFonts w:ascii="Arial" w:cs="Arial" w:eastAsia="Arial" w:hAnsi="Arial"/>
                <w:sz w:val="14"/>
                <w:szCs w:val="14"/>
                <w:color w:val="auto"/>
              </w:rPr>
              <w:t>Software</w:t>
            </w:r>
          </w:p>
        </w:tc>
        <w:tc>
          <w:tcPr>
            <w:tcW w:w="3600" w:type="dxa"/>
            <w:vAlign w:val="bottom"/>
            <w:gridSpan w:val="2"/>
          </w:tcPr>
          <w:p>
            <w:pPr>
              <w:ind w:left="60"/>
              <w:spacing w:after="0"/>
              <w:rPr>
                <w:sz w:val="20"/>
                <w:szCs w:val="20"/>
                <w:color w:val="auto"/>
              </w:rPr>
            </w:pPr>
            <w:r>
              <w:rPr>
                <w:rFonts w:ascii="Arial" w:cs="Arial" w:eastAsia="Arial" w:hAnsi="Arial"/>
                <w:sz w:val="14"/>
                <w:szCs w:val="14"/>
                <w:color w:val="auto"/>
              </w:rPr>
              <w:t>556,796 Preferred Stock Warrants</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Non-Affiliate Warrants — Healthcare information and services</w:t>
            </w:r>
          </w:p>
        </w:tc>
        <w:tc>
          <w:tcPr>
            <w:tcW w:w="480" w:type="dxa"/>
            <w:vAlign w:val="bottom"/>
            <w:tcBorders>
              <w:top w:val="single" w:sz="8" w:color="CCEEFF"/>
            </w:tcBorders>
            <w:shd w:val="clear" w:color="auto" w:fill="CCEEFF"/>
          </w:tcPr>
          <w:p>
            <w:pPr>
              <w:spacing w:after="0"/>
              <w:rPr>
                <w:sz w:val="12"/>
                <w:szCs w:val="12"/>
                <w:color w:val="auto"/>
              </w:rPr>
            </w:pPr>
          </w:p>
        </w:tc>
        <w:tc>
          <w:tcPr>
            <w:tcW w:w="31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527</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Non-Affiliate Warrants</w:t>
            </w:r>
          </w:p>
        </w:tc>
        <w:tc>
          <w:tcPr>
            <w:tcW w:w="19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312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6,802</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10,426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Non-Affiliate Other Investments — 5.7% (8)</w:t>
            </w:r>
          </w:p>
        </w:tc>
        <w:tc>
          <w:tcPr>
            <w:tcW w:w="4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Espero Pharmaceuticals, Inc. (12)</w:t>
            </w:r>
          </w:p>
        </w:tc>
        <w:tc>
          <w:tcPr>
            <w:tcW w:w="19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6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Royalty Agreement</w:t>
            </w: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5,300</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ZetrOZ, Inc. (12)</w:t>
            </w:r>
          </w:p>
        </w:tc>
        <w:tc>
          <w:tcPr>
            <w:tcW w:w="1980" w:type="dxa"/>
            <w:vAlign w:val="bottom"/>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6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Royalty Agreement</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Vette Technology, LLC (12)</w:t>
            </w:r>
          </w:p>
        </w:tc>
        <w:tc>
          <w:tcPr>
            <w:tcW w:w="19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Data Storage</w:t>
            </w:r>
          </w:p>
        </w:tc>
        <w:tc>
          <w:tcPr>
            <w:tcW w:w="36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Royalty Agreement Due 4/18/2019</w:t>
            </w: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4,183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rPr>
                <w:sz w:val="20"/>
                <w:szCs w:val="20"/>
                <w:color w:val="auto"/>
              </w:rPr>
            </w:pPr>
            <w:r>
              <w:rPr>
                <w:rFonts w:ascii="Arial" w:cs="Arial" w:eastAsia="Arial" w:hAnsi="Arial"/>
                <w:sz w:val="14"/>
                <w:szCs w:val="14"/>
                <w:color w:val="auto"/>
              </w:rPr>
              <w:t>Triple Double Holdings, LLC (12)</w:t>
            </w:r>
          </w:p>
        </w:tc>
        <w:tc>
          <w:tcPr>
            <w:tcW w:w="1980" w:type="dxa"/>
            <w:vAlign w:val="bottom"/>
          </w:tcPr>
          <w:p>
            <w:pPr>
              <w:ind w:left="100"/>
              <w:spacing w:after="0"/>
              <w:rPr>
                <w:sz w:val="20"/>
                <w:szCs w:val="20"/>
                <w:color w:val="auto"/>
              </w:rPr>
            </w:pPr>
            <w:r>
              <w:rPr>
                <w:rFonts w:ascii="Arial" w:cs="Arial" w:eastAsia="Arial" w:hAnsi="Arial"/>
                <w:sz w:val="14"/>
                <w:szCs w:val="14"/>
                <w:color w:val="auto"/>
              </w:rPr>
              <w:t>Software</w:t>
            </w:r>
          </w:p>
        </w:tc>
        <w:tc>
          <w:tcPr>
            <w:tcW w:w="3600" w:type="dxa"/>
            <w:vAlign w:val="bottom"/>
            <w:gridSpan w:val="2"/>
          </w:tcPr>
          <w:p>
            <w:pPr>
              <w:ind w:left="60"/>
              <w:spacing w:after="0"/>
              <w:rPr>
                <w:sz w:val="20"/>
                <w:szCs w:val="20"/>
                <w:color w:val="auto"/>
              </w:rPr>
            </w:pPr>
            <w:r>
              <w:rPr>
                <w:rFonts w:ascii="Arial" w:cs="Arial" w:eastAsia="Arial" w:hAnsi="Arial"/>
                <w:sz w:val="14"/>
                <w:szCs w:val="14"/>
                <w:color w:val="auto"/>
              </w:rPr>
              <w:t>License Agreement</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2,200</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7"/>
              </w:rPr>
              <w:t>Total Non-Affiliate Other Investments</w:t>
            </w:r>
          </w:p>
        </w:tc>
        <w:tc>
          <w:tcPr>
            <w:tcW w:w="19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31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11,862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7,660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Equity — 0.9% (8)</w:t>
            </w:r>
          </w:p>
        </w:tc>
        <w:tc>
          <w:tcPr>
            <w:tcW w:w="1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Insmed Incorporated (5)</w:t>
            </w:r>
          </w:p>
        </w:tc>
        <w:tc>
          <w:tcPr>
            <w:tcW w:w="1980" w:type="dxa"/>
            <w:vAlign w:val="bottom"/>
          </w:tcPr>
          <w:p>
            <w:pPr>
              <w:ind w:left="100"/>
              <w:spacing w:after="0" w:line="149" w:lineRule="exact"/>
              <w:rPr>
                <w:sz w:val="20"/>
                <w:szCs w:val="20"/>
                <w:color w:val="auto"/>
              </w:rPr>
            </w:pPr>
            <w:r>
              <w:rPr>
                <w:rFonts w:ascii="Arial" w:cs="Arial" w:eastAsia="Arial" w:hAnsi="Arial"/>
                <w:sz w:val="14"/>
                <w:szCs w:val="14"/>
                <w:color w:val="auto"/>
              </w:rPr>
              <w:t>Biotechnology</w:t>
            </w:r>
          </w:p>
        </w:tc>
        <w:tc>
          <w:tcPr>
            <w:tcW w:w="480" w:type="dxa"/>
            <w:vAlign w:val="bottom"/>
          </w:tcPr>
          <w:p>
            <w:pPr>
              <w:ind w:left="60"/>
              <w:spacing w:after="0" w:line="149" w:lineRule="exact"/>
              <w:rPr>
                <w:sz w:val="20"/>
                <w:szCs w:val="20"/>
                <w:color w:val="auto"/>
              </w:rPr>
            </w:pPr>
            <w:r>
              <w:rPr>
                <w:rFonts w:ascii="Arial" w:cs="Arial" w:eastAsia="Arial" w:hAnsi="Arial"/>
                <w:sz w:val="14"/>
                <w:szCs w:val="14"/>
                <w:color w:val="auto"/>
                <w:w w:val="93"/>
              </w:rPr>
              <w:t>33,208</w:t>
            </w:r>
          </w:p>
        </w:tc>
        <w:tc>
          <w:tcPr>
            <w:tcW w:w="3120" w:type="dxa"/>
            <w:vAlign w:val="bottom"/>
          </w:tcPr>
          <w:p>
            <w:pPr>
              <w:ind w:left="20"/>
              <w:spacing w:after="0" w:line="149" w:lineRule="exact"/>
              <w:rPr>
                <w:sz w:val="20"/>
                <w:szCs w:val="20"/>
                <w:color w:val="auto"/>
              </w:rPr>
            </w:pPr>
            <w:r>
              <w:rPr>
                <w:rFonts w:ascii="Arial" w:cs="Arial" w:eastAsia="Arial" w:hAnsi="Arial"/>
                <w:sz w:val="14"/>
                <w:szCs w:val="14"/>
                <w:color w:val="auto"/>
              </w:rPr>
              <w:t>Common Stock</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Revance Therapeutics, Inc.(5)</w:t>
            </w:r>
          </w:p>
        </w:tc>
        <w:tc>
          <w:tcPr>
            <w:tcW w:w="19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6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5,125 Common Stock</w:t>
            </w: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Sunesis Pharmaceuticals, Inc. (5)</w:t>
            </w:r>
          </w:p>
        </w:tc>
        <w:tc>
          <w:tcPr>
            <w:tcW w:w="1980" w:type="dxa"/>
            <w:vAlign w:val="bottom"/>
          </w:tcPr>
          <w:p>
            <w:pPr>
              <w:ind w:left="100"/>
              <w:spacing w:after="0" w:line="149" w:lineRule="exact"/>
              <w:rPr>
                <w:sz w:val="20"/>
                <w:szCs w:val="20"/>
                <w:color w:val="auto"/>
              </w:rPr>
            </w:pPr>
            <w:r>
              <w:rPr>
                <w:rFonts w:ascii="Arial" w:cs="Arial" w:eastAsia="Arial" w:hAnsi="Arial"/>
                <w:sz w:val="14"/>
                <w:szCs w:val="14"/>
                <w:color w:val="auto"/>
              </w:rPr>
              <w:t>Biotechnology</w:t>
            </w:r>
          </w:p>
        </w:tc>
        <w:tc>
          <w:tcPr>
            <w:tcW w:w="480" w:type="dxa"/>
            <w:vAlign w:val="bottom"/>
          </w:tcPr>
          <w:p>
            <w:pPr>
              <w:ind w:left="60"/>
              <w:spacing w:after="0" w:line="149" w:lineRule="exact"/>
              <w:rPr>
                <w:sz w:val="20"/>
                <w:szCs w:val="20"/>
                <w:color w:val="auto"/>
              </w:rPr>
            </w:pPr>
            <w:r>
              <w:rPr>
                <w:rFonts w:ascii="Arial" w:cs="Arial" w:eastAsia="Arial" w:hAnsi="Arial"/>
                <w:sz w:val="14"/>
                <w:szCs w:val="14"/>
                <w:color w:val="auto"/>
                <w:w w:val="93"/>
              </w:rPr>
              <w:t>13,082</w:t>
            </w:r>
          </w:p>
        </w:tc>
        <w:tc>
          <w:tcPr>
            <w:tcW w:w="3120" w:type="dxa"/>
            <w:vAlign w:val="bottom"/>
          </w:tcPr>
          <w:p>
            <w:pPr>
              <w:ind w:left="20"/>
              <w:spacing w:after="0" w:line="149" w:lineRule="exact"/>
              <w:rPr>
                <w:sz w:val="20"/>
                <w:szCs w:val="20"/>
                <w:color w:val="auto"/>
              </w:rPr>
            </w:pPr>
            <w:r>
              <w:rPr>
                <w:rFonts w:ascii="Arial" w:cs="Arial" w:eastAsia="Arial" w:hAnsi="Arial"/>
                <w:sz w:val="14"/>
                <w:szCs w:val="14"/>
                <w:color w:val="auto"/>
              </w:rPr>
              <w:t>Common Stock</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SnagAJob.com, Inc. (12)</w:t>
            </w:r>
          </w:p>
        </w:tc>
        <w:tc>
          <w:tcPr>
            <w:tcW w:w="19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3"/>
              </w:rPr>
              <w:t>Consumer-related Technologies</w:t>
            </w:r>
          </w:p>
        </w:tc>
        <w:tc>
          <w:tcPr>
            <w:tcW w:w="4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3"/>
              </w:rPr>
              <w:t>82,974</w:t>
            </w:r>
          </w:p>
        </w:tc>
        <w:tc>
          <w:tcPr>
            <w:tcW w:w="3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w:t>
            </w: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Verve Wireless, Inc. (2)(12)</w:t>
            </w:r>
          </w:p>
        </w:tc>
        <w:tc>
          <w:tcPr>
            <w:tcW w:w="1980" w:type="dxa"/>
            <w:vAlign w:val="bottom"/>
          </w:tcPr>
          <w:p>
            <w:pPr>
              <w:ind w:left="100"/>
              <w:spacing w:after="0" w:line="149" w:lineRule="exact"/>
              <w:rPr>
                <w:sz w:val="20"/>
                <w:szCs w:val="20"/>
                <w:color w:val="auto"/>
              </w:rPr>
            </w:pPr>
            <w:r>
              <w:rPr>
                <w:rFonts w:ascii="Arial" w:cs="Arial" w:eastAsia="Arial" w:hAnsi="Arial"/>
                <w:sz w:val="14"/>
                <w:szCs w:val="14"/>
                <w:color w:val="auto"/>
              </w:rPr>
              <w:t>Internet and Media</w:t>
            </w:r>
          </w:p>
        </w:tc>
        <w:tc>
          <w:tcPr>
            <w:tcW w:w="36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100,598 Preferred Stock</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Formetrix, Inc. (2)(12)</w:t>
            </w:r>
          </w:p>
        </w:tc>
        <w:tc>
          <w:tcPr>
            <w:tcW w:w="19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Materials</w:t>
            </w:r>
          </w:p>
        </w:tc>
        <w:tc>
          <w:tcPr>
            <w:tcW w:w="4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3"/>
              </w:rPr>
              <w:t>74,286</w:t>
            </w:r>
          </w:p>
        </w:tc>
        <w:tc>
          <w:tcPr>
            <w:tcW w:w="3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Common Stock</w:t>
            </w: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40" w:type="dxa"/>
            <w:vAlign w:val="bottom"/>
          </w:tcPr>
          <w:p>
            <w:pPr>
              <w:spacing w:after="0"/>
              <w:rPr>
                <w:sz w:val="20"/>
                <w:szCs w:val="20"/>
                <w:color w:val="auto"/>
              </w:rPr>
            </w:pPr>
            <w:r>
              <w:rPr>
                <w:rFonts w:ascii="Arial" w:cs="Arial" w:eastAsia="Arial" w:hAnsi="Arial"/>
                <w:sz w:val="14"/>
                <w:szCs w:val="14"/>
                <w:color w:val="auto"/>
              </w:rPr>
              <w:t>TruSignal, Inc. (12)</w:t>
            </w:r>
          </w:p>
        </w:tc>
        <w:tc>
          <w:tcPr>
            <w:tcW w:w="1980" w:type="dxa"/>
            <w:vAlign w:val="bottom"/>
          </w:tcPr>
          <w:p>
            <w:pPr>
              <w:ind w:left="100"/>
              <w:spacing w:after="0"/>
              <w:rPr>
                <w:sz w:val="20"/>
                <w:szCs w:val="20"/>
                <w:color w:val="auto"/>
              </w:rPr>
            </w:pPr>
            <w:r>
              <w:rPr>
                <w:rFonts w:ascii="Arial" w:cs="Arial" w:eastAsia="Arial" w:hAnsi="Arial"/>
                <w:sz w:val="14"/>
                <w:szCs w:val="14"/>
                <w:color w:val="auto"/>
              </w:rPr>
              <w:t>Software</w:t>
            </w:r>
          </w:p>
        </w:tc>
        <w:tc>
          <w:tcPr>
            <w:tcW w:w="480" w:type="dxa"/>
            <w:vAlign w:val="bottom"/>
          </w:tcPr>
          <w:p>
            <w:pPr>
              <w:ind w:left="60"/>
              <w:spacing w:after="0"/>
              <w:rPr>
                <w:sz w:val="20"/>
                <w:szCs w:val="20"/>
                <w:color w:val="auto"/>
              </w:rPr>
            </w:pPr>
            <w:r>
              <w:rPr>
                <w:rFonts w:ascii="Arial" w:cs="Arial" w:eastAsia="Arial" w:hAnsi="Arial"/>
                <w:sz w:val="14"/>
                <w:szCs w:val="14"/>
                <w:color w:val="auto"/>
                <w:w w:val="93"/>
              </w:rPr>
              <w:t>32,637</w:t>
            </w:r>
          </w:p>
        </w:tc>
        <w:tc>
          <w:tcPr>
            <w:tcW w:w="312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Non-Affiliate Equity</w:t>
            </w:r>
          </w:p>
        </w:tc>
        <w:tc>
          <w:tcPr>
            <w:tcW w:w="19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312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743</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1,248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bottom w:val="single" w:sz="8" w:color="CCEEFF"/>
            </w:tcBorders>
            <w:gridSpan w:val="2"/>
          </w:tcPr>
          <w:p>
            <w:pPr>
              <w:spacing w:after="0" w:line="155" w:lineRule="exact"/>
              <w:rPr>
                <w:sz w:val="20"/>
                <w:szCs w:val="20"/>
                <w:color w:val="auto"/>
              </w:rPr>
            </w:pPr>
            <w:r>
              <w:rPr>
                <w:rFonts w:ascii="Arial" w:cs="Arial" w:eastAsia="Arial" w:hAnsi="Arial"/>
                <w:sz w:val="14"/>
                <w:szCs w:val="14"/>
                <w:b w:val="1"/>
                <w:bCs w:val="1"/>
                <w:color w:val="auto"/>
              </w:rPr>
              <w:t>Total Non-Affiliate Portfolio Investment Assets</w:t>
            </w:r>
          </w:p>
        </w:tc>
        <w:tc>
          <w:tcPr>
            <w:tcW w:w="480" w:type="dxa"/>
            <w:vAlign w:val="bottom"/>
            <w:tcBorders>
              <w:bottom w:val="single" w:sz="8" w:color="CCEEFF"/>
            </w:tcBorders>
          </w:tcPr>
          <w:p>
            <w:pPr>
              <w:spacing w:after="0"/>
              <w:rPr>
                <w:sz w:val="17"/>
                <w:szCs w:val="17"/>
                <w:color w:val="auto"/>
              </w:rPr>
            </w:pPr>
          </w:p>
        </w:tc>
        <w:tc>
          <w:tcPr>
            <w:tcW w:w="31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228,313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227,813</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Non-controlled Affiliate Investments — 5.6% (8)</w:t>
            </w:r>
          </w:p>
        </w:tc>
        <w:tc>
          <w:tcPr>
            <w:tcW w:w="4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7"/>
              </w:rPr>
              <w:t>Non-controlled Affiliate Debt Investments — Technology — 5.0% (8)</w:t>
            </w:r>
          </w:p>
        </w:tc>
        <w:tc>
          <w:tcPr>
            <w:tcW w:w="48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tcPr>
          <w:p>
            <w:pPr>
              <w:spacing w:after="0" w:line="130" w:lineRule="exact"/>
              <w:rPr>
                <w:sz w:val="20"/>
                <w:szCs w:val="20"/>
                <w:color w:val="auto"/>
              </w:rPr>
            </w:pPr>
            <w:r>
              <w:rPr>
                <w:rFonts w:ascii="Arial" w:cs="Arial" w:eastAsia="Arial" w:hAnsi="Arial"/>
                <w:sz w:val="14"/>
                <w:szCs w:val="14"/>
                <w:color w:val="auto"/>
              </w:rPr>
              <w:t>Decisyon, Inc. (12)</w:t>
            </w:r>
          </w:p>
        </w:tc>
        <w:tc>
          <w:tcPr>
            <w:tcW w:w="1980" w:type="dxa"/>
            <w:vAlign w:val="bottom"/>
          </w:tcPr>
          <w:p>
            <w:pPr>
              <w:ind w:left="100"/>
              <w:spacing w:after="0" w:line="130" w:lineRule="exact"/>
              <w:rPr>
                <w:sz w:val="20"/>
                <w:szCs w:val="20"/>
                <w:color w:val="auto"/>
              </w:rPr>
            </w:pPr>
            <w:r>
              <w:rPr>
                <w:rFonts w:ascii="Arial" w:cs="Arial" w:eastAsia="Arial" w:hAnsi="Arial"/>
                <w:sz w:val="14"/>
                <w:szCs w:val="14"/>
                <w:color w:val="auto"/>
              </w:rPr>
              <w:t>Software</w:t>
            </w:r>
          </w:p>
        </w:tc>
        <w:tc>
          <w:tcPr>
            <w:tcW w:w="360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Loan (14.408% cash (Libor + 12.308%; Floor  $</w:t>
            </w:r>
          </w:p>
        </w:tc>
        <w:tc>
          <w:tcPr>
            <w:tcW w:w="860" w:type="dxa"/>
            <w:vAlign w:val="bottom"/>
          </w:tcPr>
          <w:p>
            <w:pPr>
              <w:jc w:val="right"/>
              <w:ind w:right="128"/>
              <w:spacing w:after="0" w:line="130" w:lineRule="exact"/>
              <w:rPr>
                <w:sz w:val="20"/>
                <w:szCs w:val="20"/>
                <w:color w:val="auto"/>
              </w:rPr>
            </w:pPr>
            <w:r>
              <w:rPr>
                <w:rFonts w:ascii="Arial" w:cs="Arial" w:eastAsia="Arial" w:hAnsi="Arial"/>
                <w:sz w:val="14"/>
                <w:szCs w:val="14"/>
                <w:color w:val="auto"/>
              </w:rPr>
              <w:t>1,523</w:t>
            </w:r>
          </w:p>
        </w:tc>
        <w:tc>
          <w:tcPr>
            <w:tcW w:w="380" w:type="dxa"/>
            <w:vAlign w:val="bottom"/>
          </w:tcPr>
          <w:p>
            <w:pPr>
              <w:jc w:val="right"/>
              <w:ind w:right="228"/>
              <w:spacing w:after="0" w:line="130"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1,522</w:t>
            </w:r>
          </w:p>
        </w:tc>
        <w:tc>
          <w:tcPr>
            <w:tcW w:w="440" w:type="dxa"/>
            <w:vAlign w:val="bottom"/>
            <w:gridSpan w:val="2"/>
          </w:tcPr>
          <w:p>
            <w:pPr>
              <w:jc w:val="right"/>
              <w:ind w:right="188"/>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1,449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00" w:type="dxa"/>
            <w:vAlign w:val="bottom"/>
            <w:gridSpan w:val="2"/>
          </w:tcPr>
          <w:p>
            <w:pPr>
              <w:ind w:left="60"/>
              <w:spacing w:after="0"/>
              <w:rPr>
                <w:sz w:val="20"/>
                <w:szCs w:val="20"/>
                <w:color w:val="auto"/>
              </w:rPr>
            </w:pPr>
            <w:r>
              <w:rPr>
                <w:rFonts w:ascii="Arial" w:cs="Arial" w:eastAsia="Arial" w:hAnsi="Arial"/>
                <w:sz w:val="14"/>
                <w:szCs w:val="14"/>
                <w:color w:val="auto"/>
              </w:rPr>
              <w:t>12.50%), 8.00% ETP, Due 12/1/20)</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360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(14.408% cash (Libor + 12.308%; Floor</w:t>
            </w:r>
          </w:p>
        </w:tc>
        <w:tc>
          <w:tcPr>
            <w:tcW w:w="860" w:type="dxa"/>
            <w:vAlign w:val="bottom"/>
            <w:shd w:val="clear" w:color="auto" w:fill="CCEEFF"/>
          </w:tcPr>
          <w:p>
            <w:pPr>
              <w:jc w:val="right"/>
              <w:ind w:right="128"/>
              <w:spacing w:after="0" w:line="130" w:lineRule="exact"/>
              <w:rPr>
                <w:sz w:val="20"/>
                <w:szCs w:val="20"/>
                <w:color w:val="auto"/>
              </w:rPr>
            </w:pPr>
            <w:r>
              <w:rPr>
                <w:rFonts w:ascii="Arial" w:cs="Arial" w:eastAsia="Arial" w:hAnsi="Arial"/>
                <w:sz w:val="14"/>
                <w:szCs w:val="14"/>
                <w:color w:val="auto"/>
              </w:rPr>
              <w:t>833</w:t>
            </w:r>
          </w:p>
        </w:tc>
        <w:tc>
          <w:tcPr>
            <w:tcW w:w="3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790</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4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36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12.50%), 8.00% ETP, Due 12/1/20)</w:t>
            </w:r>
          </w:p>
        </w:tc>
        <w:tc>
          <w:tcPr>
            <w:tcW w:w="8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600" w:type="dxa"/>
            <w:vAlign w:val="bottom"/>
            <w:gridSpan w:val="2"/>
          </w:tcPr>
          <w:p>
            <w:pPr>
              <w:ind w:left="60"/>
              <w:spacing w:after="0"/>
              <w:rPr>
                <w:sz w:val="20"/>
                <w:szCs w:val="20"/>
                <w:color w:val="auto"/>
              </w:rPr>
            </w:pPr>
            <w:r>
              <w:rPr>
                <w:rFonts w:ascii="Arial" w:cs="Arial" w:eastAsia="Arial" w:hAnsi="Arial"/>
                <w:sz w:val="14"/>
                <w:szCs w:val="14"/>
                <w:color w:val="auto"/>
              </w:rPr>
              <w:t>Term Loan (12.02% cash, Due 12/31/19)</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250</w:t>
            </w:r>
          </w:p>
        </w:tc>
        <w:tc>
          <w:tcPr>
            <w:tcW w:w="38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jc w:val="right"/>
              <w:ind w:right="508"/>
              <w:spacing w:after="0"/>
              <w:rPr>
                <w:sz w:val="20"/>
                <w:szCs w:val="20"/>
                <w:color w:val="auto"/>
              </w:rPr>
            </w:pPr>
            <w:r>
              <w:rPr>
                <w:rFonts w:ascii="Arial" w:cs="Arial" w:eastAsia="Arial" w:hAnsi="Arial"/>
                <w:sz w:val="14"/>
                <w:szCs w:val="14"/>
                <w:b w:val="1"/>
                <w:bCs w:val="1"/>
                <w:color w:val="auto"/>
              </w:rPr>
              <w:t>Principal</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 of</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Portfolio Company (1)(3)</w:t>
            </w:r>
          </w:p>
        </w:tc>
        <w:tc>
          <w:tcPr>
            <w:tcW w:w="1260" w:type="dxa"/>
            <w:vAlign w:val="bottom"/>
          </w:tcPr>
          <w:p>
            <w:pPr>
              <w:ind w:left="440"/>
              <w:spacing w:after="0"/>
              <w:rPr>
                <w:sz w:val="20"/>
                <w:szCs w:val="20"/>
                <w:color w:val="auto"/>
              </w:rPr>
            </w:pPr>
            <w:r>
              <w:rPr>
                <w:rFonts w:ascii="Arial" w:cs="Arial" w:eastAsia="Arial" w:hAnsi="Arial"/>
                <w:sz w:val="14"/>
                <w:szCs w:val="14"/>
                <w:b w:val="1"/>
                <w:bCs w:val="1"/>
                <w:color w:val="auto"/>
              </w:rPr>
              <w:t>Sector</w:t>
            </w:r>
          </w:p>
        </w:tc>
        <w:tc>
          <w:tcPr>
            <w:tcW w:w="120" w:type="dxa"/>
            <w:vAlign w:val="bottom"/>
          </w:tcPr>
          <w:p>
            <w:pPr>
              <w:spacing w:after="0"/>
              <w:rPr>
                <w:sz w:val="14"/>
                <w:szCs w:val="14"/>
                <w:color w:val="auto"/>
              </w:rPr>
            </w:pPr>
          </w:p>
        </w:tc>
        <w:tc>
          <w:tcPr>
            <w:tcW w:w="332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 (4)(7)(9)(10)</w:t>
            </w:r>
          </w:p>
        </w:tc>
        <w:tc>
          <w:tcPr>
            <w:tcW w:w="1440" w:type="dxa"/>
            <w:vAlign w:val="bottom"/>
            <w:gridSpan w:val="3"/>
          </w:tcPr>
          <w:p>
            <w:pPr>
              <w:jc w:val="right"/>
              <w:ind w:right="548"/>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Investments (6)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Term Loan (12.03% cash, Due 12/31/19)</w:t>
            </w:r>
          </w:p>
        </w:tc>
        <w:tc>
          <w:tcPr>
            <w:tcW w:w="1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250</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Term Loan (12.24% cash, Due 12/31/19)</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Term Loan (13.08% cash, Due 12/31/19)</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Term Loan (13.10% cash, Due 12/31/19)</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6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StereoVision Imaging, Inc. (12)</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Software</w:t>
            </w:r>
          </w:p>
        </w:tc>
        <w:tc>
          <w:tcPr>
            <w:tcW w:w="3440" w:type="dxa"/>
            <w:vAlign w:val="bottom"/>
            <w:gridSpan w:val="3"/>
            <w:shd w:val="clear" w:color="auto" w:fill="CCEEFF"/>
          </w:tcPr>
          <w:p>
            <w:pPr>
              <w:ind w:left="120"/>
              <w:spacing w:after="0" w:line="143" w:lineRule="exact"/>
              <w:rPr>
                <w:sz w:val="20"/>
                <w:szCs w:val="20"/>
                <w:color w:val="auto"/>
              </w:rPr>
            </w:pPr>
            <w:r>
              <w:rPr>
                <w:rFonts w:ascii="Arial" w:cs="Arial" w:eastAsia="Arial" w:hAnsi="Arial"/>
                <w:sz w:val="14"/>
                <w:szCs w:val="14"/>
                <w:color w:val="auto"/>
              </w:rPr>
              <w:t>Term Loan (9.13% PIK (Libor + 7.03%; Floor</w:t>
            </w:r>
          </w:p>
        </w:tc>
        <w:tc>
          <w:tcPr>
            <w:tcW w:w="13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3,200</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2,798</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2,798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8.50%), 8.50% ETP, Due 9/1/21) (11)</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w w:val="90"/>
              </w:rPr>
              <w:t>Total Non-controlled Affiliate Debt Investments</w:t>
            </w:r>
          </w:p>
        </w:tc>
        <w:tc>
          <w:tcPr>
            <w:tcW w:w="1380" w:type="dxa"/>
            <w:vAlign w:val="bottom"/>
            <w:tcBorders>
              <w:bottom w:val="single" w:sz="8" w:color="CCEEFF"/>
            </w:tcBorders>
            <w:gridSpan w:val="2"/>
          </w:tcPr>
          <w:p>
            <w:pPr>
              <w:ind w:left="180"/>
              <w:spacing w:after="0" w:line="142" w:lineRule="exact"/>
              <w:rPr>
                <w:sz w:val="20"/>
                <w:szCs w:val="20"/>
                <w:color w:val="auto"/>
              </w:rPr>
            </w:pPr>
            <w:r>
              <w:rPr>
                <w:rFonts w:ascii="Arial" w:cs="Arial" w:eastAsia="Arial" w:hAnsi="Arial"/>
                <w:sz w:val="14"/>
                <w:szCs w:val="14"/>
                <w:color w:val="auto"/>
              </w:rPr>
              <w:t>— Technology</w:t>
            </w:r>
          </w:p>
        </w:tc>
        <w:tc>
          <w:tcPr>
            <w:tcW w:w="12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6,860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6,665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Non-controlled Affiliate Warrants — Technology — 0.0% (8)</w:t>
            </w: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Decisyon, Inc. (12)</w:t>
            </w: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Software</w:t>
            </w: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82,967 Common Stock Warrants</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color w:val="auto"/>
              </w:rPr>
              <w:t>Total Non-controlled Affiliate Warrants — Technology</w:t>
            </w:r>
          </w:p>
        </w:tc>
        <w:tc>
          <w:tcPr>
            <w:tcW w:w="12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Non-controlled Affiliate Equity — Technology — 0.6% (8)</w:t>
            </w: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Decisyon, Inc. (12)</w:t>
            </w:r>
          </w:p>
        </w:tc>
        <w:tc>
          <w:tcPr>
            <w:tcW w:w="1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344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45,365,936 Common Stock</w:t>
            </w: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185</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gridSpan w:val="2"/>
          </w:tcPr>
          <w:p>
            <w:pPr>
              <w:spacing w:after="0"/>
              <w:rPr>
                <w:sz w:val="20"/>
                <w:szCs w:val="20"/>
                <w:color w:val="auto"/>
              </w:rPr>
            </w:pPr>
            <w:r>
              <w:rPr>
                <w:rFonts w:ascii="Arial" w:cs="Arial" w:eastAsia="Arial" w:hAnsi="Arial"/>
                <w:sz w:val="14"/>
                <w:szCs w:val="14"/>
                <w:color w:val="auto"/>
              </w:rPr>
              <w:t>StereoVision Imaging, Inc. (12)</w:t>
            </w:r>
          </w:p>
        </w:tc>
        <w:tc>
          <w:tcPr>
            <w:tcW w:w="1260" w:type="dxa"/>
            <w:vAlign w:val="bottom"/>
          </w:tcPr>
          <w:p>
            <w:pPr>
              <w:spacing w:after="0"/>
              <w:rPr>
                <w:sz w:val="20"/>
                <w:szCs w:val="20"/>
                <w:color w:val="auto"/>
              </w:rPr>
            </w:pPr>
            <w:r>
              <w:rPr>
                <w:rFonts w:ascii="Arial" w:cs="Arial" w:eastAsia="Arial" w:hAnsi="Arial"/>
                <w:sz w:val="14"/>
                <w:szCs w:val="14"/>
                <w:color w:val="auto"/>
              </w:rPr>
              <w:t>Software</w:t>
            </w: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1,943,572 Common Stock</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791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791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top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Non-controlled Affiliate Equity</w:t>
            </w:r>
          </w:p>
        </w:tc>
        <w:tc>
          <w:tcPr>
            <w:tcW w:w="1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976</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866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rPr>
              <w:t>Total Non-controlled Affiliate Portfolio Investment Assets</w:t>
            </w:r>
          </w:p>
        </w:tc>
        <w:tc>
          <w:tcPr>
            <w:tcW w:w="12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7,882</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7,531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40" w:type="dxa"/>
            <w:vAlign w:val="bottom"/>
            <w:gridSpan w:val="2"/>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5"/>
              </w:rPr>
              <w:t>Controlled Affiliate Investments — 3.3% (8)</w:t>
            </w: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Controlled Affiliate Equity — Financial — 3.3% (8)</w:t>
            </w:r>
          </w:p>
        </w:tc>
        <w:tc>
          <w:tcPr>
            <w:tcW w:w="1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Horizon Secured Loan Fund I LLC (12)(14)</w:t>
            </w:r>
          </w:p>
        </w:tc>
        <w:tc>
          <w:tcPr>
            <w:tcW w:w="1260" w:type="dxa"/>
            <w:vAlign w:val="bottom"/>
            <w:shd w:val="clear" w:color="auto" w:fill="CCEEFF"/>
          </w:tcPr>
          <w:p>
            <w:pPr>
              <w:spacing w:after="0"/>
              <w:rPr>
                <w:sz w:val="20"/>
                <w:szCs w:val="20"/>
                <w:color w:val="auto"/>
              </w:rPr>
            </w:pPr>
            <w:r>
              <w:rPr>
                <w:rFonts w:ascii="Arial" w:cs="Arial" w:eastAsia="Arial" w:hAnsi="Arial"/>
                <w:sz w:val="14"/>
                <w:szCs w:val="14"/>
                <w:color w:val="auto"/>
              </w:rPr>
              <w:t>Investment funds</w:t>
            </w:r>
          </w:p>
        </w:tc>
        <w:tc>
          <w:tcPr>
            <w:tcW w:w="1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4,413</w:t>
            </w:r>
          </w:p>
        </w:tc>
        <w:tc>
          <w:tcPr>
            <w:tcW w:w="36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b w:val="1"/>
                <w:bCs w:val="1"/>
                <w:color w:val="auto"/>
              </w:rPr>
              <w:t>Total Controlled Affiliate Equity</w:t>
            </w:r>
          </w:p>
        </w:tc>
        <w:tc>
          <w:tcPr>
            <w:tcW w:w="1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4,413</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Borders>
              <w:bottom w:val="single" w:sz="8" w:color="CCEEFF"/>
            </w:tcBorders>
            <w:gridSpan w:val="3"/>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Controlled Affiliate Portfolio Investment Assets</w:t>
            </w:r>
          </w:p>
        </w:tc>
        <w:tc>
          <w:tcPr>
            <w:tcW w:w="120" w:type="dxa"/>
            <w:vAlign w:val="bottom"/>
            <w:tcBorders>
              <w:bottom w:val="single" w:sz="8" w:color="CCEEFF"/>
            </w:tcBorders>
            <w:shd w:val="clear" w:color="auto" w:fill="CCEEFF"/>
          </w:tcPr>
          <w:p>
            <w:pPr>
              <w:spacing w:after="0"/>
              <w:rPr>
                <w:sz w:val="13"/>
                <w:szCs w:val="13"/>
                <w:color w:val="auto"/>
              </w:rPr>
            </w:pPr>
          </w:p>
        </w:tc>
        <w:tc>
          <w:tcPr>
            <w:tcW w:w="3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4,413</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4,413</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Total Portfolio Investment Assets — 178.3%(8)</w:t>
            </w:r>
          </w:p>
        </w:tc>
        <w:tc>
          <w:tcPr>
            <w:tcW w:w="1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240,608</w:t>
            </w:r>
          </w:p>
        </w:tc>
        <w:tc>
          <w:tcPr>
            <w:tcW w:w="360" w:type="dxa"/>
            <w:vAlign w:val="bottom"/>
            <w:gridSpan w:val="2"/>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ind w:left="160"/>
              <w:spacing w:after="0" w:line="243" w:lineRule="exact"/>
              <w:rPr>
                <w:sz w:val="20"/>
                <w:szCs w:val="20"/>
                <w:color w:val="auto"/>
              </w:rPr>
            </w:pPr>
            <w:r>
              <w:rPr>
                <w:rFonts w:ascii="Arial" w:cs="Arial" w:eastAsia="Arial" w:hAnsi="Arial"/>
                <w:sz w:val="22"/>
                <w:szCs w:val="22"/>
                <w:color w:val="auto"/>
                <w:w w:val="90"/>
              </w:rPr>
              <w:t>239,757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2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40" w:type="dxa"/>
            <w:vAlign w:val="bottom"/>
            <w:gridSpan w:val="3"/>
            <w:vMerge w:val="continue"/>
            <w:shd w:val="clear" w:color="auto" w:fill="CCEEFF"/>
          </w:tcPr>
          <w:p>
            <w:pPr>
              <w:spacing w:after="0"/>
              <w:rPr>
                <w:sz w:val="4"/>
                <w:szCs w:val="4"/>
                <w:color w:val="auto"/>
              </w:rPr>
            </w:pPr>
          </w:p>
        </w:tc>
        <w:tc>
          <w:tcPr>
            <w:tcW w:w="1160" w:type="dxa"/>
            <w:vAlign w:val="bottom"/>
            <w:gridSpan w:val="2"/>
            <w:vMerge w:val="continue"/>
            <w:shd w:val="clear" w:color="auto" w:fill="CCEEFF"/>
          </w:tcPr>
          <w:p>
            <w:pPr>
              <w:spacing w:after="0"/>
              <w:rPr>
                <w:sz w:val="4"/>
                <w:szCs w:val="4"/>
                <w:color w:val="auto"/>
              </w:rPr>
            </w:pPr>
          </w:p>
        </w:tc>
        <w:tc>
          <w:tcPr>
            <w:tcW w:w="360" w:type="dxa"/>
            <w:vAlign w:val="bottom"/>
            <w:gridSpan w:val="2"/>
            <w:vMerge w:val="continue"/>
            <w:shd w:val="clear" w:color="auto" w:fill="CCEEFF"/>
          </w:tcPr>
          <w:p>
            <w:pPr>
              <w:spacing w:after="0"/>
              <w:rPr>
                <w:sz w:val="4"/>
                <w:szCs w:val="4"/>
                <w:color w:val="auto"/>
              </w:rPr>
            </w:pPr>
          </w:p>
        </w:tc>
        <w:tc>
          <w:tcPr>
            <w:tcW w:w="90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420" w:right="20" w:hanging="412"/>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investments of the Company are in entities which are organized under the laws of the United States and have a principal place of business in the United States.</w:t>
      </w:r>
    </w:p>
    <w:p>
      <w:pPr>
        <w:spacing w:after="0" w:line="170" w:lineRule="exact"/>
        <w:rPr>
          <w:rFonts w:ascii="Arial" w:cs="Arial" w:eastAsia="Arial" w:hAnsi="Arial"/>
          <w:sz w:val="18"/>
          <w:szCs w:val="18"/>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Has been pledged as collateral under the Key Facility.</w:t>
      </w:r>
    </w:p>
    <w:p>
      <w:pPr>
        <w:spacing w:after="0" w:line="225" w:lineRule="exact"/>
        <w:rPr>
          <w:rFonts w:ascii="Arial" w:cs="Arial" w:eastAsia="Arial" w:hAnsi="Arial"/>
          <w:sz w:val="18"/>
          <w:szCs w:val="18"/>
          <w:color w:val="auto"/>
        </w:rPr>
      </w:pPr>
    </w:p>
    <w:p>
      <w:pPr>
        <w:jc w:val="both"/>
        <w:ind w:left="420" w:hanging="412"/>
        <w:spacing w:after="0" w:line="25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non-affiliate investments are investments in which the Company owns less than 5% of the voting securities of the portfolio company. All non-controlled affiliate investments are investments in which the Company owns 5% or more of the voting securities of the portfolio company but not more than 25% of the voting securities of the portfolio company. All controlled affiliate investments are investments in which the Company owns more than 25% of the portfolio company’s outstanding voting securities or has the power to exercise control over management or policies of such portfolio company (including through a management agreement).</w:t>
      </w:r>
    </w:p>
    <w:p>
      <w:pPr>
        <w:spacing w:after="0" w:line="188" w:lineRule="exact"/>
        <w:rPr>
          <w:rFonts w:ascii="Arial" w:cs="Arial" w:eastAsia="Arial" w:hAnsi="Arial"/>
          <w:sz w:val="18"/>
          <w:szCs w:val="18"/>
          <w:color w:val="auto"/>
        </w:rPr>
      </w:pPr>
    </w:p>
    <w:p>
      <w:pPr>
        <w:jc w:val="both"/>
        <w:ind w:left="420" w:hanging="412"/>
        <w:spacing w:after="0" w:line="25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the Company’s debt investments. Interest rate is the annual interest rate on the debt investment and does not include end-of-term payments (“ETPs”) and any additional fees related to the investments, such as deferred interest, commitment fees or prepayment fees. Debt investments are at variable rates for the term of the debt investment, unless otherwise indicated. All debt investments based on the London InterBank Offered Rate (“LIBOR”) are based on one-month LIBOR. For each debt investment, the current interest rate in effect as of September 30, 2018 is provided.</w:t>
      </w:r>
    </w:p>
    <w:p>
      <w:pPr>
        <w:spacing w:after="0" w:line="188" w:lineRule="exact"/>
        <w:rPr>
          <w:rFonts w:ascii="Arial" w:cs="Arial" w:eastAsia="Arial" w:hAnsi="Arial"/>
          <w:sz w:val="18"/>
          <w:szCs w:val="18"/>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Warrants, Equity and Other Investments are non-income producing.</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Value as a percent of net assets.</w:t>
      </w:r>
    </w:p>
    <w:p>
      <w:pPr>
        <w:spacing w:after="0" w:line="225" w:lineRule="exact"/>
        <w:rPr>
          <w:rFonts w:ascii="Arial" w:cs="Arial" w:eastAsia="Arial" w:hAnsi="Arial"/>
          <w:sz w:val="18"/>
          <w:szCs w:val="18"/>
          <w:color w:val="auto"/>
        </w:rPr>
      </w:pPr>
    </w:p>
    <w:p>
      <w:pPr>
        <w:jc w:val="both"/>
        <w:ind w:left="420" w:hanging="412"/>
        <w:spacing w:after="0" w:line="264"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September 30, 2018, 1.8% of the Company’s total investments on a cost and fair value basis are in non-qualifying assets. Under the Investment Company Act of 1940, as amended (the “1940 Act”), the Company may not acquire any non-qualifying assets unless, at the time the acquisition is made, qualifying assets represent at least 70% of the Company’s total assets.</w:t>
      </w:r>
    </w:p>
    <w:p>
      <w:pPr>
        <w:spacing w:after="0" w:line="181" w:lineRule="exact"/>
        <w:rPr>
          <w:rFonts w:ascii="Arial" w:cs="Arial" w:eastAsia="Arial" w:hAnsi="Arial"/>
          <w:sz w:val="18"/>
          <w:szCs w:val="18"/>
          <w:color w:val="auto"/>
        </w:rPr>
      </w:pPr>
    </w:p>
    <w:p>
      <w:pPr>
        <w:jc w:val="both"/>
        <w:ind w:left="420" w:hanging="412"/>
        <w:spacing w:after="0" w:line="259"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spacing w:after="0" w:line="186" w:lineRule="exact"/>
        <w:rPr>
          <w:rFonts w:ascii="Arial" w:cs="Arial" w:eastAsia="Arial" w:hAnsi="Arial"/>
          <w:sz w:val="18"/>
          <w:szCs w:val="18"/>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Debt investment has a payment-in-kind (“PIK”) feature.</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fair value of the investment was valued using significant unobservable inputs.</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Signature US, Inc. is a subsidiary of BSI Platform Holdings, LLC.</w:t>
      </w:r>
    </w:p>
    <w:p>
      <w:pPr>
        <w:spacing w:after="0" w:line="252" w:lineRule="exact"/>
        <w:rPr>
          <w:rFonts w:ascii="Arial" w:cs="Arial" w:eastAsia="Arial" w:hAnsi="Arial"/>
          <w:sz w:val="18"/>
          <w:szCs w:val="18"/>
          <w:color w:val="auto"/>
        </w:rPr>
      </w:pPr>
    </w:p>
    <w:p>
      <w:pPr>
        <w:jc w:val="both"/>
        <w:ind w:left="420" w:hanging="412"/>
        <w:spacing w:after="0" w:line="312" w:lineRule="auto"/>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June 1, 2018, the Company entered into an agreement with Arena Sunset SPV, LLC (“Arena”) to co-invest through Horizon Secured Loan Fund I (“HSLFI”), a joint venture, which is expected to make investments, either directly or indirectly through subsidiaries, primarily in the form of secured loans to development-stage companies in the technology, life science, healthcare information and services and cleantech industries. All HSLFI</w:t>
      </w:r>
    </w:p>
    <w:p>
      <w:pPr>
        <w:sectPr>
          <w:pgSz w:w="11900" w:h="16838" w:orient="portrait"/>
          <w:cols w:equalWidth="0" w:num="1">
            <w:col w:w="11420"/>
          </w:cols>
          <w:pgMar w:left="240" w:top="904" w:right="239" w:bottom="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investment decisions require unanimous approval of a quorum of HSLFI’s board of managers. Although the Company owns more than 25% of the voting securities of HSLFI, the Company does not believe it controls HSLFI for purposes of the 1940 Act or otherwise.</w:t>
      </w:r>
    </w:p>
    <w:p>
      <w:pPr>
        <w:spacing w:after="0" w:line="17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See Notes to Consolidated Financial Statements</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177800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0"/>
          </w:cols>
          <w:pgMar w:left="660" w:top="125"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Principal</w:t>
            </w:r>
          </w:p>
        </w:tc>
        <w:tc>
          <w:tcPr>
            <w:tcW w:w="8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Cost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r>
      <w:tr>
        <w:trPr>
          <w:trHeight w:val="171"/>
        </w:trPr>
        <w:tc>
          <w:tcPr>
            <w:tcW w:w="2520" w:type="dxa"/>
            <w:vAlign w:val="bottom"/>
          </w:tcPr>
          <w:p>
            <w:pPr>
              <w:spacing w:after="0"/>
              <w:rPr>
                <w:sz w:val="20"/>
                <w:szCs w:val="20"/>
                <w:color w:val="auto"/>
              </w:rPr>
            </w:pPr>
            <w:r>
              <w:rPr>
                <w:rFonts w:ascii="Arial" w:cs="Arial" w:eastAsia="Arial" w:hAnsi="Arial"/>
                <w:sz w:val="14"/>
                <w:szCs w:val="14"/>
                <w:b w:val="1"/>
                <w:bCs w:val="1"/>
                <w:color w:val="auto"/>
              </w:rPr>
              <w:t>Portfolio Company (1)(3)</w:t>
            </w:r>
          </w:p>
        </w:tc>
        <w:tc>
          <w:tcPr>
            <w:tcW w:w="1920" w:type="dxa"/>
            <w:vAlign w:val="bottom"/>
          </w:tcPr>
          <w:p>
            <w:pPr>
              <w:ind w:left="760"/>
              <w:spacing w:after="0"/>
              <w:rPr>
                <w:sz w:val="20"/>
                <w:szCs w:val="20"/>
                <w:color w:val="auto"/>
              </w:rPr>
            </w:pPr>
            <w:r>
              <w:rPr>
                <w:rFonts w:ascii="Arial" w:cs="Arial" w:eastAsia="Arial" w:hAnsi="Arial"/>
                <w:sz w:val="14"/>
                <w:szCs w:val="14"/>
                <w:b w:val="1"/>
                <w:bCs w:val="1"/>
                <w:color w:val="auto"/>
              </w:rPr>
              <w:t>Sector</w:t>
            </w:r>
          </w:p>
        </w:tc>
        <w:tc>
          <w:tcPr>
            <w:tcW w:w="3180" w:type="dxa"/>
            <w:vAlign w:val="bottom"/>
            <w:gridSpan w:val="2"/>
          </w:tcPr>
          <w:p>
            <w:pPr>
              <w:ind w:left="600"/>
              <w:spacing w:after="0"/>
              <w:rPr>
                <w:sz w:val="20"/>
                <w:szCs w:val="20"/>
                <w:color w:val="auto"/>
              </w:rPr>
            </w:pPr>
            <w:r>
              <w:rPr>
                <w:rFonts w:ascii="Arial" w:cs="Arial" w:eastAsia="Arial" w:hAnsi="Arial"/>
                <w:sz w:val="14"/>
                <w:szCs w:val="14"/>
                <w:b w:val="1"/>
                <w:bCs w:val="1"/>
                <w:color w:val="auto"/>
              </w:rPr>
              <w:t>Type of Investment (4)(7)(9)(10)</w:t>
            </w:r>
          </w:p>
        </w:tc>
        <w:tc>
          <w:tcPr>
            <w:tcW w:w="16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Investments (6)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2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96"/>
              </w:rPr>
              <w:t>Non-Affiliate Investments — 161.8% (8)</w:t>
            </w:r>
          </w:p>
        </w:tc>
        <w:tc>
          <w:tcPr>
            <w:tcW w:w="1920" w:type="dxa"/>
            <w:vAlign w:val="bottom"/>
            <w:tcBorders>
              <w:top w:val="single" w:sz="8" w:color="auto"/>
            </w:tcBorders>
            <w:shd w:val="clear" w:color="auto" w:fill="CCEEFF"/>
          </w:tcPr>
          <w:p>
            <w:pPr>
              <w:spacing w:after="0"/>
              <w:rPr>
                <w:sz w:val="12"/>
                <w:szCs w:val="12"/>
                <w:color w:val="auto"/>
              </w:rPr>
            </w:pPr>
          </w:p>
        </w:tc>
        <w:tc>
          <w:tcPr>
            <w:tcW w:w="3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4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Non-Affiliate Debt Investments — 148.4% (8)</w:t>
            </w: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Debt Investments — Life Science — 43.0% (8)</w:t>
            </w:r>
          </w:p>
        </w:tc>
        <w:tc>
          <w:tcPr>
            <w:tcW w:w="3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rPr>
              <w:t>Palatin Technologies, Inc. (2)(5)(14)</w:t>
            </w:r>
          </w:p>
        </w:tc>
        <w:tc>
          <w:tcPr>
            <w:tcW w:w="1920" w:type="dxa"/>
            <w:vAlign w:val="bottom"/>
          </w:tcPr>
          <w:p>
            <w:pPr>
              <w:ind w:left="40"/>
              <w:spacing w:after="0" w:line="130" w:lineRule="exact"/>
              <w:rPr>
                <w:sz w:val="20"/>
                <w:szCs w:val="20"/>
                <w:color w:val="auto"/>
              </w:rPr>
            </w:pPr>
            <w:r>
              <w:rPr>
                <w:rFonts w:ascii="Arial" w:cs="Arial" w:eastAsia="Arial" w:hAnsi="Arial"/>
                <w:sz w:val="14"/>
                <w:szCs w:val="14"/>
                <w:color w:val="auto"/>
              </w:rPr>
              <w:t>Biotechnology</w:t>
            </w:r>
          </w:p>
        </w:tc>
        <w:tc>
          <w:tcPr>
            <w:tcW w:w="318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Loan (9.87% cash (Libor + 8.50%; Floor</w:t>
            </w:r>
          </w:p>
        </w:tc>
        <w:tc>
          <w:tcPr>
            <w:tcW w:w="160" w:type="dxa"/>
            <w:vAlign w:val="bottom"/>
          </w:tcPr>
          <w:p>
            <w:pPr>
              <w:jc w:val="right"/>
              <w:ind w:right="8"/>
              <w:spacing w:after="0" w:line="130"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2,000</w:t>
            </w:r>
          </w:p>
        </w:tc>
        <w:tc>
          <w:tcPr>
            <w:tcW w:w="80" w:type="dxa"/>
            <w:vAlign w:val="bottom"/>
          </w:tcPr>
          <w:p>
            <w:pPr>
              <w:jc w:val="right"/>
              <w:spacing w:after="0" w:line="130"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1,980</w:t>
            </w:r>
          </w:p>
        </w:tc>
        <w:tc>
          <w:tcPr>
            <w:tcW w:w="320" w:type="dxa"/>
            <w:vAlign w:val="bottom"/>
            <w:gridSpan w:val="2"/>
          </w:tcPr>
          <w:p>
            <w:pPr>
              <w:jc w:val="right"/>
              <w:ind w:right="140"/>
              <w:spacing w:after="0" w:line="130"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1,980</w:t>
            </w:r>
          </w:p>
        </w:tc>
      </w:tr>
      <w:tr>
        <w:trPr>
          <w:trHeight w:val="167"/>
        </w:trPr>
        <w:tc>
          <w:tcPr>
            <w:tcW w:w="2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180" w:type="dxa"/>
            <w:vAlign w:val="bottom"/>
            <w:gridSpan w:val="2"/>
          </w:tcPr>
          <w:p>
            <w:pPr>
              <w:ind w:left="60"/>
              <w:spacing w:after="0"/>
              <w:rPr>
                <w:sz w:val="20"/>
                <w:szCs w:val="20"/>
                <w:color w:val="auto"/>
              </w:rPr>
            </w:pPr>
            <w:r>
              <w:rPr>
                <w:rFonts w:ascii="Arial" w:cs="Arial" w:eastAsia="Arial" w:hAnsi="Arial"/>
                <w:sz w:val="14"/>
                <w:szCs w:val="14"/>
                <w:color w:val="auto"/>
              </w:rPr>
              <w:t>9.00%), 5.00% ETP, Due 1/1/19)</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5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318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(9.87% cash (Libor + 8.50%; Floor</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3,167</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3,139</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3,139</w:t>
            </w:r>
          </w:p>
        </w:tc>
      </w:tr>
      <w:tr>
        <w:trPr>
          <w:trHeight w:val="167"/>
        </w:trPr>
        <w:tc>
          <w:tcPr>
            <w:tcW w:w="25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9.00%), 5.00% ETP, Due 8/1/19)</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rPr>
              <w:t>vTv Therapeutics Inc. (2)(5)(14)</w:t>
            </w:r>
          </w:p>
        </w:tc>
        <w:tc>
          <w:tcPr>
            <w:tcW w:w="1920" w:type="dxa"/>
            <w:vAlign w:val="bottom"/>
          </w:tcPr>
          <w:p>
            <w:pPr>
              <w:ind w:left="40"/>
              <w:spacing w:after="0" w:line="130" w:lineRule="exact"/>
              <w:rPr>
                <w:sz w:val="20"/>
                <w:szCs w:val="20"/>
                <w:color w:val="auto"/>
              </w:rPr>
            </w:pPr>
            <w:r>
              <w:rPr>
                <w:rFonts w:ascii="Arial" w:cs="Arial" w:eastAsia="Arial" w:hAnsi="Arial"/>
                <w:sz w:val="14"/>
                <w:szCs w:val="14"/>
                <w:color w:val="auto"/>
              </w:rPr>
              <w:t>Biotechnology</w:t>
            </w:r>
          </w:p>
        </w:tc>
        <w:tc>
          <w:tcPr>
            <w:tcW w:w="318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Loan (11.37% cash (Libor + 10.00%; Floor</w:t>
            </w:r>
          </w:p>
        </w:tc>
        <w:tc>
          <w:tcPr>
            <w:tcW w:w="160" w:type="dxa"/>
            <w:vAlign w:val="bottom"/>
          </w:tcPr>
          <w:p>
            <w:pPr>
              <w:spacing w:after="0"/>
              <w:rPr>
                <w:sz w:val="11"/>
                <w:szCs w:val="11"/>
                <w:color w:val="auto"/>
              </w:rPr>
            </w:pPr>
          </w:p>
        </w:tc>
        <w:tc>
          <w:tcPr>
            <w:tcW w:w="11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6,250</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6,196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6,196</w:t>
            </w:r>
          </w:p>
        </w:tc>
      </w:tr>
      <w:tr>
        <w:trPr>
          <w:trHeight w:val="167"/>
        </w:trPr>
        <w:tc>
          <w:tcPr>
            <w:tcW w:w="2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180" w:type="dxa"/>
            <w:vAlign w:val="bottom"/>
            <w:gridSpan w:val="2"/>
          </w:tcPr>
          <w:p>
            <w:pPr>
              <w:ind w:left="60"/>
              <w:spacing w:after="0"/>
              <w:rPr>
                <w:sz w:val="20"/>
                <w:szCs w:val="20"/>
                <w:color w:val="auto"/>
              </w:rPr>
            </w:pPr>
            <w:r>
              <w:rPr>
                <w:rFonts w:ascii="Arial" w:cs="Arial" w:eastAsia="Arial" w:hAnsi="Arial"/>
                <w:sz w:val="14"/>
                <w:szCs w:val="14"/>
                <w:color w:val="auto"/>
              </w:rPr>
              <w:t>10.50%), 6.00% ETP, Due 5/1/20)</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5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318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(11.37% cash (Libor + 10.00%; Floor</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3,750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3,700</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3,700</w:t>
            </w:r>
          </w:p>
        </w:tc>
      </w:tr>
      <w:tr>
        <w:trPr>
          <w:trHeight w:val="167"/>
        </w:trPr>
        <w:tc>
          <w:tcPr>
            <w:tcW w:w="25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10.50%), 6.00% ETP, Due 10/1/20)</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rPr>
              <w:t>Titan Pharmaceuticals, Inc. (2)(5)(14)</w:t>
            </w:r>
          </w:p>
        </w:tc>
        <w:tc>
          <w:tcPr>
            <w:tcW w:w="1920" w:type="dxa"/>
            <w:vAlign w:val="bottom"/>
          </w:tcPr>
          <w:p>
            <w:pPr>
              <w:ind w:left="40"/>
              <w:spacing w:after="0" w:line="130" w:lineRule="exact"/>
              <w:rPr>
                <w:sz w:val="20"/>
                <w:szCs w:val="20"/>
                <w:color w:val="auto"/>
              </w:rPr>
            </w:pPr>
            <w:r>
              <w:rPr>
                <w:rFonts w:ascii="Arial" w:cs="Arial" w:eastAsia="Arial" w:hAnsi="Arial"/>
                <w:sz w:val="14"/>
                <w:szCs w:val="14"/>
                <w:color w:val="auto"/>
              </w:rPr>
              <w:t>Drug Delivery</w:t>
            </w:r>
          </w:p>
        </w:tc>
        <w:tc>
          <w:tcPr>
            <w:tcW w:w="318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Loan (9.77% cash (Libor + 8.40%; Floor</w:t>
            </w:r>
          </w:p>
        </w:tc>
        <w:tc>
          <w:tcPr>
            <w:tcW w:w="160" w:type="dxa"/>
            <w:vAlign w:val="bottom"/>
          </w:tcPr>
          <w:p>
            <w:pPr>
              <w:spacing w:after="0"/>
              <w:rPr>
                <w:sz w:val="11"/>
                <w:szCs w:val="11"/>
                <w:color w:val="auto"/>
              </w:rPr>
            </w:pPr>
          </w:p>
        </w:tc>
        <w:tc>
          <w:tcPr>
            <w:tcW w:w="11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3,500</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3,400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3,400</w:t>
            </w:r>
          </w:p>
        </w:tc>
      </w:tr>
      <w:tr>
        <w:trPr>
          <w:trHeight w:val="167"/>
        </w:trPr>
        <w:tc>
          <w:tcPr>
            <w:tcW w:w="2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180" w:type="dxa"/>
            <w:vAlign w:val="bottom"/>
            <w:gridSpan w:val="2"/>
          </w:tcPr>
          <w:p>
            <w:pPr>
              <w:ind w:left="60"/>
              <w:spacing w:after="0"/>
              <w:rPr>
                <w:sz w:val="20"/>
                <w:szCs w:val="20"/>
                <w:color w:val="auto"/>
              </w:rPr>
            </w:pPr>
            <w:r>
              <w:rPr>
                <w:rFonts w:ascii="Arial" w:cs="Arial" w:eastAsia="Arial" w:hAnsi="Arial"/>
                <w:sz w:val="14"/>
                <w:szCs w:val="14"/>
                <w:color w:val="auto"/>
              </w:rPr>
              <w:t>9.50%), 5.00% ETP, Due 6/1/21)</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5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318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(9.77% cash (Libor + 8.40%; Floor</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3,500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3,430</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3,430</w:t>
            </w:r>
          </w:p>
        </w:tc>
      </w:tr>
      <w:tr>
        <w:trPr>
          <w:trHeight w:val="167"/>
        </w:trPr>
        <w:tc>
          <w:tcPr>
            <w:tcW w:w="25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9.50%), 5.00% ETP, Due 6/1/21)</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rPr>
              <w:t>Aerin Medical, Inc. (2)(14)</w:t>
            </w:r>
          </w:p>
        </w:tc>
        <w:tc>
          <w:tcPr>
            <w:tcW w:w="1920" w:type="dxa"/>
            <w:vAlign w:val="bottom"/>
          </w:tcPr>
          <w:p>
            <w:pPr>
              <w:ind w:left="40"/>
              <w:spacing w:after="0" w:line="130" w:lineRule="exact"/>
              <w:rPr>
                <w:sz w:val="20"/>
                <w:szCs w:val="20"/>
                <w:color w:val="auto"/>
              </w:rPr>
            </w:pPr>
            <w:r>
              <w:rPr>
                <w:rFonts w:ascii="Arial" w:cs="Arial" w:eastAsia="Arial" w:hAnsi="Arial"/>
                <w:sz w:val="14"/>
                <w:szCs w:val="14"/>
                <w:color w:val="auto"/>
              </w:rPr>
              <w:t>Medical Device</w:t>
            </w:r>
          </w:p>
        </w:tc>
        <w:tc>
          <w:tcPr>
            <w:tcW w:w="318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Loan (8.85% cash (Libor + 7.45%; Floor</w:t>
            </w:r>
          </w:p>
        </w:tc>
        <w:tc>
          <w:tcPr>
            <w:tcW w:w="160" w:type="dxa"/>
            <w:vAlign w:val="bottom"/>
          </w:tcPr>
          <w:p>
            <w:pPr>
              <w:spacing w:after="0"/>
              <w:rPr>
                <w:sz w:val="11"/>
                <w:szCs w:val="11"/>
                <w:color w:val="auto"/>
              </w:rPr>
            </w:pPr>
          </w:p>
        </w:tc>
        <w:tc>
          <w:tcPr>
            <w:tcW w:w="11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3,876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3,876</w:t>
            </w:r>
          </w:p>
        </w:tc>
      </w:tr>
      <w:tr>
        <w:trPr>
          <w:trHeight w:val="167"/>
        </w:trPr>
        <w:tc>
          <w:tcPr>
            <w:tcW w:w="2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180" w:type="dxa"/>
            <w:vAlign w:val="bottom"/>
            <w:gridSpan w:val="2"/>
          </w:tcPr>
          <w:p>
            <w:pPr>
              <w:ind w:left="60"/>
              <w:spacing w:after="0"/>
              <w:rPr>
                <w:sz w:val="20"/>
                <w:szCs w:val="20"/>
                <w:color w:val="auto"/>
              </w:rPr>
            </w:pPr>
            <w:r>
              <w:rPr>
                <w:rFonts w:ascii="Arial" w:cs="Arial" w:eastAsia="Arial" w:hAnsi="Arial"/>
                <w:sz w:val="14"/>
                <w:szCs w:val="14"/>
                <w:color w:val="auto"/>
              </w:rPr>
              <w:t>8.75%), 4.00% ETP, Due 1/1/22)</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5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318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(8.85% cash (Libor + 7.45%; Floor</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2,954</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2,954</w:t>
            </w:r>
          </w:p>
        </w:tc>
      </w:tr>
      <w:tr>
        <w:trPr>
          <w:trHeight w:val="167"/>
        </w:trPr>
        <w:tc>
          <w:tcPr>
            <w:tcW w:w="25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8.75%), 4.00% ETP, Due 1/1/22)</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5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18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Loan (8.85% cash (Libor + 7.45%; Floor</w:t>
            </w:r>
          </w:p>
        </w:tc>
        <w:tc>
          <w:tcPr>
            <w:tcW w:w="160" w:type="dxa"/>
            <w:vAlign w:val="bottom"/>
          </w:tcPr>
          <w:p>
            <w:pPr>
              <w:spacing w:after="0"/>
              <w:rPr>
                <w:sz w:val="11"/>
                <w:szCs w:val="11"/>
                <w:color w:val="auto"/>
              </w:rPr>
            </w:pPr>
          </w:p>
        </w:tc>
        <w:tc>
          <w:tcPr>
            <w:tcW w:w="11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2,954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2,954</w:t>
            </w:r>
          </w:p>
        </w:tc>
      </w:tr>
      <w:tr>
        <w:trPr>
          <w:trHeight w:val="167"/>
        </w:trPr>
        <w:tc>
          <w:tcPr>
            <w:tcW w:w="2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180" w:type="dxa"/>
            <w:vAlign w:val="bottom"/>
            <w:gridSpan w:val="2"/>
          </w:tcPr>
          <w:p>
            <w:pPr>
              <w:ind w:left="60"/>
              <w:spacing w:after="0"/>
              <w:rPr>
                <w:sz w:val="20"/>
                <w:szCs w:val="20"/>
                <w:color w:val="auto"/>
              </w:rPr>
            </w:pPr>
            <w:r>
              <w:rPr>
                <w:rFonts w:ascii="Arial" w:cs="Arial" w:eastAsia="Arial" w:hAnsi="Arial"/>
                <w:sz w:val="14"/>
                <w:szCs w:val="14"/>
                <w:color w:val="auto"/>
              </w:rPr>
              <w:t>8.75%), 4.00% ETP, Due 1/1/22)</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Conventus Orthopaedics, Inc. (2)(14)</w:t>
            </w:r>
          </w:p>
        </w:tc>
        <w:tc>
          <w:tcPr>
            <w:tcW w:w="19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Medical Device</w:t>
            </w:r>
          </w:p>
        </w:tc>
        <w:tc>
          <w:tcPr>
            <w:tcW w:w="318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(9.49% cash (Libor + 8.00%; Floor</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3,928</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3,928</w:t>
            </w:r>
          </w:p>
        </w:tc>
      </w:tr>
      <w:tr>
        <w:trPr>
          <w:trHeight w:val="167"/>
        </w:trPr>
        <w:tc>
          <w:tcPr>
            <w:tcW w:w="25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9.25%), 6.00% ETP, Due 6/1/21)</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5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18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Loan (9.49% cash (Libor + 8.00%; Floor</w:t>
            </w:r>
          </w:p>
        </w:tc>
        <w:tc>
          <w:tcPr>
            <w:tcW w:w="160" w:type="dxa"/>
            <w:vAlign w:val="bottom"/>
          </w:tcPr>
          <w:p>
            <w:pPr>
              <w:spacing w:after="0"/>
              <w:rPr>
                <w:sz w:val="11"/>
                <w:szCs w:val="11"/>
                <w:color w:val="auto"/>
              </w:rPr>
            </w:pPr>
          </w:p>
        </w:tc>
        <w:tc>
          <w:tcPr>
            <w:tcW w:w="11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3,928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3,928</w:t>
            </w:r>
          </w:p>
        </w:tc>
      </w:tr>
      <w:tr>
        <w:trPr>
          <w:trHeight w:val="167"/>
        </w:trPr>
        <w:tc>
          <w:tcPr>
            <w:tcW w:w="2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180" w:type="dxa"/>
            <w:vAlign w:val="bottom"/>
            <w:gridSpan w:val="2"/>
          </w:tcPr>
          <w:p>
            <w:pPr>
              <w:ind w:left="60"/>
              <w:spacing w:after="0"/>
              <w:rPr>
                <w:sz w:val="20"/>
                <w:szCs w:val="20"/>
                <w:color w:val="auto"/>
              </w:rPr>
            </w:pPr>
            <w:r>
              <w:rPr>
                <w:rFonts w:ascii="Arial" w:cs="Arial" w:eastAsia="Arial" w:hAnsi="Arial"/>
                <w:sz w:val="14"/>
                <w:szCs w:val="14"/>
                <w:color w:val="auto"/>
              </w:rPr>
              <w:t>9.25%), 6.00% ETP, Due 6/1/21)</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5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318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(9.49% cash (Libor + 8.00%; Floor</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3,928</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3,928</w:t>
            </w:r>
          </w:p>
        </w:tc>
      </w:tr>
      <w:tr>
        <w:trPr>
          <w:trHeight w:val="167"/>
        </w:trPr>
        <w:tc>
          <w:tcPr>
            <w:tcW w:w="25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9.25%), 6.00% ETP, Due 6/1/21)</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rPr>
              <w:t>Lantos Technologies, Inc. (2)(14)</w:t>
            </w:r>
          </w:p>
        </w:tc>
        <w:tc>
          <w:tcPr>
            <w:tcW w:w="1920" w:type="dxa"/>
            <w:vAlign w:val="bottom"/>
          </w:tcPr>
          <w:p>
            <w:pPr>
              <w:ind w:left="40"/>
              <w:spacing w:after="0" w:line="130" w:lineRule="exact"/>
              <w:rPr>
                <w:sz w:val="20"/>
                <w:szCs w:val="20"/>
                <w:color w:val="auto"/>
              </w:rPr>
            </w:pPr>
            <w:r>
              <w:rPr>
                <w:rFonts w:ascii="Arial" w:cs="Arial" w:eastAsia="Arial" w:hAnsi="Arial"/>
                <w:sz w:val="14"/>
                <w:szCs w:val="14"/>
                <w:color w:val="auto"/>
              </w:rPr>
              <w:t>Medical Device</w:t>
            </w:r>
          </w:p>
        </w:tc>
        <w:tc>
          <w:tcPr>
            <w:tcW w:w="318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Loan (11.87% PIK (Libor + 10.50%; Floor</w:t>
            </w:r>
          </w:p>
        </w:tc>
        <w:tc>
          <w:tcPr>
            <w:tcW w:w="160" w:type="dxa"/>
            <w:vAlign w:val="bottom"/>
          </w:tcPr>
          <w:p>
            <w:pPr>
              <w:spacing w:after="0"/>
              <w:rPr>
                <w:sz w:val="11"/>
                <w:szCs w:val="11"/>
                <w:color w:val="auto"/>
              </w:rPr>
            </w:pPr>
          </w:p>
        </w:tc>
        <w:tc>
          <w:tcPr>
            <w:tcW w:w="11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2,479</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2,466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2,466</w:t>
            </w:r>
          </w:p>
        </w:tc>
      </w:tr>
      <w:tr>
        <w:trPr>
          <w:trHeight w:val="167"/>
        </w:trPr>
        <w:tc>
          <w:tcPr>
            <w:tcW w:w="2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180" w:type="dxa"/>
            <w:vAlign w:val="bottom"/>
            <w:gridSpan w:val="2"/>
          </w:tcPr>
          <w:p>
            <w:pPr>
              <w:ind w:left="60"/>
              <w:spacing w:after="0"/>
              <w:rPr>
                <w:sz w:val="20"/>
                <w:szCs w:val="20"/>
                <w:color w:val="auto"/>
              </w:rPr>
            </w:pPr>
            <w:r>
              <w:rPr>
                <w:rFonts w:ascii="Arial" w:cs="Arial" w:eastAsia="Arial" w:hAnsi="Arial"/>
                <w:sz w:val="14"/>
                <w:szCs w:val="14"/>
                <w:color w:val="auto"/>
              </w:rPr>
              <w:t>11.50%), 8.91% ETP, Due 5/1/19) (13)</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Mederi Therapeutics, Inc. (2)(14)</w:t>
            </w:r>
          </w:p>
        </w:tc>
        <w:tc>
          <w:tcPr>
            <w:tcW w:w="19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Medical Device</w:t>
            </w:r>
          </w:p>
        </w:tc>
        <w:tc>
          <w:tcPr>
            <w:tcW w:w="318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(13.01% cash (Libor + 11.82%; Floor</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173</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163</w:t>
            </w:r>
          </w:p>
        </w:tc>
      </w:tr>
      <w:tr>
        <w:trPr>
          <w:trHeight w:val="167"/>
        </w:trPr>
        <w:tc>
          <w:tcPr>
            <w:tcW w:w="25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12.00%), 6.00% ETP, Due 12/1/17)</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5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18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Loan (13.01% cash (Libor + 11.82%; Floor</w:t>
            </w:r>
          </w:p>
        </w:tc>
        <w:tc>
          <w:tcPr>
            <w:tcW w:w="160" w:type="dxa"/>
            <w:vAlign w:val="bottom"/>
          </w:tcPr>
          <w:p>
            <w:pPr>
              <w:spacing w:after="0"/>
              <w:rPr>
                <w:sz w:val="11"/>
                <w:szCs w:val="11"/>
                <w:color w:val="auto"/>
              </w:rPr>
            </w:pPr>
          </w:p>
        </w:tc>
        <w:tc>
          <w:tcPr>
            <w:tcW w:w="11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173</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173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163</w:t>
            </w:r>
          </w:p>
        </w:tc>
      </w:tr>
      <w:tr>
        <w:trPr>
          <w:trHeight w:val="167"/>
        </w:trPr>
        <w:tc>
          <w:tcPr>
            <w:tcW w:w="2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180" w:type="dxa"/>
            <w:vAlign w:val="bottom"/>
            <w:gridSpan w:val="2"/>
          </w:tcPr>
          <w:p>
            <w:pPr>
              <w:ind w:left="60"/>
              <w:spacing w:after="0"/>
              <w:rPr>
                <w:sz w:val="20"/>
                <w:szCs w:val="20"/>
                <w:color w:val="auto"/>
              </w:rPr>
            </w:pPr>
            <w:r>
              <w:rPr>
                <w:rFonts w:ascii="Arial" w:cs="Arial" w:eastAsia="Arial" w:hAnsi="Arial"/>
                <w:sz w:val="14"/>
                <w:szCs w:val="14"/>
                <w:color w:val="auto"/>
              </w:rPr>
              <w:t>12.00%), 6.00% ETP, Due 12/1/17)</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NinePoint Medical, Inc. (2)(14)</w:t>
            </w:r>
          </w:p>
        </w:tc>
        <w:tc>
          <w:tcPr>
            <w:tcW w:w="19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Medical Device</w:t>
            </w:r>
          </w:p>
        </w:tc>
        <w:tc>
          <w:tcPr>
            <w:tcW w:w="318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(10.12% cash (Libor + 8.75%; Floor</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2,667</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2,645</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2,645</w:t>
            </w:r>
          </w:p>
        </w:tc>
      </w:tr>
      <w:tr>
        <w:trPr>
          <w:trHeight w:val="167"/>
        </w:trPr>
        <w:tc>
          <w:tcPr>
            <w:tcW w:w="25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9.25%), 4.50% ETP, Due 3/1/19)</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5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18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Loan (10.12% cash (Libor + 8.75%; Floor</w:t>
            </w:r>
          </w:p>
        </w:tc>
        <w:tc>
          <w:tcPr>
            <w:tcW w:w="160" w:type="dxa"/>
            <w:vAlign w:val="bottom"/>
          </w:tcPr>
          <w:p>
            <w:pPr>
              <w:spacing w:after="0"/>
              <w:rPr>
                <w:sz w:val="11"/>
                <w:szCs w:val="11"/>
                <w:color w:val="auto"/>
              </w:rPr>
            </w:pPr>
          </w:p>
        </w:tc>
        <w:tc>
          <w:tcPr>
            <w:tcW w:w="11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1,333</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1,320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1,320</w:t>
            </w:r>
          </w:p>
        </w:tc>
      </w:tr>
      <w:tr>
        <w:trPr>
          <w:trHeight w:val="167"/>
        </w:trPr>
        <w:tc>
          <w:tcPr>
            <w:tcW w:w="2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180" w:type="dxa"/>
            <w:vAlign w:val="bottom"/>
            <w:gridSpan w:val="2"/>
          </w:tcPr>
          <w:p>
            <w:pPr>
              <w:ind w:left="60"/>
              <w:spacing w:after="0"/>
              <w:rPr>
                <w:sz w:val="20"/>
                <w:szCs w:val="20"/>
                <w:color w:val="auto"/>
              </w:rPr>
            </w:pPr>
            <w:r>
              <w:rPr>
                <w:rFonts w:ascii="Arial" w:cs="Arial" w:eastAsia="Arial" w:hAnsi="Arial"/>
                <w:sz w:val="14"/>
                <w:szCs w:val="14"/>
                <w:color w:val="auto"/>
              </w:rPr>
              <w:t>9.25%), 4.50% ETP, Due 3/1/19)</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VERO Biotech LLC (2)(14)</w:t>
            </w:r>
          </w:p>
        </w:tc>
        <w:tc>
          <w:tcPr>
            <w:tcW w:w="19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Medical Device</w:t>
            </w:r>
          </w:p>
        </w:tc>
        <w:tc>
          <w:tcPr>
            <w:tcW w:w="318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(9.33% cash (Libor + 8.00%; Floor</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3,914</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3,914</w:t>
            </w:r>
          </w:p>
        </w:tc>
      </w:tr>
      <w:tr>
        <w:trPr>
          <w:trHeight w:val="167"/>
        </w:trPr>
        <w:tc>
          <w:tcPr>
            <w:tcW w:w="25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9.25%), 5.00% ETP, Due 1/1/22)</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3"/>
        </w:trPr>
        <w:tc>
          <w:tcPr>
            <w:tcW w:w="25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180" w:type="dxa"/>
            <w:vAlign w:val="bottom"/>
            <w:gridSpan w:val="2"/>
          </w:tcPr>
          <w:p>
            <w:pPr>
              <w:ind w:left="60"/>
              <w:spacing w:after="0" w:line="143" w:lineRule="exact"/>
              <w:rPr>
                <w:sz w:val="20"/>
                <w:szCs w:val="20"/>
                <w:color w:val="auto"/>
              </w:rPr>
            </w:pPr>
            <w:r>
              <w:rPr>
                <w:rFonts w:ascii="Arial" w:cs="Arial" w:eastAsia="Arial" w:hAnsi="Arial"/>
                <w:sz w:val="14"/>
                <w:szCs w:val="14"/>
                <w:color w:val="auto"/>
              </w:rPr>
              <w:t>Term Loan (9.33% cash (Libor + 8.00%; Floor</w:t>
            </w:r>
          </w:p>
        </w:tc>
        <w:tc>
          <w:tcPr>
            <w:tcW w:w="160" w:type="dxa"/>
            <w:vAlign w:val="bottom"/>
          </w:tcPr>
          <w:p>
            <w:pPr>
              <w:spacing w:after="0"/>
              <w:rPr>
                <w:sz w:val="12"/>
                <w:szCs w:val="12"/>
                <w:color w:val="auto"/>
              </w:rPr>
            </w:pPr>
          </w:p>
        </w:tc>
        <w:tc>
          <w:tcPr>
            <w:tcW w:w="112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4,000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3,934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3,934</w:t>
            </w:r>
          </w:p>
        </w:tc>
      </w:tr>
      <w:tr>
        <w:trPr>
          <w:trHeight w:val="167"/>
        </w:trPr>
        <w:tc>
          <w:tcPr>
            <w:tcW w:w="252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3180" w:type="dxa"/>
            <w:vAlign w:val="bottom"/>
            <w:tcBorders>
              <w:bottom w:val="single" w:sz="8" w:color="CCEEFF"/>
            </w:tcBorders>
            <w:gridSpan w:val="2"/>
          </w:tcPr>
          <w:p>
            <w:pPr>
              <w:ind w:left="60"/>
              <w:spacing w:after="0"/>
              <w:rPr>
                <w:sz w:val="20"/>
                <w:szCs w:val="20"/>
                <w:color w:val="auto"/>
              </w:rPr>
            </w:pPr>
            <w:r>
              <w:rPr>
                <w:rFonts w:ascii="Arial" w:cs="Arial" w:eastAsia="Arial" w:hAnsi="Arial"/>
                <w:sz w:val="14"/>
                <w:szCs w:val="14"/>
                <w:color w:val="auto"/>
              </w:rPr>
              <w:t>9.25%), 5.00% ETP, Due 1/1/22)</w:t>
            </w:r>
          </w:p>
        </w:tc>
        <w:tc>
          <w:tcPr>
            <w:tcW w:w="16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142"/>
        </w:trPr>
        <w:tc>
          <w:tcPr>
            <w:tcW w:w="44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Non-Affiliate Debt Investments — Life Science</w:t>
            </w:r>
          </w:p>
        </w:tc>
        <w:tc>
          <w:tcPr>
            <w:tcW w:w="3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58,038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58,018</w:t>
            </w:r>
          </w:p>
        </w:tc>
        <w:tc>
          <w:tcPr>
            <w:tcW w:w="100" w:type="dxa"/>
            <w:vAlign w:val="bottom"/>
            <w:shd w:val="clear" w:color="auto" w:fill="CCEEFF"/>
          </w:tcPr>
          <w:p>
            <w:pPr>
              <w:spacing w:after="0"/>
              <w:rPr>
                <w:sz w:val="12"/>
                <w:szCs w:val="12"/>
                <w:color w:val="auto"/>
              </w:rPr>
            </w:pPr>
          </w:p>
        </w:tc>
      </w:tr>
      <w:tr>
        <w:trPr>
          <w:trHeight w:val="142"/>
        </w:trPr>
        <w:tc>
          <w:tcPr>
            <w:tcW w:w="44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Non-Affiliate Debt Investments — Technology — 99.1% (8)</w:t>
            </w: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5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Intelepeer Holdings, Inc. (14)</w:t>
            </w:r>
          </w:p>
        </w:tc>
        <w:tc>
          <w:tcPr>
            <w:tcW w:w="1920" w:type="dxa"/>
            <w:vAlign w:val="bottom"/>
            <w:shd w:val="clear" w:color="auto" w:fill="CCEEFF"/>
          </w:tcPr>
          <w:p>
            <w:pPr>
              <w:ind w:left="40"/>
              <w:spacing w:after="0" w:line="130" w:lineRule="exact"/>
              <w:rPr>
                <w:sz w:val="20"/>
                <w:szCs w:val="20"/>
                <w:color w:val="auto"/>
              </w:rPr>
            </w:pPr>
            <w:r>
              <w:rPr>
                <w:rFonts w:ascii="Arial" w:cs="Arial" w:eastAsia="Arial" w:hAnsi="Arial"/>
                <w:sz w:val="14"/>
                <w:szCs w:val="14"/>
                <w:color w:val="auto"/>
              </w:rPr>
              <w:t>Communications</w:t>
            </w:r>
          </w:p>
        </w:tc>
        <w:tc>
          <w:tcPr>
            <w:tcW w:w="318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(11.39% cash (Libor + 9.95%; Floor</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3,888</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3,888</w:t>
            </w:r>
          </w:p>
        </w:tc>
      </w:tr>
      <w:tr>
        <w:trPr>
          <w:trHeight w:val="167"/>
        </w:trPr>
        <w:tc>
          <w:tcPr>
            <w:tcW w:w="25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11.25%), 2.50% ETP, Due 7/1/21)</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5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18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Loan (11.39% cash (Libor + 9.95%; Floor</w:t>
            </w:r>
          </w:p>
        </w:tc>
        <w:tc>
          <w:tcPr>
            <w:tcW w:w="160" w:type="dxa"/>
            <w:vAlign w:val="bottom"/>
          </w:tcPr>
          <w:p>
            <w:pPr>
              <w:spacing w:after="0"/>
              <w:rPr>
                <w:sz w:val="11"/>
                <w:szCs w:val="11"/>
                <w:color w:val="auto"/>
              </w:rPr>
            </w:pPr>
          </w:p>
        </w:tc>
        <w:tc>
          <w:tcPr>
            <w:tcW w:w="11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3,927</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3,927</w:t>
            </w:r>
          </w:p>
        </w:tc>
      </w:tr>
      <w:tr>
        <w:trPr>
          <w:trHeight w:val="167"/>
        </w:trPr>
        <w:tc>
          <w:tcPr>
            <w:tcW w:w="2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180" w:type="dxa"/>
            <w:vAlign w:val="bottom"/>
            <w:gridSpan w:val="2"/>
          </w:tcPr>
          <w:p>
            <w:pPr>
              <w:ind w:left="60"/>
              <w:spacing w:after="0"/>
              <w:rPr>
                <w:sz w:val="20"/>
                <w:szCs w:val="20"/>
                <w:color w:val="auto"/>
              </w:rPr>
            </w:pPr>
            <w:r>
              <w:rPr>
                <w:rFonts w:ascii="Arial" w:cs="Arial" w:eastAsia="Arial" w:hAnsi="Arial"/>
                <w:sz w:val="14"/>
                <w:szCs w:val="14"/>
                <w:color w:val="auto"/>
              </w:rPr>
              <w:t>11.25%), 2.50% ETP, Due 7/1/21)</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5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318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(11.39% cash (Libor + 9.95%; Floor</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3,927</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3,927</w:t>
            </w:r>
          </w:p>
        </w:tc>
      </w:tr>
      <w:tr>
        <w:trPr>
          <w:trHeight w:val="167"/>
        </w:trPr>
        <w:tc>
          <w:tcPr>
            <w:tcW w:w="25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11.25%), 2.50% ETP, Due 7/1/21)</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rPr>
              <w:t>PebblePost, Inc. (2)(14)</w:t>
            </w:r>
          </w:p>
        </w:tc>
        <w:tc>
          <w:tcPr>
            <w:tcW w:w="1920" w:type="dxa"/>
            <w:vAlign w:val="bottom"/>
          </w:tcPr>
          <w:p>
            <w:pPr>
              <w:ind w:left="40"/>
              <w:spacing w:after="0" w:line="130" w:lineRule="exact"/>
              <w:rPr>
                <w:sz w:val="20"/>
                <w:szCs w:val="20"/>
                <w:color w:val="auto"/>
              </w:rPr>
            </w:pPr>
            <w:r>
              <w:rPr>
                <w:rFonts w:ascii="Arial" w:cs="Arial" w:eastAsia="Arial" w:hAnsi="Arial"/>
                <w:sz w:val="14"/>
                <w:szCs w:val="14"/>
                <w:color w:val="auto"/>
              </w:rPr>
              <w:t>Communications</w:t>
            </w:r>
          </w:p>
        </w:tc>
        <w:tc>
          <w:tcPr>
            <w:tcW w:w="318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Loan (10.63% cash (Libor + 9.26%; Floor</w:t>
            </w:r>
          </w:p>
        </w:tc>
        <w:tc>
          <w:tcPr>
            <w:tcW w:w="160" w:type="dxa"/>
            <w:vAlign w:val="bottom"/>
          </w:tcPr>
          <w:p>
            <w:pPr>
              <w:spacing w:after="0"/>
              <w:rPr>
                <w:sz w:val="11"/>
                <w:szCs w:val="11"/>
                <w:color w:val="auto"/>
              </w:rPr>
            </w:pPr>
          </w:p>
        </w:tc>
        <w:tc>
          <w:tcPr>
            <w:tcW w:w="11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3,874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3,874</w:t>
            </w:r>
          </w:p>
        </w:tc>
      </w:tr>
      <w:tr>
        <w:trPr>
          <w:trHeight w:val="167"/>
        </w:trPr>
        <w:tc>
          <w:tcPr>
            <w:tcW w:w="2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180" w:type="dxa"/>
            <w:vAlign w:val="bottom"/>
            <w:gridSpan w:val="2"/>
          </w:tcPr>
          <w:p>
            <w:pPr>
              <w:ind w:left="60"/>
              <w:spacing w:after="0"/>
              <w:rPr>
                <w:sz w:val="20"/>
                <w:szCs w:val="20"/>
                <w:color w:val="auto"/>
              </w:rPr>
            </w:pPr>
            <w:r>
              <w:rPr>
                <w:rFonts w:ascii="Arial" w:cs="Arial" w:eastAsia="Arial" w:hAnsi="Arial"/>
                <w:sz w:val="14"/>
                <w:szCs w:val="14"/>
                <w:color w:val="auto"/>
              </w:rPr>
              <w:t>10.25%), 4.00% ETP, Due 7/1/21)</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5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318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(10.63% cash (Libor + 9.26%; Floor</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3,933</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3,933</w:t>
            </w:r>
          </w:p>
        </w:tc>
      </w:tr>
      <w:tr>
        <w:trPr>
          <w:trHeight w:val="167"/>
        </w:trPr>
        <w:tc>
          <w:tcPr>
            <w:tcW w:w="25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10.25%), 4.00% ETP, Due 7/1/21)</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rPr>
              <w:t>Le Tote, Inc. (2)(14)</w:t>
            </w:r>
          </w:p>
        </w:tc>
        <w:tc>
          <w:tcPr>
            <w:tcW w:w="1920" w:type="dxa"/>
            <w:vAlign w:val="bottom"/>
          </w:tcPr>
          <w:p>
            <w:pPr>
              <w:ind w:left="40"/>
              <w:spacing w:after="0" w:line="130" w:lineRule="exact"/>
              <w:rPr>
                <w:sz w:val="20"/>
                <w:szCs w:val="20"/>
                <w:color w:val="auto"/>
              </w:rPr>
            </w:pPr>
            <w:r>
              <w:rPr>
                <w:rFonts w:ascii="Arial" w:cs="Arial" w:eastAsia="Arial" w:hAnsi="Arial"/>
                <w:sz w:val="14"/>
                <w:szCs w:val="14"/>
                <w:color w:val="auto"/>
                <w:w w:val="93"/>
              </w:rPr>
              <w:t>Consumer-related Technologies</w:t>
            </w:r>
          </w:p>
        </w:tc>
        <w:tc>
          <w:tcPr>
            <w:tcW w:w="318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Loan (11.02% cash (Libor + 9.65%; Floor</w:t>
            </w:r>
          </w:p>
        </w:tc>
        <w:tc>
          <w:tcPr>
            <w:tcW w:w="160" w:type="dxa"/>
            <w:vAlign w:val="bottom"/>
          </w:tcPr>
          <w:p>
            <w:pPr>
              <w:spacing w:after="0"/>
              <w:rPr>
                <w:sz w:val="11"/>
                <w:szCs w:val="11"/>
                <w:color w:val="auto"/>
              </w:rPr>
            </w:pPr>
          </w:p>
        </w:tc>
        <w:tc>
          <w:tcPr>
            <w:tcW w:w="11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3,960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3,960</w:t>
            </w:r>
          </w:p>
        </w:tc>
      </w:tr>
      <w:tr>
        <w:trPr>
          <w:trHeight w:val="167"/>
        </w:trPr>
        <w:tc>
          <w:tcPr>
            <w:tcW w:w="2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180" w:type="dxa"/>
            <w:vAlign w:val="bottom"/>
            <w:gridSpan w:val="2"/>
          </w:tcPr>
          <w:p>
            <w:pPr>
              <w:ind w:left="60"/>
              <w:spacing w:after="0"/>
              <w:rPr>
                <w:sz w:val="20"/>
                <w:szCs w:val="20"/>
                <w:color w:val="auto"/>
              </w:rPr>
            </w:pPr>
            <w:r>
              <w:rPr>
                <w:rFonts w:ascii="Arial" w:cs="Arial" w:eastAsia="Arial" w:hAnsi="Arial"/>
                <w:sz w:val="14"/>
                <w:szCs w:val="14"/>
                <w:color w:val="auto"/>
              </w:rPr>
              <w:t>10.15%), 5.00% ETP, Due 3/1/20)</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5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318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(11.02% cash (Libor + 9.65%; Floor</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2,969</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2,969</w:t>
            </w:r>
          </w:p>
        </w:tc>
      </w:tr>
      <w:tr>
        <w:trPr>
          <w:trHeight w:val="167"/>
        </w:trPr>
        <w:tc>
          <w:tcPr>
            <w:tcW w:w="25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10.15%), 5.00% ETP, Due 3/1/20)</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520" w:type="dxa"/>
            <w:vAlign w:val="bottom"/>
          </w:tcPr>
          <w:p>
            <w:pPr>
              <w:spacing w:after="0" w:line="130" w:lineRule="exact"/>
              <w:rPr>
                <w:sz w:val="20"/>
                <w:szCs w:val="20"/>
                <w:color w:val="auto"/>
              </w:rPr>
            </w:pPr>
            <w:r>
              <w:rPr>
                <w:rFonts w:ascii="Arial" w:cs="Arial" w:eastAsia="Arial" w:hAnsi="Arial"/>
                <w:sz w:val="14"/>
                <w:szCs w:val="14"/>
                <w:color w:val="auto"/>
              </w:rPr>
              <w:t>SavingStar, Inc. (2)(14)</w:t>
            </w:r>
          </w:p>
        </w:tc>
        <w:tc>
          <w:tcPr>
            <w:tcW w:w="1920" w:type="dxa"/>
            <w:vAlign w:val="bottom"/>
          </w:tcPr>
          <w:p>
            <w:pPr>
              <w:ind w:left="40"/>
              <w:spacing w:after="0" w:line="130" w:lineRule="exact"/>
              <w:rPr>
                <w:sz w:val="20"/>
                <w:szCs w:val="20"/>
                <w:color w:val="auto"/>
              </w:rPr>
            </w:pPr>
            <w:r>
              <w:rPr>
                <w:rFonts w:ascii="Arial" w:cs="Arial" w:eastAsia="Arial" w:hAnsi="Arial"/>
                <w:sz w:val="14"/>
                <w:szCs w:val="14"/>
                <w:color w:val="auto"/>
                <w:w w:val="93"/>
              </w:rPr>
              <w:t>Consumer-related Technologies</w:t>
            </w:r>
          </w:p>
        </w:tc>
        <w:tc>
          <w:tcPr>
            <w:tcW w:w="318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Term Loan (11.77% cash (Libor + 10.40%; Floor</w:t>
            </w:r>
          </w:p>
        </w:tc>
        <w:tc>
          <w:tcPr>
            <w:tcW w:w="160" w:type="dxa"/>
            <w:vAlign w:val="bottom"/>
          </w:tcPr>
          <w:p>
            <w:pPr>
              <w:spacing w:after="0"/>
              <w:rPr>
                <w:sz w:val="11"/>
                <w:szCs w:val="11"/>
                <w:color w:val="auto"/>
              </w:rPr>
            </w:pPr>
          </w:p>
        </w:tc>
        <w:tc>
          <w:tcPr>
            <w:tcW w:w="11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2,167</w:t>
            </w:r>
          </w:p>
        </w:tc>
        <w:tc>
          <w:tcPr>
            <w:tcW w:w="80" w:type="dxa"/>
            <w:vAlign w:val="bottom"/>
          </w:tcPr>
          <w:p>
            <w:pPr>
              <w:spacing w:after="0"/>
              <w:rPr>
                <w:sz w:val="11"/>
                <w:szCs w:val="11"/>
                <w:color w:val="auto"/>
              </w:rPr>
            </w:pPr>
          </w:p>
        </w:tc>
        <w:tc>
          <w:tcPr>
            <w:tcW w:w="116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rPr>
              <w:t>2,140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2,140</w:t>
            </w:r>
          </w:p>
        </w:tc>
      </w:tr>
      <w:tr>
        <w:trPr>
          <w:trHeight w:val="167"/>
        </w:trPr>
        <w:tc>
          <w:tcPr>
            <w:tcW w:w="2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180" w:type="dxa"/>
            <w:vAlign w:val="bottom"/>
            <w:gridSpan w:val="2"/>
          </w:tcPr>
          <w:p>
            <w:pPr>
              <w:ind w:left="60"/>
              <w:spacing w:after="0"/>
              <w:rPr>
                <w:sz w:val="20"/>
                <w:szCs w:val="20"/>
                <w:color w:val="auto"/>
              </w:rPr>
            </w:pPr>
            <w:r>
              <w:rPr>
                <w:rFonts w:ascii="Arial" w:cs="Arial" w:eastAsia="Arial" w:hAnsi="Arial"/>
                <w:sz w:val="14"/>
                <w:szCs w:val="14"/>
                <w:color w:val="auto"/>
              </w:rPr>
              <w:t>10.90%), 4.25% ETP, Due 6/1/20)</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5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318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(11.77% cash (Libor + 10.40%; Floor</w:t>
            </w:r>
          </w:p>
        </w:tc>
        <w:tc>
          <w:tcPr>
            <w:tcW w:w="1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1,911</w:t>
            </w: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1,849</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1,849</w:t>
            </w:r>
          </w:p>
        </w:tc>
      </w:tr>
      <w:tr>
        <w:trPr>
          <w:trHeight w:val="167"/>
        </w:trPr>
        <w:tc>
          <w:tcPr>
            <w:tcW w:w="25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10.90%), 3.80% ETP, Due 11/1/20)</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2"/>
        </w:trPr>
        <w:tc>
          <w:tcPr>
            <w:tcW w:w="2520" w:type="dxa"/>
            <w:vAlign w:val="bottom"/>
          </w:tcPr>
          <w:p>
            <w:pPr>
              <w:spacing w:after="0"/>
              <w:rPr>
                <w:sz w:val="20"/>
                <w:szCs w:val="20"/>
                <w:color w:val="auto"/>
              </w:rPr>
            </w:pPr>
            <w:r>
              <w:rPr>
                <w:rFonts w:ascii="Arial" w:cs="Arial" w:eastAsia="Arial" w:hAnsi="Arial"/>
                <w:sz w:val="14"/>
                <w:szCs w:val="14"/>
                <w:color w:val="auto"/>
              </w:rPr>
              <w:t>IgnitionOne, Inc. (2)(14)</w:t>
            </w:r>
          </w:p>
        </w:tc>
        <w:tc>
          <w:tcPr>
            <w:tcW w:w="1920" w:type="dxa"/>
            <w:vAlign w:val="bottom"/>
          </w:tcPr>
          <w:p>
            <w:pPr>
              <w:ind w:left="40"/>
              <w:spacing w:after="0"/>
              <w:rPr>
                <w:sz w:val="20"/>
                <w:szCs w:val="20"/>
                <w:color w:val="auto"/>
              </w:rPr>
            </w:pPr>
            <w:r>
              <w:rPr>
                <w:rFonts w:ascii="Arial" w:cs="Arial" w:eastAsia="Arial" w:hAnsi="Arial"/>
                <w:sz w:val="14"/>
                <w:szCs w:val="14"/>
                <w:color w:val="auto"/>
              </w:rPr>
              <w:t>Internet and Media</w:t>
            </w:r>
          </w:p>
        </w:tc>
        <w:tc>
          <w:tcPr>
            <w:tcW w:w="3180" w:type="dxa"/>
            <w:vAlign w:val="bottom"/>
            <w:gridSpan w:val="2"/>
          </w:tcPr>
          <w:p>
            <w:pPr>
              <w:ind w:left="60"/>
              <w:spacing w:after="0"/>
              <w:rPr>
                <w:sz w:val="20"/>
                <w:szCs w:val="20"/>
                <w:color w:val="auto"/>
              </w:rPr>
            </w:pPr>
            <w:r>
              <w:rPr>
                <w:rFonts w:ascii="Arial" w:cs="Arial" w:eastAsia="Arial" w:hAnsi="Arial"/>
                <w:sz w:val="14"/>
                <w:szCs w:val="14"/>
                <w:color w:val="auto"/>
              </w:rPr>
              <w:t>Term Loan (11.60% cash (Libor + 10.23%; Floor</w:t>
            </w:r>
          </w:p>
        </w:tc>
        <w:tc>
          <w:tcPr>
            <w:tcW w:w="16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3,000</w:t>
            </w:r>
          </w:p>
        </w:tc>
        <w:tc>
          <w:tcPr>
            <w:tcW w:w="80" w:type="dxa"/>
            <w:vAlign w:val="bottom"/>
          </w:tcPr>
          <w:p>
            <w:pPr>
              <w:spacing w:after="0"/>
              <w:rPr>
                <w:sz w:val="15"/>
                <w:szCs w:val="15"/>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4"/>
                <w:szCs w:val="14"/>
                <w:color w:val="auto"/>
              </w:rPr>
              <w:t>2,832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2,832</w:t>
            </w: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Principal</w:t>
            </w: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Cost of</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r>
      <w:tr>
        <w:trPr>
          <w:trHeight w:val="171"/>
        </w:trPr>
        <w:tc>
          <w:tcPr>
            <w:tcW w:w="2640" w:type="dxa"/>
            <w:vAlign w:val="bottom"/>
          </w:tcPr>
          <w:p>
            <w:pPr>
              <w:spacing w:after="0"/>
              <w:rPr>
                <w:sz w:val="20"/>
                <w:szCs w:val="20"/>
                <w:color w:val="auto"/>
              </w:rPr>
            </w:pPr>
            <w:r>
              <w:rPr>
                <w:rFonts w:ascii="Arial" w:cs="Arial" w:eastAsia="Arial" w:hAnsi="Arial"/>
                <w:sz w:val="14"/>
                <w:szCs w:val="14"/>
                <w:b w:val="1"/>
                <w:bCs w:val="1"/>
                <w:color w:val="auto"/>
              </w:rPr>
              <w:t>Portfolio Company (1)(3)</w:t>
            </w:r>
          </w:p>
        </w:tc>
        <w:tc>
          <w:tcPr>
            <w:tcW w:w="120" w:type="dxa"/>
            <w:vAlign w:val="bottom"/>
          </w:tcPr>
          <w:p>
            <w:pPr>
              <w:spacing w:after="0"/>
              <w:rPr>
                <w:sz w:val="14"/>
                <w:szCs w:val="14"/>
                <w:color w:val="auto"/>
              </w:rPr>
            </w:pPr>
          </w:p>
        </w:tc>
        <w:tc>
          <w:tcPr>
            <w:tcW w:w="1260" w:type="dxa"/>
            <w:vAlign w:val="bottom"/>
          </w:tcPr>
          <w:p>
            <w:pPr>
              <w:ind w:left="440"/>
              <w:spacing w:after="0"/>
              <w:rPr>
                <w:sz w:val="20"/>
                <w:szCs w:val="20"/>
                <w:color w:val="auto"/>
              </w:rPr>
            </w:pPr>
            <w:r>
              <w:rPr>
                <w:rFonts w:ascii="Arial" w:cs="Arial" w:eastAsia="Arial" w:hAnsi="Arial"/>
                <w:sz w:val="14"/>
                <w:szCs w:val="14"/>
                <w:b w:val="1"/>
                <w:bCs w:val="1"/>
                <w:color w:val="auto"/>
              </w:rPr>
              <w:t>Sector</w:t>
            </w:r>
          </w:p>
        </w:tc>
        <w:tc>
          <w:tcPr>
            <w:tcW w:w="120" w:type="dxa"/>
            <w:vAlign w:val="bottom"/>
          </w:tcPr>
          <w:p>
            <w:pPr>
              <w:spacing w:after="0"/>
              <w:rPr>
                <w:sz w:val="14"/>
                <w:szCs w:val="14"/>
                <w:color w:val="auto"/>
              </w:rPr>
            </w:pPr>
          </w:p>
        </w:tc>
        <w:tc>
          <w:tcPr>
            <w:tcW w:w="3320" w:type="dxa"/>
            <w:vAlign w:val="bottom"/>
            <w:gridSpan w:val="2"/>
          </w:tcPr>
          <w:p>
            <w:pPr>
              <w:ind w:left="620"/>
              <w:spacing w:after="0"/>
              <w:rPr>
                <w:sz w:val="20"/>
                <w:szCs w:val="20"/>
                <w:color w:val="auto"/>
              </w:rPr>
            </w:pPr>
            <w:r>
              <w:rPr>
                <w:rFonts w:ascii="Arial" w:cs="Arial" w:eastAsia="Arial" w:hAnsi="Arial"/>
                <w:sz w:val="14"/>
                <w:szCs w:val="14"/>
                <w:b w:val="1"/>
                <w:bCs w:val="1"/>
                <w:color w:val="auto"/>
              </w:rPr>
              <w:t>Type of Investment (4)(7)(9)(10)</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3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Investments (6)</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2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color w:val="auto"/>
              </w:rPr>
              <w:t>10.23%), 2.00% ETP, Due 4/1/22)</w:t>
            </w:r>
          </w:p>
        </w:tc>
        <w:tc>
          <w:tcPr>
            <w:tcW w:w="1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2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(11.60% cash (Libor + 10.23%;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2,832</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2,832</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10.23%), 2.00% ETP, Due 4/1/22)</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(11.60% cash (Libor + 10.23%;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2,832</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2,832</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10.23%), 2.00% ETP, Due 4/1/22)</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(11.60% cash (Libor + 10.23%;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2,832</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2,832</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10.23%), 2.00% ETP, Due 4/1/22)</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Jump Ramp Games, Inc. (2)(14)</w:t>
            </w:r>
          </w:p>
        </w:tc>
        <w:tc>
          <w:tcPr>
            <w:tcW w:w="120" w:type="dxa"/>
            <w:vAlign w:val="bottom"/>
          </w:tcPr>
          <w:p>
            <w:pPr>
              <w:spacing w:after="0"/>
              <w:rPr>
                <w:sz w:val="11"/>
                <w:szCs w:val="11"/>
                <w:color w:val="auto"/>
              </w:rPr>
            </w:pPr>
          </w:p>
        </w:tc>
        <w:tc>
          <w:tcPr>
            <w:tcW w:w="1260" w:type="dxa"/>
            <w:vAlign w:val="bottom"/>
          </w:tcPr>
          <w:p>
            <w:pPr>
              <w:spacing w:after="0" w:line="130" w:lineRule="exact"/>
              <w:rPr>
                <w:sz w:val="20"/>
                <w:szCs w:val="20"/>
                <w:color w:val="auto"/>
              </w:rPr>
            </w:pPr>
            <w:r>
              <w:rPr>
                <w:rFonts w:ascii="Arial" w:cs="Arial" w:eastAsia="Arial" w:hAnsi="Arial"/>
                <w:sz w:val="14"/>
                <w:szCs w:val="14"/>
                <w:color w:val="auto"/>
              </w:rPr>
              <w:t>Internet and Media</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(11.10% cash (Libor + 9.73%),</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3,942</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3,942</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3.00% ETP, Due 4/1/21)</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Kixeye, Inc. (2)(14)</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Internet and Media</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(10.97% cash (Libor + 9.60%;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2,900</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2,900</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10.75%), 2.00% ETP, Due 9/1/21)</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(10.97% cash (Libor + 9.60%;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2,945</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2,945</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10.75%), 2.00% ETP, Due 9/1/21)</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MediaBrix, Inc. (2)(14)</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Internet and Media</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(12.37% cash (Libor + 11.00%;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3,977</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3,977</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11.50%), 3.00% ETP, Due 1/1/20)</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Rocket Lawyer Incorporated (2)(14)</w:t>
            </w:r>
          </w:p>
        </w:tc>
        <w:tc>
          <w:tcPr>
            <w:tcW w:w="120" w:type="dxa"/>
            <w:vAlign w:val="bottom"/>
          </w:tcPr>
          <w:p>
            <w:pPr>
              <w:spacing w:after="0"/>
              <w:rPr>
                <w:sz w:val="11"/>
                <w:szCs w:val="11"/>
                <w:color w:val="auto"/>
              </w:rPr>
            </w:pPr>
          </w:p>
        </w:tc>
        <w:tc>
          <w:tcPr>
            <w:tcW w:w="1260" w:type="dxa"/>
            <w:vAlign w:val="bottom"/>
          </w:tcPr>
          <w:p>
            <w:pPr>
              <w:spacing w:after="0" w:line="130" w:lineRule="exact"/>
              <w:rPr>
                <w:sz w:val="20"/>
                <w:szCs w:val="20"/>
                <w:color w:val="auto"/>
              </w:rPr>
            </w:pPr>
            <w:r>
              <w:rPr>
                <w:rFonts w:ascii="Arial" w:cs="Arial" w:eastAsia="Arial" w:hAnsi="Arial"/>
                <w:sz w:val="14"/>
                <w:szCs w:val="14"/>
                <w:color w:val="auto"/>
              </w:rPr>
              <w:t>Internet and Media</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(10.77% cash (Libor + 9.40%;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3,933</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3,933</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10.50%), 3.00% ETP, Due 7/1/21)</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(10.77% cash (Libor + 9.40%;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3,933</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3,933</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10.50%), 3.00% ETP, Due 7/1/21)</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(10.77% cash (Libor + 9.40%;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2,000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1,963</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1,963</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10.50%), 3.00% ETP, Due 11/1/21)</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Zinio Holdings, LLC (2)(14)</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Internet and Media</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(12.62% cash (Libor + 11.25%;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3,978</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3,978</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11.75%), 6.00% ETP, Due 2/1/20)</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The NanoSteel Company, Inc. (2)(14)</w:t>
            </w:r>
          </w:p>
        </w:tc>
        <w:tc>
          <w:tcPr>
            <w:tcW w:w="120" w:type="dxa"/>
            <w:vAlign w:val="bottom"/>
          </w:tcPr>
          <w:p>
            <w:pPr>
              <w:spacing w:after="0"/>
              <w:rPr>
                <w:sz w:val="11"/>
                <w:szCs w:val="11"/>
                <w:color w:val="auto"/>
              </w:rPr>
            </w:pPr>
          </w:p>
        </w:tc>
        <w:tc>
          <w:tcPr>
            <w:tcW w:w="1260" w:type="dxa"/>
            <w:vAlign w:val="bottom"/>
          </w:tcPr>
          <w:p>
            <w:pPr>
              <w:spacing w:after="0" w:line="130" w:lineRule="exact"/>
              <w:rPr>
                <w:sz w:val="20"/>
                <w:szCs w:val="20"/>
                <w:color w:val="auto"/>
              </w:rPr>
            </w:pPr>
            <w:r>
              <w:rPr>
                <w:rFonts w:ascii="Arial" w:cs="Arial" w:eastAsia="Arial" w:hAnsi="Arial"/>
                <w:sz w:val="14"/>
                <w:szCs w:val="14"/>
                <w:color w:val="auto"/>
              </w:rPr>
              <w:t>Materials</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(10.87% cash (Libor + 9.50%;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4,653</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4,578</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4,578</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10.00%), 7.20% ETP, Due 1/1/20)</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(10.87% cash (Libor + 9.50%;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2,327</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2,289</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2,289</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10.00%), 6.45% ETP, Due 1/1/20)</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(10.87% cash (Libor + 9.50%;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2,500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2,457</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2,457</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10.00%), 5.85% ETP, Due 3/1/20)</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Powerhouse Dynamics, Inc. (2)(14)</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Power Management</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(12.07% cash (Libor + 10.70%;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1,250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1,234</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1,234</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11.20%), 3.00% ETP, Due 3/1/19)</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Luxtera, Inc. (14)</w:t>
            </w:r>
          </w:p>
        </w:tc>
        <w:tc>
          <w:tcPr>
            <w:tcW w:w="120" w:type="dxa"/>
            <w:vAlign w:val="bottom"/>
          </w:tcPr>
          <w:p>
            <w:pPr>
              <w:spacing w:after="0"/>
              <w:rPr>
                <w:sz w:val="11"/>
                <w:szCs w:val="11"/>
                <w:color w:val="auto"/>
              </w:rPr>
            </w:pPr>
          </w:p>
        </w:tc>
        <w:tc>
          <w:tcPr>
            <w:tcW w:w="1260" w:type="dxa"/>
            <w:vAlign w:val="bottom"/>
          </w:tcPr>
          <w:p>
            <w:pPr>
              <w:spacing w:after="0" w:line="130" w:lineRule="exact"/>
              <w:rPr>
                <w:sz w:val="20"/>
                <w:szCs w:val="20"/>
                <w:color w:val="auto"/>
              </w:rPr>
            </w:pPr>
            <w:r>
              <w:rPr>
                <w:rFonts w:ascii="Arial" w:cs="Arial" w:eastAsia="Arial" w:hAnsi="Arial"/>
                <w:sz w:val="14"/>
                <w:szCs w:val="14"/>
                <w:color w:val="auto"/>
              </w:rPr>
              <w:t>Semiconductors</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(11.25% cash (Prime + 6.75%),</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2,000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1,902</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1,902</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Due 3/28/20)</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(11.25% cash (Prime + 6.75%),</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1,500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1,443</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1,443</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Due 3/28/20)</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Bridge2 Solutions, LLC. (2)(14)</w:t>
            </w:r>
          </w:p>
        </w:tc>
        <w:tc>
          <w:tcPr>
            <w:tcW w:w="120" w:type="dxa"/>
            <w:vAlign w:val="bottom"/>
          </w:tcPr>
          <w:p>
            <w:pPr>
              <w:spacing w:after="0"/>
              <w:rPr>
                <w:sz w:val="11"/>
                <w:szCs w:val="11"/>
                <w:color w:val="auto"/>
              </w:rPr>
            </w:pPr>
          </w:p>
        </w:tc>
        <w:tc>
          <w:tcPr>
            <w:tcW w:w="1260" w:type="dxa"/>
            <w:vAlign w:val="bottom"/>
          </w:tcPr>
          <w:p>
            <w:pPr>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(10.62% cash (Libor + 9.25%;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5,000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4,777</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4,777</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10.50%), 2.00% ETP, Due 11/1/21)</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(10.62% cash (Libor + 9.25%;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5,000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4,777</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4,777</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10.50%), 2.00% ETP, Due 11/1/21)</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Digital Signal Corporation (11)(12)(14)</w:t>
            </w:r>
          </w:p>
        </w:tc>
        <w:tc>
          <w:tcPr>
            <w:tcW w:w="120" w:type="dxa"/>
            <w:vAlign w:val="bottom"/>
          </w:tcPr>
          <w:p>
            <w:pPr>
              <w:spacing w:after="0"/>
              <w:rPr>
                <w:sz w:val="11"/>
                <w:szCs w:val="11"/>
                <w:color w:val="auto"/>
              </w:rPr>
            </w:pPr>
          </w:p>
        </w:tc>
        <w:tc>
          <w:tcPr>
            <w:tcW w:w="1260" w:type="dxa"/>
            <w:vAlign w:val="bottom"/>
          </w:tcPr>
          <w:p>
            <w:pPr>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(11.62% cash (Libor + 10.25%;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1,290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1,256</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1,210</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10.43%), 5.00% ETP, Due 7/1/19)</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(11.62% cash (Libor + 10.25%;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1,290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1,256</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1,210</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10.43%), 5.00% ETP, Due 7/1/19)</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9"/>
        </w:trPr>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4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Term Loan (10.00% cash, Due 12/31/17)</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501</w:t>
            </w:r>
          </w:p>
        </w:tc>
        <w:tc>
          <w:tcPr>
            <w:tcW w:w="2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501</w:t>
            </w:r>
          </w:p>
        </w:tc>
        <w:tc>
          <w:tcPr>
            <w:tcW w:w="12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483</w:t>
            </w: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Education Elements, Inc. (2)(14)</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(11.37% cash (Libor + 10.00%; Floor</w:t>
            </w:r>
          </w:p>
        </w:tc>
        <w:tc>
          <w:tcPr>
            <w:tcW w:w="11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800</w:t>
            </w:r>
          </w:p>
        </w:tc>
        <w:tc>
          <w:tcPr>
            <w:tcW w:w="20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789</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789</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10.50%), 4.00% ETP, Due 1/1/19)</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(11.37% cash (Libor + 10.00%; Floor</w:t>
            </w:r>
          </w:p>
        </w:tc>
        <w:tc>
          <w:tcPr>
            <w:tcW w:w="1160" w:type="dxa"/>
            <w:vAlign w:val="bottom"/>
          </w:tcPr>
          <w:p>
            <w:pPr>
              <w:jc w:val="right"/>
              <w:spacing w:after="0" w:line="130" w:lineRule="exact"/>
              <w:rPr>
                <w:sz w:val="20"/>
                <w:szCs w:val="20"/>
                <w:color w:val="auto"/>
              </w:rPr>
            </w:pPr>
            <w:r>
              <w:rPr>
                <w:rFonts w:ascii="Arial" w:cs="Arial" w:eastAsia="Arial" w:hAnsi="Arial"/>
                <w:sz w:val="14"/>
                <w:szCs w:val="14"/>
                <w:color w:val="auto"/>
              </w:rPr>
              <w:t>950</w:t>
            </w:r>
          </w:p>
        </w:tc>
        <w:tc>
          <w:tcPr>
            <w:tcW w:w="200" w:type="dxa"/>
            <w:vAlign w:val="bottom"/>
          </w:tcPr>
          <w:p>
            <w:pPr>
              <w:spacing w:after="0"/>
              <w:rPr>
                <w:sz w:val="11"/>
                <w:szCs w:val="11"/>
                <w:color w:val="auto"/>
              </w:rPr>
            </w:pP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937</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937</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10.50%), 4.00% ETP, Due 8/1/19)</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Metricly, Inc. (14)</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(13.62% cash (Libor + 12.25%; Floor</w:t>
            </w:r>
          </w:p>
        </w:tc>
        <w:tc>
          <w:tcPr>
            <w:tcW w:w="11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184</w:t>
            </w:r>
          </w:p>
        </w:tc>
        <w:tc>
          <w:tcPr>
            <w:tcW w:w="20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184</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184</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12.50%), 3.33% ETP, Due 9/1/18)</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ShopKeep.com, Inc. (2)(14)</w:t>
            </w:r>
          </w:p>
        </w:tc>
        <w:tc>
          <w:tcPr>
            <w:tcW w:w="120" w:type="dxa"/>
            <w:vAlign w:val="bottom"/>
          </w:tcPr>
          <w:p>
            <w:pPr>
              <w:spacing w:after="0"/>
              <w:rPr>
                <w:sz w:val="11"/>
                <w:szCs w:val="11"/>
                <w:color w:val="auto"/>
              </w:rPr>
            </w:pPr>
          </w:p>
        </w:tc>
        <w:tc>
          <w:tcPr>
            <w:tcW w:w="1260" w:type="dxa"/>
            <w:vAlign w:val="bottom"/>
          </w:tcPr>
          <w:p>
            <w:pPr>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(11.32% cash (Libor + 9.95%;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6,000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5,897</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5,897</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10.45%), 4.08% ETP, Due 10/1/20)</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(11.32% cash (Libor + 9.95%;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3,924</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3,924</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10.45%), 3.55% ETP, Due 2/1/21)</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SIGNiX, Inc. (14)</w:t>
            </w:r>
          </w:p>
        </w:tc>
        <w:tc>
          <w:tcPr>
            <w:tcW w:w="120" w:type="dxa"/>
            <w:vAlign w:val="bottom"/>
          </w:tcPr>
          <w:p>
            <w:pPr>
              <w:spacing w:after="0"/>
              <w:rPr>
                <w:sz w:val="11"/>
                <w:szCs w:val="11"/>
                <w:color w:val="auto"/>
              </w:rPr>
            </w:pPr>
          </w:p>
        </w:tc>
        <w:tc>
          <w:tcPr>
            <w:tcW w:w="1260" w:type="dxa"/>
            <w:vAlign w:val="bottom"/>
          </w:tcPr>
          <w:p>
            <w:pPr>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(12.37% cash (Libor + 11.00%;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2,180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2,073</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1,930</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11.50%), 5.33% ETP, Due 2/1/20)</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SilkRoad Technology, Inc. (2)(14)</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(11.72% cash (Libor + 10.35%;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7,000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6,904</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6,904</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10.85%; Ceiling 12.85%), 5.00% ETP, Due 6/1/20)</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Weblinc Corporation (2)(14)</w:t>
            </w:r>
          </w:p>
        </w:tc>
        <w:tc>
          <w:tcPr>
            <w:tcW w:w="120" w:type="dxa"/>
            <w:vAlign w:val="bottom"/>
          </w:tcPr>
          <w:p>
            <w:pPr>
              <w:spacing w:after="0"/>
              <w:rPr>
                <w:sz w:val="11"/>
                <w:szCs w:val="11"/>
                <w:color w:val="auto"/>
              </w:rPr>
            </w:pPr>
          </w:p>
        </w:tc>
        <w:tc>
          <w:tcPr>
            <w:tcW w:w="1260" w:type="dxa"/>
            <w:vAlign w:val="bottom"/>
          </w:tcPr>
          <w:p>
            <w:pPr>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(11.62% cash (Libor + 10.25%;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3,000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2,913</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2,913</w:t>
            </w:r>
          </w:p>
        </w:tc>
      </w:tr>
      <w:tr>
        <w:trPr>
          <w:trHeight w:val="167"/>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11.25%), 3.00% ETP, Due 3/1/21)</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0"/>
        </w:trPr>
        <w:tc>
          <w:tcPr>
            <w:tcW w:w="2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xAd, Inc. (2)(14)</w:t>
            </w:r>
          </w:p>
        </w:tc>
        <w:tc>
          <w:tcPr>
            <w:tcW w:w="1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Software</w:t>
            </w:r>
          </w:p>
        </w:tc>
        <w:tc>
          <w:tcPr>
            <w:tcW w:w="344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Term Loan (10.07% cash (Libor + 8.70%; Floor</w:t>
            </w:r>
          </w:p>
        </w:tc>
        <w:tc>
          <w:tcPr>
            <w:tcW w:w="136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5,000</w:t>
            </w:r>
          </w:p>
        </w:tc>
        <w:tc>
          <w:tcPr>
            <w:tcW w:w="13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4,895</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4,895</w:t>
            </w:r>
          </w:p>
        </w:tc>
      </w:tr>
      <w:tr>
        <w:trPr>
          <w:trHeight w:val="167"/>
        </w:trPr>
        <w:tc>
          <w:tcPr>
            <w:tcW w:w="2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4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10.00%), 4.75% ETP, Due 11/1/21)</w:t>
            </w: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30"/>
        </w:trPr>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4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Term Loan (10.07% cash (Libor + 8.70%; Floor</w:t>
            </w:r>
          </w:p>
        </w:tc>
        <w:tc>
          <w:tcPr>
            <w:tcW w:w="136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5,000</w:t>
            </w:r>
          </w:p>
        </w:tc>
        <w:tc>
          <w:tcPr>
            <w:tcW w:w="136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4,895</w:t>
            </w:r>
          </w:p>
        </w:tc>
        <w:tc>
          <w:tcPr>
            <w:tcW w:w="124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4,895</w:t>
            </w:r>
          </w:p>
        </w:tc>
      </w:tr>
      <w:tr>
        <w:trPr>
          <w:trHeight w:val="182"/>
        </w:trPr>
        <w:tc>
          <w:tcPr>
            <w:tcW w:w="2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40" w:type="dxa"/>
            <w:vAlign w:val="bottom"/>
            <w:gridSpan w:val="3"/>
          </w:tcPr>
          <w:p>
            <w:pPr>
              <w:ind w:left="120"/>
              <w:spacing w:after="0"/>
              <w:rPr>
                <w:sz w:val="20"/>
                <w:szCs w:val="20"/>
                <w:color w:val="auto"/>
              </w:rPr>
            </w:pPr>
            <w:r>
              <w:rPr>
                <w:rFonts w:ascii="Arial" w:cs="Arial" w:eastAsia="Arial" w:hAnsi="Arial"/>
                <w:sz w:val="14"/>
                <w:szCs w:val="14"/>
                <w:color w:val="auto"/>
              </w:rPr>
              <w:t>10.00%), 4.75% ETP, Due 11/1/21)</w:t>
            </w: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Cost of</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(1)(3)</w:t>
            </w:r>
          </w:p>
        </w:tc>
        <w:tc>
          <w:tcPr>
            <w:tcW w:w="100" w:type="dxa"/>
            <w:vAlign w:val="bottom"/>
          </w:tcPr>
          <w:p>
            <w:pPr>
              <w:spacing w:after="0"/>
              <w:rPr>
                <w:sz w:val="14"/>
                <w:szCs w:val="14"/>
                <w:color w:val="auto"/>
              </w:rPr>
            </w:pPr>
          </w:p>
        </w:tc>
        <w:tc>
          <w:tcPr>
            <w:tcW w:w="1960" w:type="dxa"/>
            <w:vAlign w:val="bottom"/>
            <w:gridSpan w:val="2"/>
          </w:tcPr>
          <w:p>
            <w:pPr>
              <w:ind w:left="720"/>
              <w:spacing w:after="0"/>
              <w:rPr>
                <w:sz w:val="20"/>
                <w:szCs w:val="20"/>
                <w:color w:val="auto"/>
              </w:rPr>
            </w:pPr>
            <w:r>
              <w:rPr>
                <w:rFonts w:ascii="Arial" w:cs="Arial" w:eastAsia="Arial" w:hAnsi="Arial"/>
                <w:sz w:val="14"/>
                <w:szCs w:val="14"/>
                <w:b w:val="1"/>
                <w:bCs w:val="1"/>
                <w:color w:val="auto"/>
              </w:rPr>
              <w:t>Sector</w:t>
            </w:r>
          </w:p>
        </w:tc>
        <w:tc>
          <w:tcPr>
            <w:tcW w:w="3120" w:type="dxa"/>
            <w:vAlign w:val="bottom"/>
            <w:gridSpan w:val="2"/>
          </w:tcPr>
          <w:p>
            <w:pPr>
              <w:ind w:left="520"/>
              <w:spacing w:after="0"/>
              <w:rPr>
                <w:sz w:val="20"/>
                <w:szCs w:val="20"/>
                <w:color w:val="auto"/>
              </w:rPr>
            </w:pPr>
            <w:r>
              <w:rPr>
                <w:rFonts w:ascii="Arial" w:cs="Arial" w:eastAsia="Arial" w:hAnsi="Arial"/>
                <w:sz w:val="14"/>
                <w:szCs w:val="14"/>
                <w:b w:val="1"/>
                <w:bCs w:val="1"/>
                <w:color w:val="auto"/>
              </w:rPr>
              <w:t>Type of Investment (4)(7)(9)(10)</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Investments (6)</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0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Term Loan (10.07% cash (Libor + 8.70%; Floor</w:t>
            </w:r>
          </w:p>
        </w:tc>
        <w:tc>
          <w:tcPr>
            <w:tcW w:w="12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3,000</w:t>
            </w:r>
          </w:p>
        </w:tc>
        <w:tc>
          <w:tcPr>
            <w:tcW w:w="220" w:type="dxa"/>
            <w:vAlign w:val="bottom"/>
            <w:tcBorders>
              <w:top w:val="single" w:sz="8" w:color="CCEEFF"/>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2,937</w:t>
            </w:r>
          </w:p>
        </w:tc>
        <w:tc>
          <w:tcPr>
            <w:tcW w:w="22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2,937</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10.00%), 4.75% ETP, Due 11/1/21)</w:t>
            </w: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gridSpan w:val="2"/>
          </w:tcPr>
          <w:p>
            <w:pPr>
              <w:spacing w:after="0" w:line="143" w:lineRule="exact"/>
              <w:rPr>
                <w:sz w:val="20"/>
                <w:szCs w:val="20"/>
                <w:color w:val="auto"/>
              </w:rPr>
            </w:pPr>
            <w:r>
              <w:rPr>
                <w:rFonts w:ascii="Arial" w:cs="Arial" w:eastAsia="Arial" w:hAnsi="Arial"/>
                <w:sz w:val="14"/>
                <w:szCs w:val="14"/>
                <w:color w:val="auto"/>
              </w:rPr>
              <w:t>Term Loan (10.07% cash (Libor + 8.70%; Floor</w:t>
            </w:r>
          </w:p>
        </w:tc>
        <w:tc>
          <w:tcPr>
            <w:tcW w:w="12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2,000</w:t>
            </w:r>
          </w:p>
        </w:tc>
        <w:tc>
          <w:tcPr>
            <w:tcW w:w="13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1,958</w:t>
            </w:r>
          </w:p>
        </w:tc>
        <w:tc>
          <w:tcPr>
            <w:tcW w:w="118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1,958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1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10.00%), 4.75% ETP, Due 11/1/21)</w:t>
            </w:r>
          </w:p>
        </w:tc>
        <w:tc>
          <w:tcPr>
            <w:tcW w:w="10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gridSpan w:val="4"/>
            <w:shd w:val="clear" w:color="auto" w:fill="CCEEFF"/>
          </w:tcPr>
          <w:p>
            <w:pPr>
              <w:spacing w:after="0" w:line="155" w:lineRule="exact"/>
              <w:rPr>
                <w:sz w:val="20"/>
                <w:szCs w:val="20"/>
                <w:color w:val="auto"/>
              </w:rPr>
            </w:pPr>
            <w:r>
              <w:rPr>
                <w:rFonts w:ascii="Arial" w:cs="Arial" w:eastAsia="Arial" w:hAnsi="Arial"/>
                <w:sz w:val="14"/>
                <w:szCs w:val="14"/>
                <w:color w:val="auto"/>
              </w:rPr>
              <w:t>Total Non-Affiliate Debt Investments — Technology</w:t>
            </w:r>
          </w:p>
        </w:tc>
        <w:tc>
          <w:tcPr>
            <w:tcW w:w="3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134,142</w:t>
            </w:r>
          </w:p>
        </w:tc>
        <w:tc>
          <w:tcPr>
            <w:tcW w:w="220" w:type="dxa"/>
            <w:vAlign w:val="bottom"/>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133,889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Non-Affiliate Debt Investments — Healthcare information and services — 6.3% (8)</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HealthEdge Software, Inc. (2)(14)</w:t>
            </w:r>
          </w:p>
        </w:tc>
        <w:tc>
          <w:tcPr>
            <w:tcW w:w="206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Software</w:t>
            </w:r>
          </w:p>
        </w:tc>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Term Loan (9.62% cash (Libor + 8.25%;</w:t>
            </w:r>
          </w:p>
        </w:tc>
        <w:tc>
          <w:tcPr>
            <w:tcW w:w="12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5,000</w:t>
            </w:r>
          </w:p>
        </w:tc>
        <w:tc>
          <w:tcPr>
            <w:tcW w:w="13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4,819</w:t>
            </w:r>
          </w:p>
        </w:tc>
        <w:tc>
          <w:tcPr>
            <w:tcW w:w="118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4,819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Floor 9.25%), 3.00% ETP, Due 7/1/22)</w:t>
            </w: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gridSpan w:val="2"/>
          </w:tcPr>
          <w:p>
            <w:pPr>
              <w:spacing w:after="0" w:line="143" w:lineRule="exact"/>
              <w:rPr>
                <w:sz w:val="20"/>
                <w:szCs w:val="20"/>
                <w:color w:val="auto"/>
              </w:rPr>
            </w:pPr>
            <w:r>
              <w:rPr>
                <w:rFonts w:ascii="Arial" w:cs="Arial" w:eastAsia="Arial" w:hAnsi="Arial"/>
                <w:sz w:val="14"/>
                <w:szCs w:val="14"/>
                <w:color w:val="auto"/>
              </w:rPr>
              <w:t>Term Loan (9.68% cash (Libor + 8.25%;</w:t>
            </w:r>
          </w:p>
        </w:tc>
        <w:tc>
          <w:tcPr>
            <w:tcW w:w="128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3,750</w:t>
            </w:r>
          </w:p>
        </w:tc>
        <w:tc>
          <w:tcPr>
            <w:tcW w:w="134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3,693</w:t>
            </w:r>
          </w:p>
        </w:tc>
        <w:tc>
          <w:tcPr>
            <w:tcW w:w="118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3,693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1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Floor 9.25%), 3.00% ETP, Due 1/1/23)</w:t>
            </w:r>
          </w:p>
        </w:tc>
        <w:tc>
          <w:tcPr>
            <w:tcW w:w="106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gridSpan w:val="4"/>
            <w:shd w:val="clear" w:color="auto" w:fill="CCEEFF"/>
          </w:tcPr>
          <w:p>
            <w:pPr>
              <w:spacing w:after="0" w:line="155" w:lineRule="exact"/>
              <w:rPr>
                <w:sz w:val="20"/>
                <w:szCs w:val="20"/>
                <w:color w:val="auto"/>
              </w:rPr>
            </w:pPr>
            <w:r>
              <w:rPr>
                <w:rFonts w:ascii="Arial" w:cs="Arial" w:eastAsia="Arial" w:hAnsi="Arial"/>
                <w:sz w:val="14"/>
                <w:szCs w:val="14"/>
                <w:color w:val="auto"/>
                <w:w w:val="95"/>
              </w:rPr>
              <w:t>Total Non-Affiliate Debt Investments — Healthcare information and services</w:t>
            </w:r>
          </w:p>
        </w:tc>
        <w:tc>
          <w:tcPr>
            <w:tcW w:w="3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8,512</w:t>
            </w:r>
          </w:p>
        </w:tc>
        <w:tc>
          <w:tcPr>
            <w:tcW w:w="220" w:type="dxa"/>
            <w:vAlign w:val="bottom"/>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8,512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2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b w:val="1"/>
                <w:bCs w:val="1"/>
                <w:color w:val="auto"/>
                <w:w w:val="97"/>
              </w:rPr>
              <w:t>Total Non- Affiliate Debt Investments</w:t>
            </w:r>
          </w:p>
        </w:tc>
        <w:tc>
          <w:tcPr>
            <w:tcW w:w="100" w:type="dxa"/>
            <w:vAlign w:val="bottom"/>
            <w:tcBorders>
              <w:bottom w:val="single" w:sz="8" w:color="CCEEFF"/>
            </w:tcBorders>
          </w:tcPr>
          <w:p>
            <w:pPr>
              <w:spacing w:after="0"/>
              <w:rPr>
                <w:sz w:val="13"/>
                <w:szCs w:val="13"/>
                <w:color w:val="auto"/>
              </w:rPr>
            </w:pPr>
          </w:p>
        </w:tc>
        <w:tc>
          <w:tcPr>
            <w:tcW w:w="18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0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200,692</w:t>
            </w:r>
          </w:p>
        </w:tc>
        <w:tc>
          <w:tcPr>
            <w:tcW w:w="22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200,419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Non-Affiliate Warrant Investments — 6.7% (8)</w:t>
            </w: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4"/>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Warrants — Life Science — 1.6% (8)</w:t>
            </w:r>
          </w:p>
        </w:tc>
        <w:tc>
          <w:tcPr>
            <w:tcW w:w="3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ACT Biotech Corporation (14)</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604,038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Alpine Immune Sciences, Inc. (5)(14)</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4,634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Argos Therapeutics, Inc. (2)(5)(14)</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73,112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Celsion Corporation (5)(14)</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408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line="130" w:lineRule="exact"/>
              <w:rPr>
                <w:sz w:val="20"/>
                <w:szCs w:val="20"/>
                <w:color w:val="auto"/>
              </w:rPr>
            </w:pPr>
            <w:r>
              <w:rPr>
                <w:rFonts w:ascii="Arial" w:cs="Arial" w:eastAsia="Arial" w:hAnsi="Arial"/>
                <w:sz w:val="14"/>
                <w:szCs w:val="14"/>
                <w:color w:val="auto"/>
                <w:w w:val="96"/>
              </w:rPr>
              <w:t>Rocket Pharmaceuticals Corporation (5)</w:t>
            </w:r>
          </w:p>
        </w:tc>
        <w:tc>
          <w:tcPr>
            <w:tcW w:w="206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Biotechnology</w:t>
            </w:r>
          </w:p>
        </w:tc>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40" w:type="dxa"/>
            <w:vAlign w:val="bottom"/>
            <w:gridSpan w:val="2"/>
          </w:tcPr>
          <w:p>
            <w:pPr>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20" w:type="dxa"/>
            <w:vAlign w:val="bottom"/>
            <w:gridSpan w:val="2"/>
          </w:tcPr>
          <w:p>
            <w:pPr>
              <w:spacing w:after="0"/>
              <w:rPr>
                <w:sz w:val="20"/>
                <w:szCs w:val="20"/>
                <w:color w:val="auto"/>
              </w:rPr>
            </w:pPr>
            <w:r>
              <w:rPr>
                <w:rFonts w:ascii="Arial" w:cs="Arial" w:eastAsia="Arial" w:hAnsi="Arial"/>
                <w:sz w:val="14"/>
                <w:szCs w:val="14"/>
                <w:color w:val="auto"/>
              </w:rPr>
              <w:t>7,051 Common Stock Warrants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Palatin Technologies, Inc. (2)(5)(14)</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608,058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Revance Therapeutics, Inc. (5)(14)</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34,113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Sample6, Inc. (2)(14)</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661,956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Strongbridge U.S. Inc. (5)(14)</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160,714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72</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Sunesis Pharmaceuticals, Inc. (5)(14)</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2,050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vTv Therapeutics Inc. (2)(5)(14)</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95,293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Titan Pharmaceuticals, Inc. (2)(5)(14)</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Drug Delivery</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280,612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AccuVein Inc. (2)(14)</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75,769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Aerin Medical, Inc. (2)(14)</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1,818,182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Conventus Orthopaedics, Inc. (2)(14)</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720,000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IntegenX, Inc. (2)(14)</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170,646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Lantos Technologies, Inc. (2)(14)</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471,979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Mederi Therapeutics, Inc. (2)(14)</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248,736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Mitralign, Inc. (2)(14)</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64,190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NinePoint Medical, Inc. (2)(14)</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29,102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OraMetrix, Inc. (2)(14)</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812,348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ReShape Lifesciences Inc. (5)(14)</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134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Tryton Medical, Inc. (2)(14)</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122,362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VERO Biotech LLC (2)(14)</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800,000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Arial" w:cs="Arial" w:eastAsia="Arial" w:hAnsi="Arial"/>
                <w:sz w:val="14"/>
                <w:szCs w:val="14"/>
                <w:color w:val="auto"/>
              </w:rPr>
              <w:t>ViOptix, Inc. (14)</w:t>
            </w:r>
          </w:p>
        </w:tc>
        <w:tc>
          <w:tcPr>
            <w:tcW w:w="2060" w:type="dxa"/>
            <w:vAlign w:val="bottom"/>
            <w:gridSpan w:val="3"/>
          </w:tcPr>
          <w:p>
            <w:pPr>
              <w:ind w:left="100"/>
              <w:spacing w:after="0"/>
              <w:rPr>
                <w:sz w:val="20"/>
                <w:szCs w:val="20"/>
                <w:color w:val="auto"/>
              </w:rPr>
            </w:pPr>
            <w:r>
              <w:rPr>
                <w:rFonts w:ascii="Arial" w:cs="Arial" w:eastAsia="Arial" w:hAnsi="Arial"/>
                <w:sz w:val="14"/>
                <w:szCs w:val="14"/>
                <w:color w:val="auto"/>
              </w:rPr>
              <w:t>Medical Device</w:t>
            </w:r>
          </w:p>
        </w:tc>
        <w:tc>
          <w:tcPr>
            <w:tcW w:w="3120" w:type="dxa"/>
            <w:vAlign w:val="bottom"/>
            <w:gridSpan w:val="2"/>
          </w:tcPr>
          <w:p>
            <w:pPr>
              <w:spacing w:after="0"/>
              <w:rPr>
                <w:sz w:val="20"/>
                <w:szCs w:val="20"/>
                <w:color w:val="auto"/>
              </w:rPr>
            </w:pPr>
            <w:r>
              <w:rPr>
                <w:rFonts w:ascii="Arial" w:cs="Arial" w:eastAsia="Arial" w:hAnsi="Arial"/>
                <w:sz w:val="14"/>
                <w:szCs w:val="14"/>
                <w:color w:val="auto"/>
              </w:rPr>
              <w:t>375,763 Preferred Stock Warrants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w:t>
            </w:r>
          </w:p>
        </w:tc>
        <w:tc>
          <w:tcPr>
            <w:tcW w:w="22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80" w:type="dxa"/>
            <w:vAlign w:val="bottom"/>
            <w:tcBorders>
              <w:top w:val="single" w:sz="8" w:color="CCEEFF"/>
            </w:tcBorders>
            <w:gridSpan w:val="4"/>
            <w:shd w:val="clear" w:color="auto" w:fill="CCEEFF"/>
          </w:tcPr>
          <w:p>
            <w:pPr>
              <w:spacing w:after="0" w:line="155" w:lineRule="exact"/>
              <w:rPr>
                <w:sz w:val="20"/>
                <w:szCs w:val="20"/>
                <w:color w:val="auto"/>
              </w:rPr>
            </w:pPr>
            <w:r>
              <w:rPr>
                <w:rFonts w:ascii="Arial" w:cs="Arial" w:eastAsia="Arial" w:hAnsi="Arial"/>
                <w:sz w:val="14"/>
                <w:szCs w:val="14"/>
                <w:color w:val="auto"/>
              </w:rPr>
              <w:t>Total Non-Affiliate Warrants — Life Science</w:t>
            </w:r>
          </w:p>
        </w:tc>
        <w:tc>
          <w:tcPr>
            <w:tcW w:w="30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1,504</w:t>
            </w:r>
          </w:p>
        </w:tc>
        <w:tc>
          <w:tcPr>
            <w:tcW w:w="22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2,175</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Non-Affiliate Warrants — Technology — 4.6% (8)</w:t>
            </w:r>
          </w:p>
        </w:tc>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Ekahau, Inc. (2)(14)</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Communications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978,261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Intelepeer Holdings, Inc. (14)</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Communications</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2,256,549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149</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PebblePost, Inc. (2)(14)</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Communications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598,850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Additech, Inc. (2)(14)</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7"/>
              </w:rPr>
              <w:t>Consumer-related Technologies</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150,000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Gwynnie Bee, Inc. (2)(14)</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Consumer-related Technologies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268,591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Le Tote, Inc. (2)(14)</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7"/>
              </w:rPr>
              <w:t>Consumer-related Technologies</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202,974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Rhapsody International Inc. (2)(14)</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Consumer-related Technologies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852,273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SavingStar, Inc. (2)(14)</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w w:val="97"/>
              </w:rPr>
              <w:t>Consumer-related Technologies</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850,439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104</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IgnitionOne, Inc. (2)(14)</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Internet and Media</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262,910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Jump Ramp Games, Inc. (2)(14)</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Internet and Media</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159,766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Kixeye, Inc. (2)(14)</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Internet and Media</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791,251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Rocket Lawyer Incorporated (2)(14)</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Internet and Media</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261,721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NanoSteel Company, Inc. (2)(14)</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Materials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379,360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Nanocomp Technologies, Inc. (2)(14)</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Networking</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1,440,489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Powerhouse Dynamics, Inc. (2)(14)</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Power Management</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290,698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Avalanche Technology, Inc. (2)(14)</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Semiconductors</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202,602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eASIC Corporation (2)(14)</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Semiconductors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40,445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Kaminario, Inc.(14)</w:t>
            </w:r>
          </w:p>
        </w:tc>
        <w:tc>
          <w:tcPr>
            <w:tcW w:w="206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Semiconductors</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1,087,203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Luxtera, Inc.(2)(14)</w:t>
            </w:r>
          </w:p>
        </w:tc>
        <w:tc>
          <w:tcPr>
            <w:tcW w:w="206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Semiconductors</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3,546,553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Cost of</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Fair</w:t>
            </w:r>
          </w:p>
        </w:tc>
      </w:tr>
      <w:tr>
        <w:trPr>
          <w:trHeight w:val="171"/>
        </w:trPr>
        <w:tc>
          <w:tcPr>
            <w:tcW w:w="250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(1)(3)</w:t>
            </w:r>
          </w:p>
        </w:tc>
        <w:tc>
          <w:tcPr>
            <w:tcW w:w="40" w:type="dxa"/>
            <w:vAlign w:val="bottom"/>
          </w:tcPr>
          <w:p>
            <w:pPr>
              <w:spacing w:after="0"/>
              <w:rPr>
                <w:sz w:val="14"/>
                <w:szCs w:val="14"/>
                <w:color w:val="auto"/>
              </w:rPr>
            </w:pPr>
          </w:p>
        </w:tc>
        <w:tc>
          <w:tcPr>
            <w:tcW w:w="1960" w:type="dxa"/>
            <w:vAlign w:val="bottom"/>
            <w:gridSpan w:val="2"/>
          </w:tcPr>
          <w:p>
            <w:pPr>
              <w:ind w:left="720"/>
              <w:spacing w:after="0"/>
              <w:rPr>
                <w:sz w:val="20"/>
                <w:szCs w:val="20"/>
                <w:color w:val="auto"/>
              </w:rPr>
            </w:pPr>
            <w:r>
              <w:rPr>
                <w:rFonts w:ascii="Arial" w:cs="Arial" w:eastAsia="Arial" w:hAnsi="Arial"/>
                <w:sz w:val="14"/>
                <w:szCs w:val="14"/>
                <w:b w:val="1"/>
                <w:bCs w:val="1"/>
                <w:color w:val="auto"/>
              </w:rPr>
              <w:t>Sector</w:t>
            </w:r>
          </w:p>
        </w:tc>
        <w:tc>
          <w:tcPr>
            <w:tcW w:w="3120" w:type="dxa"/>
            <w:vAlign w:val="bottom"/>
            <w:gridSpan w:val="2"/>
          </w:tcPr>
          <w:p>
            <w:pPr>
              <w:ind w:left="520"/>
              <w:spacing w:after="0"/>
              <w:rPr>
                <w:sz w:val="20"/>
                <w:szCs w:val="20"/>
                <w:color w:val="auto"/>
              </w:rPr>
            </w:pPr>
            <w:r>
              <w:rPr>
                <w:rFonts w:ascii="Arial" w:cs="Arial" w:eastAsia="Arial" w:hAnsi="Arial"/>
                <w:sz w:val="14"/>
                <w:szCs w:val="14"/>
                <w:b w:val="1"/>
                <w:bCs w:val="1"/>
                <w:color w:val="auto"/>
              </w:rPr>
              <w:t>Type of Investment (4)(7)(9)(10)</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Investments (6)</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2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Soraa, Inc. (2)(14)</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8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Semiconductors</w:t>
            </w:r>
          </w:p>
        </w:tc>
        <w:tc>
          <w:tcPr>
            <w:tcW w:w="120" w:type="dxa"/>
            <w:vAlign w:val="bottom"/>
            <w:tcBorders>
              <w:top w:val="single" w:sz="8" w:color="CCEEFF"/>
            </w:tcBorders>
            <w:shd w:val="clear" w:color="auto" w:fill="CCEEFF"/>
          </w:tcPr>
          <w:p>
            <w:pPr>
              <w:spacing w:after="0"/>
              <w:rPr>
                <w:sz w:val="12"/>
                <w:szCs w:val="12"/>
                <w:color w:val="auto"/>
              </w:rPr>
            </w:pPr>
          </w:p>
        </w:tc>
        <w:tc>
          <w:tcPr>
            <w:tcW w:w="30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203,616 Preferred Stock Warrants</w:t>
            </w:r>
          </w:p>
        </w:tc>
        <w:tc>
          <w:tcPr>
            <w:tcW w:w="12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80</w:t>
            </w:r>
          </w:p>
        </w:tc>
        <w:tc>
          <w:tcPr>
            <w:tcW w:w="22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438</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Bolt Solutions Inc. (2)(14)</w:t>
            </w:r>
          </w:p>
        </w:tc>
        <w:tc>
          <w:tcPr>
            <w:tcW w:w="20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Software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202,892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w:t>
            </w: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w:t>
            </w: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Bridge2 Solutions, Inc. (2)(14)</w:t>
            </w:r>
          </w:p>
        </w:tc>
        <w:tc>
          <w:tcPr>
            <w:tcW w:w="200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Software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125,458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760</w:t>
            </w: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Clarabridge, Inc. (14)</w:t>
            </w:r>
          </w:p>
        </w:tc>
        <w:tc>
          <w:tcPr>
            <w:tcW w:w="20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Software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53,486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w:t>
            </w: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Digital Signal Corporation (14)</w:t>
            </w:r>
          </w:p>
        </w:tc>
        <w:tc>
          <w:tcPr>
            <w:tcW w:w="200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Software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125,116 Common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Education Elements, Inc. (2)(14)</w:t>
            </w:r>
          </w:p>
        </w:tc>
        <w:tc>
          <w:tcPr>
            <w:tcW w:w="20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Software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238,121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w:t>
            </w: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Lotame Solutions, Inc. (2)(14)</w:t>
            </w:r>
          </w:p>
        </w:tc>
        <w:tc>
          <w:tcPr>
            <w:tcW w:w="200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Software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288,115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281</w:t>
            </w: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Metricly, Inc. (14)</w:t>
            </w:r>
          </w:p>
        </w:tc>
        <w:tc>
          <w:tcPr>
            <w:tcW w:w="20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Software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41,569 Common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Riv Data Corp. (2)(14)</w:t>
            </w:r>
          </w:p>
        </w:tc>
        <w:tc>
          <w:tcPr>
            <w:tcW w:w="200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Software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321,428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w:t>
            </w: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ShopKeep.com, Inc. (2)(14)</w:t>
            </w:r>
          </w:p>
        </w:tc>
        <w:tc>
          <w:tcPr>
            <w:tcW w:w="20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Software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193,962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118</w:t>
            </w: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138</w:t>
            </w: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SIGNiX, Inc. (14)</w:t>
            </w:r>
          </w:p>
        </w:tc>
        <w:tc>
          <w:tcPr>
            <w:tcW w:w="200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Software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133,560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w:t>
            </w: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Skyword, Inc. (14)</w:t>
            </w:r>
          </w:p>
        </w:tc>
        <w:tc>
          <w:tcPr>
            <w:tcW w:w="20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Software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301,056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w:t>
            </w: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SpringCM, Inc. (2)(14)</w:t>
            </w:r>
          </w:p>
        </w:tc>
        <w:tc>
          <w:tcPr>
            <w:tcW w:w="200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Software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2,385,686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132</w:t>
            </w: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Sys-Tech Solutions, Inc. (14)</w:t>
            </w:r>
          </w:p>
        </w:tc>
        <w:tc>
          <w:tcPr>
            <w:tcW w:w="20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Software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375,000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242</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464</w:t>
            </w:r>
          </w:p>
        </w:tc>
      </w:tr>
      <w:tr>
        <w:trPr>
          <w:trHeight w:val="149"/>
        </w:trPr>
        <w:tc>
          <w:tcPr>
            <w:tcW w:w="2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Visage Mobile, Inc. (14)</w:t>
            </w:r>
          </w:p>
        </w:tc>
        <w:tc>
          <w:tcPr>
            <w:tcW w:w="2000" w:type="dxa"/>
            <w:vAlign w:val="bottom"/>
            <w:gridSpan w:val="3"/>
            <w:shd w:val="clear" w:color="auto" w:fill="CCEEFF"/>
          </w:tcPr>
          <w:p>
            <w:pPr>
              <w:ind w:left="40"/>
              <w:spacing w:after="0" w:line="149" w:lineRule="exact"/>
              <w:rPr>
                <w:sz w:val="20"/>
                <w:szCs w:val="20"/>
                <w:color w:val="auto"/>
              </w:rPr>
            </w:pPr>
            <w:r>
              <w:rPr>
                <w:rFonts w:ascii="Arial" w:cs="Arial" w:eastAsia="Arial" w:hAnsi="Arial"/>
                <w:sz w:val="14"/>
                <w:szCs w:val="14"/>
                <w:color w:val="auto"/>
              </w:rPr>
              <w:t>Software</w:t>
            </w: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1,692,047 Preferred Stock Warrants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Weblinc Corporation (2)(14)</w:t>
            </w:r>
          </w:p>
        </w:tc>
        <w:tc>
          <w:tcPr>
            <w:tcW w:w="20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Software</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195,122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w:t>
            </w:r>
          </w:p>
        </w:tc>
      </w:tr>
      <w:tr>
        <w:trPr>
          <w:trHeight w:val="162"/>
        </w:trPr>
        <w:tc>
          <w:tcPr>
            <w:tcW w:w="2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xAd, Inc. (2)(14)</w:t>
            </w:r>
          </w:p>
        </w:tc>
        <w:tc>
          <w:tcPr>
            <w:tcW w:w="20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Software</w:t>
            </w: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4,343,350 Preferred Stock Warrants</w:t>
            </w: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177</w:t>
            </w:r>
          </w:p>
        </w:tc>
      </w:tr>
      <w:tr>
        <w:trPr>
          <w:trHeight w:val="142"/>
        </w:trPr>
        <w:tc>
          <w:tcPr>
            <w:tcW w:w="4500" w:type="dxa"/>
            <w:vAlign w:val="bottom"/>
            <w:tcBorders>
              <w:bottom w:val="single" w:sz="8" w:color="CCEEFF"/>
            </w:tcBorders>
            <w:gridSpan w:val="5"/>
          </w:tcPr>
          <w:p>
            <w:pPr>
              <w:spacing w:after="0" w:line="142" w:lineRule="exact"/>
              <w:rPr>
                <w:sz w:val="20"/>
                <w:szCs w:val="20"/>
                <w:color w:val="auto"/>
              </w:rPr>
            </w:pPr>
            <w:r>
              <w:rPr>
                <w:rFonts w:ascii="Arial" w:cs="Arial" w:eastAsia="Arial" w:hAnsi="Arial"/>
                <w:sz w:val="14"/>
                <w:szCs w:val="14"/>
                <w:color w:val="auto"/>
              </w:rPr>
              <w:t>Total Non-Affiliate Warrants — Technology</w:t>
            </w:r>
          </w:p>
        </w:tc>
        <w:tc>
          <w:tcPr>
            <w:tcW w:w="30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3,962</w:t>
            </w:r>
          </w:p>
        </w:tc>
        <w:tc>
          <w:tcPr>
            <w:tcW w:w="22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6,170</w:t>
            </w:r>
          </w:p>
        </w:tc>
        <w:tc>
          <w:tcPr>
            <w:tcW w:w="100" w:type="dxa"/>
            <w:vAlign w:val="bottom"/>
            <w:tcBorders>
              <w:bottom w:val="single" w:sz="8" w:color="CCEEFF"/>
            </w:tcBorders>
          </w:tcPr>
          <w:p>
            <w:pPr>
              <w:spacing w:after="0"/>
              <w:rPr>
                <w:sz w:val="12"/>
                <w:szCs w:val="12"/>
                <w:color w:val="auto"/>
              </w:rPr>
            </w:pPr>
          </w:p>
        </w:tc>
      </w:tr>
      <w:tr>
        <w:trPr>
          <w:trHeight w:val="142"/>
        </w:trPr>
        <w:tc>
          <w:tcPr>
            <w:tcW w:w="4500" w:type="dxa"/>
            <w:vAlign w:val="bottom"/>
            <w:gridSpan w:val="5"/>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Non-Affiliate Warrants — Cleantech — 0.1% (8)</w:t>
            </w:r>
          </w:p>
        </w:tc>
        <w:tc>
          <w:tcPr>
            <w:tcW w:w="3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500" w:type="dxa"/>
            <w:vAlign w:val="bottom"/>
            <w:gridSpan w:val="2"/>
          </w:tcPr>
          <w:p>
            <w:pPr>
              <w:spacing w:after="0" w:line="149" w:lineRule="exact"/>
              <w:rPr>
                <w:sz w:val="20"/>
                <w:szCs w:val="20"/>
                <w:color w:val="auto"/>
              </w:rPr>
            </w:pPr>
            <w:r>
              <w:rPr>
                <w:rFonts w:ascii="Arial" w:cs="Arial" w:eastAsia="Arial" w:hAnsi="Arial"/>
                <w:sz w:val="14"/>
                <w:szCs w:val="14"/>
                <w:color w:val="auto"/>
              </w:rPr>
              <w:t>Renmatix, Inc. (14)</w:t>
            </w:r>
          </w:p>
        </w:tc>
        <w:tc>
          <w:tcPr>
            <w:tcW w:w="200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Alternative Energy</w:t>
            </w:r>
          </w:p>
        </w:tc>
        <w:tc>
          <w:tcPr>
            <w:tcW w:w="3120" w:type="dxa"/>
            <w:vAlign w:val="bottom"/>
            <w:gridSpan w:val="2"/>
          </w:tcPr>
          <w:p>
            <w:pPr>
              <w:spacing w:after="0" w:line="149" w:lineRule="exact"/>
              <w:rPr>
                <w:sz w:val="20"/>
                <w:szCs w:val="20"/>
                <w:color w:val="auto"/>
              </w:rPr>
            </w:pPr>
            <w:r>
              <w:rPr>
                <w:rFonts w:ascii="Arial" w:cs="Arial" w:eastAsia="Arial" w:hAnsi="Arial"/>
                <w:sz w:val="14"/>
                <w:szCs w:val="14"/>
                <w:color w:val="auto"/>
              </w:rPr>
              <w:t>53,022 Preferred Stock Warrants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22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62"/>
        </w:trPr>
        <w:tc>
          <w:tcPr>
            <w:tcW w:w="2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Tigo Energy, Inc. (2)(14)</w:t>
            </w:r>
          </w:p>
        </w:tc>
        <w:tc>
          <w:tcPr>
            <w:tcW w:w="20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Energy Efficiency</w:t>
            </w: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804,604 Preferred Stock Warrants</w:t>
            </w: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117</w:t>
            </w:r>
          </w:p>
        </w:tc>
      </w:tr>
      <w:tr>
        <w:trPr>
          <w:trHeight w:val="135"/>
        </w:trPr>
        <w:tc>
          <w:tcPr>
            <w:tcW w:w="2500" w:type="dxa"/>
            <w:vAlign w:val="bottom"/>
            <w:gridSpan w:val="2"/>
          </w:tcPr>
          <w:p>
            <w:pPr>
              <w:spacing w:after="0" w:line="135" w:lineRule="exact"/>
              <w:rPr>
                <w:sz w:val="20"/>
                <w:szCs w:val="20"/>
                <w:color w:val="auto"/>
              </w:rPr>
            </w:pPr>
            <w:r>
              <w:rPr>
                <w:rFonts w:ascii="Arial" w:cs="Arial" w:eastAsia="Arial" w:hAnsi="Arial"/>
                <w:sz w:val="14"/>
                <w:szCs w:val="14"/>
                <w:color w:val="auto"/>
                <w:w w:val="96"/>
              </w:rPr>
              <w:t>Total Non-Affiliate Warrants — Cleantech</w:t>
            </w:r>
          </w:p>
        </w:tc>
        <w:tc>
          <w:tcPr>
            <w:tcW w:w="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168</w:t>
            </w:r>
          </w:p>
        </w:tc>
        <w:tc>
          <w:tcPr>
            <w:tcW w:w="220" w:type="dxa"/>
            <w:vAlign w:val="bottom"/>
          </w:tcPr>
          <w:p>
            <w:pPr>
              <w:spacing w:after="0"/>
              <w:rPr>
                <w:sz w:val="11"/>
                <w:szCs w:val="11"/>
                <w:color w:val="auto"/>
              </w:rPr>
            </w:pPr>
          </w:p>
        </w:tc>
        <w:tc>
          <w:tcPr>
            <w:tcW w:w="10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color w:val="auto"/>
              </w:rPr>
              <w:t>117</w:t>
            </w:r>
          </w:p>
        </w:tc>
        <w:tc>
          <w:tcPr>
            <w:tcW w:w="100" w:type="dxa"/>
            <w:vAlign w:val="bottom"/>
          </w:tcPr>
          <w:p>
            <w:pPr>
              <w:spacing w:after="0"/>
              <w:rPr>
                <w:sz w:val="11"/>
                <w:szCs w:val="11"/>
                <w:color w:val="auto"/>
              </w:rPr>
            </w:pPr>
          </w:p>
        </w:tc>
      </w:tr>
    </w:tbl>
    <w:p>
      <w:pPr>
        <w:spacing w:after="0"/>
        <w:rPr>
          <w:sz w:val="20"/>
          <w:szCs w:val="20"/>
          <w:color w:val="auto"/>
        </w:rPr>
      </w:pPr>
      <w:r>
        <w:rPr>
          <w:rFonts w:ascii="Arial" w:cs="Arial" w:eastAsia="Arial" w:hAnsi="Arial"/>
          <w:sz w:val="14"/>
          <w:szCs w:val="14"/>
          <w:b w:val="1"/>
          <w:bCs w:val="1"/>
          <w:color w:val="auto"/>
        </w:rPr>
        <w:t>Non-Affiliate Warrants — Healthcare information and services — 0.4%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1028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2440" w:type="dxa"/>
            <w:vAlign w:val="bottom"/>
            <w:gridSpan w:val="2"/>
          </w:tcPr>
          <w:p>
            <w:pPr>
              <w:spacing w:after="0" w:line="157" w:lineRule="exact"/>
              <w:rPr>
                <w:sz w:val="20"/>
                <w:szCs w:val="20"/>
                <w:color w:val="auto"/>
              </w:rPr>
            </w:pPr>
            <w:r>
              <w:rPr>
                <w:rFonts w:ascii="Arial" w:cs="Arial" w:eastAsia="Arial" w:hAnsi="Arial"/>
                <w:sz w:val="14"/>
                <w:szCs w:val="14"/>
                <w:color w:val="auto"/>
              </w:rPr>
              <w:t>LifePrint Group, Inc. (2)(14)</w:t>
            </w:r>
          </w:p>
        </w:tc>
        <w:tc>
          <w:tcPr>
            <w:tcW w:w="2000" w:type="dxa"/>
            <w:vAlign w:val="bottom"/>
          </w:tcPr>
          <w:p>
            <w:pPr>
              <w:ind w:left="100"/>
              <w:spacing w:after="0" w:line="157" w:lineRule="exact"/>
              <w:rPr>
                <w:sz w:val="20"/>
                <w:szCs w:val="20"/>
                <w:color w:val="auto"/>
              </w:rPr>
            </w:pPr>
            <w:r>
              <w:rPr>
                <w:rFonts w:ascii="Arial" w:cs="Arial" w:eastAsia="Arial" w:hAnsi="Arial"/>
                <w:sz w:val="14"/>
                <w:szCs w:val="14"/>
                <w:color w:val="auto"/>
              </w:rPr>
              <w:t>Diagnostics</w:t>
            </w:r>
          </w:p>
        </w:tc>
        <w:tc>
          <w:tcPr>
            <w:tcW w:w="3580" w:type="dxa"/>
            <w:vAlign w:val="bottom"/>
          </w:tcPr>
          <w:p>
            <w:pPr>
              <w:ind w:left="60"/>
              <w:spacing w:after="0" w:line="157" w:lineRule="exact"/>
              <w:rPr>
                <w:sz w:val="20"/>
                <w:szCs w:val="20"/>
                <w:color w:val="auto"/>
              </w:rPr>
            </w:pPr>
            <w:r>
              <w:rPr>
                <w:rFonts w:ascii="Arial" w:cs="Arial" w:eastAsia="Arial" w:hAnsi="Arial"/>
                <w:sz w:val="14"/>
                <w:szCs w:val="14"/>
                <w:color w:val="auto"/>
              </w:rPr>
              <w:t>49,000 Preferred Stock Warrants</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29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ProterixBio, Inc. (2)(14)</w:t>
            </w:r>
          </w:p>
        </w:tc>
        <w:tc>
          <w:tcPr>
            <w:tcW w:w="2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Diagnostics</w:t>
            </w:r>
          </w:p>
        </w:tc>
        <w:tc>
          <w:tcPr>
            <w:tcW w:w="3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3,156 Common Stock Warrants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Singulex, Inc. (14)</w:t>
            </w:r>
          </w:p>
        </w:tc>
        <w:tc>
          <w:tcPr>
            <w:tcW w:w="2000" w:type="dxa"/>
            <w:vAlign w:val="bottom"/>
          </w:tcPr>
          <w:p>
            <w:pPr>
              <w:ind w:left="100"/>
              <w:spacing w:after="0" w:line="149" w:lineRule="exact"/>
              <w:rPr>
                <w:sz w:val="20"/>
                <w:szCs w:val="20"/>
                <w:color w:val="auto"/>
              </w:rPr>
            </w:pPr>
            <w:r>
              <w:rPr>
                <w:rFonts w:ascii="Arial" w:cs="Arial" w:eastAsia="Arial" w:hAnsi="Arial"/>
                <w:sz w:val="14"/>
                <w:szCs w:val="14"/>
                <w:color w:val="auto"/>
              </w:rPr>
              <w:t>Other Healthcare</w:t>
            </w:r>
          </w:p>
        </w:tc>
        <w:tc>
          <w:tcPr>
            <w:tcW w:w="3580" w:type="dxa"/>
            <w:vAlign w:val="bottom"/>
          </w:tcPr>
          <w:p>
            <w:pPr>
              <w:ind w:left="60"/>
              <w:spacing w:after="0" w:line="149" w:lineRule="exact"/>
              <w:rPr>
                <w:sz w:val="20"/>
                <w:szCs w:val="20"/>
                <w:color w:val="auto"/>
              </w:rPr>
            </w:pPr>
            <w:r>
              <w:rPr>
                <w:rFonts w:ascii="Arial" w:cs="Arial" w:eastAsia="Arial" w:hAnsi="Arial"/>
                <w:sz w:val="14"/>
                <w:szCs w:val="14"/>
                <w:color w:val="auto"/>
              </w:rPr>
              <w:t>294,231 Preferred Stock Warrants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Verity Solutions Group, Inc. (14)</w:t>
            </w:r>
          </w:p>
        </w:tc>
        <w:tc>
          <w:tcPr>
            <w:tcW w:w="2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Healthcare</w:t>
            </w:r>
          </w:p>
        </w:tc>
        <w:tc>
          <w:tcPr>
            <w:tcW w:w="3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300,360 Preferred Stock Warrants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Watermark Medical, Inc. (2)(14)</w:t>
            </w:r>
          </w:p>
        </w:tc>
        <w:tc>
          <w:tcPr>
            <w:tcW w:w="2000" w:type="dxa"/>
            <w:vAlign w:val="bottom"/>
          </w:tcPr>
          <w:p>
            <w:pPr>
              <w:ind w:left="100"/>
              <w:spacing w:after="0" w:line="149" w:lineRule="exact"/>
              <w:rPr>
                <w:sz w:val="20"/>
                <w:szCs w:val="20"/>
                <w:color w:val="auto"/>
              </w:rPr>
            </w:pPr>
            <w:r>
              <w:rPr>
                <w:rFonts w:ascii="Arial" w:cs="Arial" w:eastAsia="Arial" w:hAnsi="Arial"/>
                <w:sz w:val="14"/>
                <w:szCs w:val="14"/>
                <w:color w:val="auto"/>
              </w:rPr>
              <w:t>Other Healthcare</w:t>
            </w:r>
          </w:p>
        </w:tc>
        <w:tc>
          <w:tcPr>
            <w:tcW w:w="3580" w:type="dxa"/>
            <w:vAlign w:val="bottom"/>
          </w:tcPr>
          <w:p>
            <w:pPr>
              <w:ind w:left="60"/>
              <w:spacing w:after="0" w:line="149" w:lineRule="exact"/>
              <w:rPr>
                <w:sz w:val="20"/>
                <w:szCs w:val="20"/>
                <w:color w:val="auto"/>
              </w:rPr>
            </w:pPr>
            <w:r>
              <w:rPr>
                <w:rFonts w:ascii="Arial" w:cs="Arial" w:eastAsia="Arial" w:hAnsi="Arial"/>
                <w:sz w:val="14"/>
                <w:szCs w:val="14"/>
                <w:color w:val="auto"/>
              </w:rPr>
              <w:t>27,373 Preferred Stock Warrants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HealthEdge Software, Inc. (2)(14)</w:t>
            </w:r>
          </w:p>
        </w:tc>
        <w:tc>
          <w:tcPr>
            <w:tcW w:w="2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3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110,644 Preferred Stock Warrants</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w w:val="95"/>
              </w:rPr>
              <w:t>Medsphere Systems Corporation (2)(14)</w:t>
            </w:r>
          </w:p>
        </w:tc>
        <w:tc>
          <w:tcPr>
            <w:tcW w:w="2000" w:type="dxa"/>
            <w:vAlign w:val="bottom"/>
          </w:tcPr>
          <w:p>
            <w:pPr>
              <w:ind w:left="100"/>
              <w:spacing w:after="0" w:line="149" w:lineRule="exact"/>
              <w:rPr>
                <w:sz w:val="20"/>
                <w:szCs w:val="20"/>
                <w:color w:val="auto"/>
              </w:rPr>
            </w:pPr>
            <w:r>
              <w:rPr>
                <w:rFonts w:ascii="Arial" w:cs="Arial" w:eastAsia="Arial" w:hAnsi="Arial"/>
                <w:sz w:val="14"/>
                <w:szCs w:val="14"/>
                <w:color w:val="auto"/>
              </w:rPr>
              <w:t>Software</w:t>
            </w:r>
          </w:p>
        </w:tc>
        <w:tc>
          <w:tcPr>
            <w:tcW w:w="3580" w:type="dxa"/>
            <w:vAlign w:val="bottom"/>
          </w:tcPr>
          <w:p>
            <w:pPr>
              <w:ind w:left="60"/>
              <w:spacing w:after="0" w:line="149" w:lineRule="exact"/>
              <w:rPr>
                <w:sz w:val="20"/>
                <w:szCs w:val="20"/>
                <w:color w:val="auto"/>
              </w:rPr>
            </w:pPr>
            <w:r>
              <w:rPr>
                <w:rFonts w:ascii="Arial" w:cs="Arial" w:eastAsia="Arial" w:hAnsi="Arial"/>
                <w:sz w:val="14"/>
                <w:szCs w:val="14"/>
                <w:color w:val="auto"/>
              </w:rPr>
              <w:t>7,097,792 Preferred Stock Warrants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Recondo Technology, Inc. (2)(14)</w:t>
            </w:r>
          </w:p>
        </w:tc>
        <w:tc>
          <w:tcPr>
            <w:tcW w:w="2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3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556,796 Preferred Stock Warrants</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Borders>
              <w:bottom w:val="single" w:sz="8" w:color="CCEEFF"/>
            </w:tcBorders>
            <w:gridSpan w:val="2"/>
          </w:tcPr>
          <w:p>
            <w:pPr>
              <w:spacing w:after="0" w:line="142" w:lineRule="exact"/>
              <w:rPr>
                <w:sz w:val="20"/>
                <w:szCs w:val="20"/>
                <w:color w:val="auto"/>
              </w:rPr>
            </w:pPr>
            <w:r>
              <w:rPr>
                <w:rFonts w:ascii="Arial" w:cs="Arial" w:eastAsia="Arial" w:hAnsi="Arial"/>
                <w:sz w:val="14"/>
                <w:szCs w:val="14"/>
                <w:color w:val="auto"/>
              </w:rPr>
              <w:t>Total Non-Affiliate Warrants — Healthcare information and services</w:t>
            </w:r>
          </w:p>
        </w:tc>
        <w:tc>
          <w:tcPr>
            <w:tcW w:w="35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502</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Non-Affiliate Warrants</w:t>
            </w:r>
          </w:p>
        </w:tc>
        <w:tc>
          <w:tcPr>
            <w:tcW w:w="200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6,136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Non-Affiliate Other Investments — 5.7% (8)</w:t>
            </w:r>
          </w:p>
        </w:tc>
        <w:tc>
          <w:tcPr>
            <w:tcW w:w="35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Espero Pharmaceuticals, Inc. (14)</w:t>
            </w:r>
          </w:p>
        </w:tc>
        <w:tc>
          <w:tcPr>
            <w:tcW w:w="2000" w:type="dxa"/>
            <w:vAlign w:val="bottom"/>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580" w:type="dxa"/>
            <w:vAlign w:val="bottom"/>
          </w:tcPr>
          <w:p>
            <w:pPr>
              <w:ind w:left="60"/>
              <w:spacing w:after="0" w:line="149" w:lineRule="exact"/>
              <w:rPr>
                <w:sz w:val="20"/>
                <w:szCs w:val="20"/>
                <w:color w:val="auto"/>
              </w:rPr>
            </w:pPr>
            <w:r>
              <w:rPr>
                <w:rFonts w:ascii="Arial" w:cs="Arial" w:eastAsia="Arial" w:hAnsi="Arial"/>
                <w:sz w:val="14"/>
                <w:szCs w:val="14"/>
                <w:color w:val="auto"/>
              </w:rPr>
              <w:t>Royalty Agreement</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5,300</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ZetrOZ, Inc. (14)</w:t>
            </w:r>
          </w:p>
        </w:tc>
        <w:tc>
          <w:tcPr>
            <w:tcW w:w="2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Medical Device</w:t>
            </w:r>
          </w:p>
        </w:tc>
        <w:tc>
          <w:tcPr>
            <w:tcW w:w="3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Royalty Agreement</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Vette Technology, LLC (14)</w:t>
            </w:r>
          </w:p>
        </w:tc>
        <w:tc>
          <w:tcPr>
            <w:tcW w:w="2000" w:type="dxa"/>
            <w:vAlign w:val="bottom"/>
          </w:tcPr>
          <w:p>
            <w:pPr>
              <w:ind w:left="100"/>
              <w:spacing w:after="0" w:line="149" w:lineRule="exact"/>
              <w:rPr>
                <w:sz w:val="20"/>
                <w:szCs w:val="20"/>
                <w:color w:val="auto"/>
              </w:rPr>
            </w:pPr>
            <w:r>
              <w:rPr>
                <w:rFonts w:ascii="Arial" w:cs="Arial" w:eastAsia="Arial" w:hAnsi="Arial"/>
                <w:sz w:val="14"/>
                <w:szCs w:val="14"/>
                <w:color w:val="auto"/>
              </w:rPr>
              <w:t>Data Storage</w:t>
            </w:r>
          </w:p>
        </w:tc>
        <w:tc>
          <w:tcPr>
            <w:tcW w:w="3580" w:type="dxa"/>
            <w:vAlign w:val="bottom"/>
          </w:tcPr>
          <w:p>
            <w:pPr>
              <w:ind w:left="60"/>
              <w:spacing w:after="0" w:line="149" w:lineRule="exact"/>
              <w:rPr>
                <w:sz w:val="20"/>
                <w:szCs w:val="20"/>
                <w:color w:val="auto"/>
              </w:rPr>
            </w:pPr>
            <w:r>
              <w:rPr>
                <w:rFonts w:ascii="Arial" w:cs="Arial" w:eastAsia="Arial" w:hAnsi="Arial"/>
                <w:sz w:val="14"/>
                <w:szCs w:val="14"/>
                <w:color w:val="auto"/>
              </w:rPr>
              <w:t>Royalty Agreement Due 4/18/2019</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4,226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Triple Double Holdings, LLC (14)</w:t>
            </w:r>
          </w:p>
        </w:tc>
        <w:tc>
          <w:tcPr>
            <w:tcW w:w="2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3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License Agreement</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2,200</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w w:val="97"/>
              </w:rPr>
              <w:t>Total Non-Affiliate Other Investments</w:t>
            </w:r>
          </w:p>
        </w:tc>
        <w:tc>
          <w:tcPr>
            <w:tcW w:w="2000" w:type="dxa"/>
            <w:vAlign w:val="bottom"/>
            <w:tcBorders>
              <w:bottom w:val="single" w:sz="8" w:color="CCEEFF"/>
            </w:tcBorders>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12,031</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7,700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b w:val="1"/>
                <w:bCs w:val="1"/>
                <w:color w:val="auto"/>
              </w:rPr>
              <w:t>Non-Affiliate Equity — 1.0% (8)</w:t>
            </w:r>
          </w:p>
        </w:tc>
        <w:tc>
          <w:tcPr>
            <w:tcW w:w="20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Insmed Incorporated (5)</w:t>
            </w:r>
          </w:p>
        </w:tc>
        <w:tc>
          <w:tcPr>
            <w:tcW w:w="2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33,208 Common Stock</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Revance Therapeutics, Inc.(5)</w:t>
            </w:r>
          </w:p>
        </w:tc>
        <w:tc>
          <w:tcPr>
            <w:tcW w:w="2000" w:type="dxa"/>
            <w:vAlign w:val="bottom"/>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580" w:type="dxa"/>
            <w:vAlign w:val="bottom"/>
          </w:tcPr>
          <w:p>
            <w:pPr>
              <w:ind w:left="60"/>
              <w:spacing w:after="0" w:line="149" w:lineRule="exact"/>
              <w:rPr>
                <w:sz w:val="20"/>
                <w:szCs w:val="20"/>
                <w:color w:val="auto"/>
              </w:rPr>
            </w:pPr>
            <w:r>
              <w:rPr>
                <w:rFonts w:ascii="Arial" w:cs="Arial" w:eastAsia="Arial" w:hAnsi="Arial"/>
                <w:sz w:val="14"/>
                <w:szCs w:val="14"/>
                <w:color w:val="auto"/>
              </w:rPr>
              <w:t>5,125 Common Stock</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Sunesis Pharmaceuticals, Inc. (5)</w:t>
            </w:r>
          </w:p>
        </w:tc>
        <w:tc>
          <w:tcPr>
            <w:tcW w:w="2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Biotechnology</w:t>
            </w:r>
          </w:p>
        </w:tc>
        <w:tc>
          <w:tcPr>
            <w:tcW w:w="3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13,082 Common Stock</w:t>
            </w: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line="149" w:lineRule="exact"/>
              <w:rPr>
                <w:sz w:val="20"/>
                <w:szCs w:val="20"/>
                <w:color w:val="auto"/>
              </w:rPr>
            </w:pPr>
            <w:r>
              <w:rPr>
                <w:rFonts w:ascii="Arial" w:cs="Arial" w:eastAsia="Arial" w:hAnsi="Arial"/>
                <w:sz w:val="14"/>
                <w:szCs w:val="14"/>
                <w:color w:val="auto"/>
              </w:rPr>
              <w:t>SnagAJob.com, Inc. (14)</w:t>
            </w:r>
          </w:p>
        </w:tc>
        <w:tc>
          <w:tcPr>
            <w:tcW w:w="2000" w:type="dxa"/>
            <w:vAlign w:val="bottom"/>
          </w:tcPr>
          <w:p>
            <w:pPr>
              <w:ind w:left="100"/>
              <w:spacing w:after="0" w:line="149" w:lineRule="exact"/>
              <w:rPr>
                <w:sz w:val="20"/>
                <w:szCs w:val="20"/>
                <w:color w:val="auto"/>
              </w:rPr>
            </w:pPr>
            <w:r>
              <w:rPr>
                <w:rFonts w:ascii="Arial" w:cs="Arial" w:eastAsia="Arial" w:hAnsi="Arial"/>
                <w:sz w:val="14"/>
                <w:szCs w:val="14"/>
                <w:color w:val="auto"/>
                <w:w w:val="94"/>
              </w:rPr>
              <w:t>Consumer-related Technologies</w:t>
            </w:r>
          </w:p>
        </w:tc>
        <w:tc>
          <w:tcPr>
            <w:tcW w:w="3580" w:type="dxa"/>
            <w:vAlign w:val="bottom"/>
          </w:tcPr>
          <w:p>
            <w:pPr>
              <w:ind w:left="60"/>
              <w:spacing w:after="0" w:line="149" w:lineRule="exact"/>
              <w:rPr>
                <w:sz w:val="20"/>
                <w:szCs w:val="20"/>
                <w:color w:val="auto"/>
              </w:rPr>
            </w:pPr>
            <w:r>
              <w:rPr>
                <w:rFonts w:ascii="Arial" w:cs="Arial" w:eastAsia="Arial" w:hAnsi="Arial"/>
                <w:sz w:val="14"/>
                <w:szCs w:val="14"/>
                <w:color w:val="auto"/>
              </w:rPr>
              <w:t>82,974 Common Stock</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rPr>
              <w:t>TruSignal, Inc. (14)</w:t>
            </w:r>
          </w:p>
        </w:tc>
        <w:tc>
          <w:tcPr>
            <w:tcW w:w="2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Software</w:t>
            </w:r>
          </w:p>
        </w:tc>
        <w:tc>
          <w:tcPr>
            <w:tcW w:w="3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32,637 Common Stock</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Non-Affiliate Equity</w:t>
            </w:r>
          </w:p>
        </w:tc>
        <w:tc>
          <w:tcPr>
            <w:tcW w:w="2000" w:type="dxa"/>
            <w:vAlign w:val="bottom"/>
            <w:tcBorders>
              <w:bottom w:val="single" w:sz="8" w:color="CCEEFF"/>
            </w:tcBorders>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1,391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20" w:type="dxa"/>
            <w:vAlign w:val="bottom"/>
            <w:tcBorders>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Non-Affiliate Portfolio Investment Assets</w:t>
            </w:r>
          </w:p>
        </w:tc>
        <w:tc>
          <w:tcPr>
            <w:tcW w:w="35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219,303</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218,600</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2.6% (8)</w:t>
            </w:r>
          </w:p>
        </w:tc>
        <w:tc>
          <w:tcPr>
            <w:tcW w:w="2000" w:type="dxa"/>
            <w:vAlign w:val="bottom"/>
            <w:shd w:val="clear" w:color="auto" w:fill="CCEEFF"/>
          </w:tcPr>
          <w:p>
            <w:pPr>
              <w:spacing w:after="0"/>
              <w:rPr>
                <w:sz w:val="12"/>
                <w:szCs w:val="12"/>
                <w:color w:val="auto"/>
              </w:rPr>
            </w:pPr>
          </w:p>
        </w:tc>
        <w:tc>
          <w:tcPr>
            <w:tcW w:w="35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Affiliate Debt Investments — Technology — 2.5% (8)</w:t>
            </w:r>
          </w:p>
        </w:tc>
        <w:tc>
          <w:tcPr>
            <w:tcW w:w="3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Decisyon, Inc. (14)</w:t>
            </w:r>
          </w:p>
        </w:tc>
        <w:tc>
          <w:tcPr>
            <w:tcW w:w="20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Software</w:t>
            </w:r>
          </w:p>
        </w:tc>
        <w:tc>
          <w:tcPr>
            <w:tcW w:w="358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Term Loan (13.678% cash (Libor + 12.308%; Floor  $</w:t>
            </w:r>
          </w:p>
        </w:tc>
        <w:tc>
          <w:tcPr>
            <w:tcW w:w="760" w:type="dxa"/>
            <w:vAlign w:val="bottom"/>
            <w:shd w:val="clear" w:color="auto" w:fill="CCEEFF"/>
          </w:tcPr>
          <w:p>
            <w:pPr>
              <w:jc w:val="right"/>
              <w:ind w:right="28"/>
              <w:spacing w:after="0" w:line="130" w:lineRule="exact"/>
              <w:rPr>
                <w:sz w:val="20"/>
                <w:szCs w:val="20"/>
                <w:color w:val="auto"/>
              </w:rPr>
            </w:pPr>
            <w:r>
              <w:rPr>
                <w:rFonts w:ascii="Arial" w:cs="Arial" w:eastAsia="Arial" w:hAnsi="Arial"/>
                <w:sz w:val="14"/>
                <w:szCs w:val="14"/>
                <w:color w:val="auto"/>
              </w:rPr>
              <w:t>1,523</w:t>
            </w:r>
          </w:p>
        </w:tc>
        <w:tc>
          <w:tcPr>
            <w:tcW w:w="480" w:type="dxa"/>
            <w:vAlign w:val="bottom"/>
            <w:gridSpan w:val="2"/>
            <w:shd w:val="clear" w:color="auto" w:fill="CCEEFF"/>
          </w:tcPr>
          <w:p>
            <w:pPr>
              <w:jc w:val="right"/>
              <w:ind w:right="249"/>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1,522</w:t>
            </w:r>
          </w:p>
        </w:tc>
        <w:tc>
          <w:tcPr>
            <w:tcW w:w="440" w:type="dxa"/>
            <w:vAlign w:val="bottom"/>
            <w:gridSpan w:val="2"/>
            <w:shd w:val="clear" w:color="auto" w:fill="CCEEFF"/>
          </w:tcPr>
          <w:p>
            <w:pPr>
              <w:jc w:val="right"/>
              <w:ind w:right="209"/>
              <w:spacing w:after="0" w:line="13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1,449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3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12.50%), 8.00% ETP, Due 1/1/20)</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3580" w:type="dxa"/>
            <w:vAlign w:val="bottom"/>
          </w:tcPr>
          <w:p>
            <w:pPr>
              <w:ind w:left="60"/>
              <w:spacing w:after="0" w:line="130" w:lineRule="exact"/>
              <w:rPr>
                <w:sz w:val="20"/>
                <w:szCs w:val="20"/>
                <w:color w:val="auto"/>
              </w:rPr>
            </w:pPr>
            <w:r>
              <w:rPr>
                <w:rFonts w:ascii="Arial" w:cs="Arial" w:eastAsia="Arial" w:hAnsi="Arial"/>
                <w:sz w:val="14"/>
                <w:szCs w:val="14"/>
                <w:color w:val="auto"/>
              </w:rPr>
              <w:t>Term Loan (13.678% cash (Libor + 12.308%; Floor</w:t>
            </w:r>
          </w:p>
        </w:tc>
        <w:tc>
          <w:tcPr>
            <w:tcW w:w="760" w:type="dxa"/>
            <w:vAlign w:val="bottom"/>
          </w:tcPr>
          <w:p>
            <w:pPr>
              <w:jc w:val="right"/>
              <w:ind w:right="28"/>
              <w:spacing w:after="0" w:line="130" w:lineRule="exact"/>
              <w:rPr>
                <w:sz w:val="20"/>
                <w:szCs w:val="20"/>
                <w:color w:val="auto"/>
              </w:rPr>
            </w:pPr>
            <w:r>
              <w:rPr>
                <w:rFonts w:ascii="Arial" w:cs="Arial" w:eastAsia="Arial" w:hAnsi="Arial"/>
                <w:sz w:val="14"/>
                <w:szCs w:val="14"/>
                <w:color w:val="auto"/>
              </w:rPr>
              <w:t>833</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jc w:val="right"/>
              <w:spacing w:after="0" w:line="130" w:lineRule="exact"/>
              <w:rPr>
                <w:sz w:val="20"/>
                <w:szCs w:val="20"/>
                <w:color w:val="auto"/>
              </w:rPr>
            </w:pPr>
            <w:r>
              <w:rPr>
                <w:rFonts w:ascii="Arial" w:cs="Arial" w:eastAsia="Arial" w:hAnsi="Arial"/>
                <w:sz w:val="14"/>
                <w:szCs w:val="14"/>
                <w:color w:val="auto"/>
              </w:rPr>
              <w:t>771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580" w:type="dxa"/>
            <w:vAlign w:val="bottom"/>
          </w:tcPr>
          <w:p>
            <w:pPr>
              <w:ind w:left="60"/>
              <w:spacing w:after="0"/>
              <w:rPr>
                <w:sz w:val="20"/>
                <w:szCs w:val="20"/>
                <w:color w:val="auto"/>
              </w:rPr>
            </w:pPr>
            <w:r>
              <w:rPr>
                <w:rFonts w:ascii="Arial" w:cs="Arial" w:eastAsia="Arial" w:hAnsi="Arial"/>
                <w:sz w:val="14"/>
                <w:szCs w:val="14"/>
                <w:color w:val="auto"/>
              </w:rPr>
              <w:t>12.50%), 8.00% ETP, Due 1/1/20)</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3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Term Loan (12.02% PIK, Due 4/15/19) (13)</w:t>
            </w:r>
          </w:p>
        </w:tc>
        <w:tc>
          <w:tcPr>
            <w:tcW w:w="76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580" w:type="dxa"/>
            <w:vAlign w:val="bottom"/>
          </w:tcPr>
          <w:p>
            <w:pPr>
              <w:ind w:left="60"/>
              <w:spacing w:after="0" w:line="149" w:lineRule="exact"/>
              <w:rPr>
                <w:sz w:val="20"/>
                <w:szCs w:val="20"/>
                <w:color w:val="auto"/>
              </w:rPr>
            </w:pPr>
            <w:r>
              <w:rPr>
                <w:rFonts w:ascii="Arial" w:cs="Arial" w:eastAsia="Arial" w:hAnsi="Arial"/>
                <w:sz w:val="14"/>
                <w:szCs w:val="14"/>
                <w:color w:val="auto"/>
              </w:rPr>
              <w:t>Term Loan (12.03% PIK, Due 4/15/19) (13)</w:t>
            </w:r>
          </w:p>
        </w:tc>
        <w:tc>
          <w:tcPr>
            <w:tcW w:w="7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250</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3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Term Loan (12.24% PIK, Due 4/15/19) (13)</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20" w:type="dxa"/>
            <w:vAlign w:val="bottom"/>
          </w:tcPr>
          <w:p>
            <w:pPr>
              <w:spacing w:after="0" w:line="110" w:lineRule="exact"/>
              <w:rPr>
                <w:sz w:val="20"/>
                <w:szCs w:val="20"/>
                <w:color w:val="auto"/>
              </w:rPr>
            </w:pPr>
            <w:r>
              <w:rPr>
                <w:rFonts w:ascii="Arial" w:cs="Arial" w:eastAsia="Arial" w:hAnsi="Arial"/>
                <w:sz w:val="12"/>
                <w:szCs w:val="12"/>
                <w:color w:val="auto"/>
              </w:rPr>
              <w:t>Total Affiliate Debt Investments —</w:t>
            </w:r>
          </w:p>
        </w:tc>
        <w:tc>
          <w:tcPr>
            <w:tcW w:w="2000" w:type="dxa"/>
            <w:vAlign w:val="bottom"/>
          </w:tcPr>
          <w:p>
            <w:pPr>
              <w:spacing w:after="0"/>
              <w:rPr>
                <w:sz w:val="9"/>
                <w:szCs w:val="9"/>
                <w:color w:val="auto"/>
              </w:rPr>
            </w:pPr>
          </w:p>
        </w:tc>
        <w:tc>
          <w:tcPr>
            <w:tcW w:w="3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440" w:type="dxa"/>
            <w:vAlign w:val="bottom"/>
            <w:gridSpan w:val="2"/>
          </w:tcPr>
          <w:p>
            <w:pPr>
              <w:spacing w:after="0"/>
              <w:rPr>
                <w:sz w:val="20"/>
                <w:szCs w:val="20"/>
                <w:color w:val="auto"/>
              </w:rPr>
            </w:pPr>
            <w:r>
              <w:rPr>
                <w:rFonts w:ascii="Arial" w:cs="Arial" w:eastAsia="Arial" w:hAnsi="Arial"/>
                <w:sz w:val="14"/>
                <w:szCs w:val="14"/>
                <w:color w:val="auto"/>
              </w:rPr>
              <w:t>Technology</w:t>
            </w:r>
          </w:p>
        </w:tc>
        <w:tc>
          <w:tcPr>
            <w:tcW w:w="20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Principal</w:t>
            </w:r>
          </w:p>
        </w:tc>
        <w:tc>
          <w:tcPr>
            <w:tcW w:w="80" w:type="dxa"/>
            <w:vAlign w:val="bottom"/>
          </w:tcPr>
          <w:p>
            <w:pPr>
              <w:spacing w:after="0"/>
              <w:rPr>
                <w:sz w:val="14"/>
                <w:szCs w:val="14"/>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Cost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Portfolio Company (1)(3)</w:t>
            </w:r>
          </w:p>
        </w:tc>
        <w:tc>
          <w:tcPr>
            <w:tcW w:w="1160" w:type="dxa"/>
            <w:vAlign w:val="bottom"/>
          </w:tcPr>
          <w:p>
            <w:pPr>
              <w:ind w:left="500"/>
              <w:spacing w:after="0"/>
              <w:rPr>
                <w:sz w:val="20"/>
                <w:szCs w:val="20"/>
                <w:color w:val="auto"/>
              </w:rPr>
            </w:pPr>
            <w:r>
              <w:rPr>
                <w:rFonts w:ascii="Arial" w:cs="Arial" w:eastAsia="Arial" w:hAnsi="Arial"/>
                <w:sz w:val="14"/>
                <w:szCs w:val="14"/>
                <w:b w:val="1"/>
                <w:bCs w:val="1"/>
                <w:color w:val="auto"/>
              </w:rPr>
              <w:t>Sector</w:t>
            </w:r>
          </w:p>
        </w:tc>
        <w:tc>
          <w:tcPr>
            <w:tcW w:w="3600" w:type="dxa"/>
            <w:vAlign w:val="bottom"/>
            <w:gridSpan w:val="2"/>
          </w:tcPr>
          <w:p>
            <w:pPr>
              <w:ind w:left="900"/>
              <w:spacing w:after="0"/>
              <w:rPr>
                <w:sz w:val="20"/>
                <w:szCs w:val="20"/>
                <w:color w:val="auto"/>
              </w:rPr>
            </w:pPr>
            <w:r>
              <w:rPr>
                <w:rFonts w:ascii="Arial" w:cs="Arial" w:eastAsia="Arial" w:hAnsi="Arial"/>
                <w:sz w:val="14"/>
                <w:szCs w:val="14"/>
                <w:b w:val="1"/>
                <w:bCs w:val="1"/>
                <w:color w:val="auto"/>
              </w:rPr>
              <w:t>Type of Investment (4)(7)(9)(10)</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Investments (6)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Affiliate Warrants — Technology — 0.0% (8)</w:t>
            </w:r>
          </w:p>
        </w:tc>
        <w:tc>
          <w:tcPr>
            <w:tcW w:w="3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4"/>
                <w:szCs w:val="14"/>
                <w:color w:val="auto"/>
              </w:rPr>
              <w:t>Decisyon, Inc. (14)</w:t>
            </w:r>
          </w:p>
        </w:tc>
        <w:tc>
          <w:tcPr>
            <w:tcW w:w="1160" w:type="dxa"/>
            <w:vAlign w:val="bottom"/>
          </w:tcPr>
          <w:p>
            <w:pPr>
              <w:ind w:left="60"/>
              <w:spacing w:after="0"/>
              <w:rPr>
                <w:sz w:val="20"/>
                <w:szCs w:val="20"/>
                <w:color w:val="auto"/>
              </w:rPr>
            </w:pPr>
            <w:r>
              <w:rPr>
                <w:rFonts w:ascii="Arial" w:cs="Arial" w:eastAsia="Arial" w:hAnsi="Arial"/>
                <w:sz w:val="14"/>
                <w:szCs w:val="14"/>
                <w:color w:val="auto"/>
              </w:rPr>
              <w:t>Software</w:t>
            </w:r>
          </w:p>
        </w:tc>
        <w:tc>
          <w:tcPr>
            <w:tcW w:w="3600" w:type="dxa"/>
            <w:vAlign w:val="bottom"/>
            <w:gridSpan w:val="2"/>
          </w:tcPr>
          <w:p>
            <w:pPr>
              <w:ind w:left="280"/>
              <w:spacing w:after="0"/>
              <w:rPr>
                <w:sz w:val="20"/>
                <w:szCs w:val="20"/>
                <w:color w:val="auto"/>
              </w:rPr>
            </w:pPr>
            <w:r>
              <w:rPr>
                <w:rFonts w:ascii="Arial" w:cs="Arial" w:eastAsia="Arial" w:hAnsi="Arial"/>
                <w:sz w:val="14"/>
                <w:szCs w:val="14"/>
                <w:color w:val="auto"/>
              </w:rPr>
              <w:t>82,967 Common Stock Warrants</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Affiliate Warrants — Technology</w:t>
            </w:r>
          </w:p>
        </w:tc>
        <w:tc>
          <w:tcPr>
            <w:tcW w:w="1160" w:type="dxa"/>
            <w:vAlign w:val="bottom"/>
            <w:tcBorders>
              <w:top w:val="single" w:sz="8" w:color="CCEEFF"/>
            </w:tcBorders>
            <w:shd w:val="clear" w:color="auto" w:fill="CCEEFF"/>
          </w:tcPr>
          <w:p>
            <w:pPr>
              <w:spacing w:after="0"/>
              <w:rPr>
                <w:sz w:val="13"/>
                <w:szCs w:val="13"/>
                <w:color w:val="auto"/>
              </w:rPr>
            </w:pPr>
          </w:p>
        </w:tc>
        <w:tc>
          <w:tcPr>
            <w:tcW w:w="34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w:t>
            </w: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7"/>
              </w:rPr>
              <w:t>Affiliate Equity — Technology — 0.1% (8)</w:t>
            </w:r>
          </w:p>
        </w:tc>
        <w:tc>
          <w:tcPr>
            <w:tcW w:w="116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4"/>
                <w:szCs w:val="14"/>
                <w:color w:val="auto"/>
              </w:rPr>
              <w:t>Decisyon, Inc. (14)</w:t>
            </w:r>
          </w:p>
        </w:tc>
        <w:tc>
          <w:tcPr>
            <w:tcW w:w="1160" w:type="dxa"/>
            <w:vAlign w:val="bottom"/>
          </w:tcPr>
          <w:p>
            <w:pPr>
              <w:ind w:left="60"/>
              <w:spacing w:after="0"/>
              <w:rPr>
                <w:sz w:val="20"/>
                <w:szCs w:val="20"/>
                <w:color w:val="auto"/>
              </w:rPr>
            </w:pPr>
            <w:r>
              <w:rPr>
                <w:rFonts w:ascii="Arial" w:cs="Arial" w:eastAsia="Arial" w:hAnsi="Arial"/>
                <w:sz w:val="14"/>
                <w:szCs w:val="14"/>
                <w:color w:val="auto"/>
              </w:rPr>
              <w:t>Software</w:t>
            </w:r>
          </w:p>
        </w:tc>
        <w:tc>
          <w:tcPr>
            <w:tcW w:w="3600" w:type="dxa"/>
            <w:vAlign w:val="bottom"/>
            <w:gridSpan w:val="2"/>
          </w:tcPr>
          <w:p>
            <w:pPr>
              <w:ind w:left="280"/>
              <w:spacing w:after="0"/>
              <w:rPr>
                <w:sz w:val="20"/>
                <w:szCs w:val="20"/>
                <w:color w:val="auto"/>
              </w:rPr>
            </w:pPr>
            <w:r>
              <w:rPr>
                <w:rFonts w:ascii="Arial" w:cs="Arial" w:eastAsia="Arial" w:hAnsi="Arial"/>
                <w:sz w:val="14"/>
                <w:szCs w:val="14"/>
                <w:color w:val="auto"/>
              </w:rPr>
              <w:t>45,365,936 Common Stock</w:t>
            </w: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185</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Affiliate Equity</w:t>
            </w:r>
          </w:p>
        </w:tc>
        <w:tc>
          <w:tcPr>
            <w:tcW w:w="1160" w:type="dxa"/>
            <w:vAlign w:val="bottom"/>
            <w:tcBorders>
              <w:top w:val="single" w:sz="8" w:color="CCEEFF"/>
            </w:tcBorders>
            <w:shd w:val="clear" w:color="auto" w:fill="CCEEFF"/>
          </w:tcPr>
          <w:p>
            <w:pPr>
              <w:spacing w:after="0"/>
              <w:rPr>
                <w:sz w:val="13"/>
                <w:szCs w:val="13"/>
                <w:color w:val="auto"/>
              </w:rPr>
            </w:pPr>
          </w:p>
        </w:tc>
        <w:tc>
          <w:tcPr>
            <w:tcW w:w="34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185</w:t>
            </w:r>
          </w:p>
        </w:tc>
        <w:tc>
          <w:tcPr>
            <w:tcW w:w="2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125</w:t>
            </w: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8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b w:val="1"/>
                <w:bCs w:val="1"/>
                <w:color w:val="auto"/>
                <w:w w:val="95"/>
              </w:rPr>
              <w:t>Total Affiliate Portfolio Investment Assets</w:t>
            </w:r>
          </w:p>
        </w:tc>
        <w:tc>
          <w:tcPr>
            <w:tcW w:w="1160" w:type="dxa"/>
            <w:vAlign w:val="bottom"/>
            <w:tcBorders>
              <w:bottom w:val="single" w:sz="8" w:color="CCEEFF"/>
            </w:tcBorders>
          </w:tcPr>
          <w:p>
            <w:pPr>
              <w:spacing w:after="0"/>
              <w:rPr>
                <w:sz w:val="17"/>
                <w:szCs w:val="17"/>
                <w:color w:val="auto"/>
              </w:rPr>
            </w:pPr>
          </w:p>
        </w:tc>
        <w:tc>
          <w:tcPr>
            <w:tcW w:w="34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3,774</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154"/>
              <w:spacing w:after="0"/>
              <w:rPr>
                <w:sz w:val="20"/>
                <w:szCs w:val="20"/>
                <w:color w:val="auto"/>
              </w:rPr>
            </w:pPr>
            <w:r>
              <w:rPr>
                <w:rFonts w:ascii="Arial" w:cs="Arial" w:eastAsia="Arial" w:hAnsi="Arial"/>
                <w:sz w:val="5"/>
                <w:szCs w:val="5"/>
                <w:color w:val="auto"/>
                <w:w w:val="70"/>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3,499</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6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3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Total Portfolio Investment Assets — 164.4%(8)</w:t>
            </w:r>
          </w:p>
        </w:tc>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223,077</w:t>
            </w:r>
          </w:p>
        </w:tc>
        <w:tc>
          <w:tcPr>
            <w:tcW w:w="240" w:type="dxa"/>
            <w:vAlign w:val="bottom"/>
            <w:gridSpan w:val="2"/>
          </w:tcPr>
          <w:p>
            <w:pPr>
              <w:jc w:val="right"/>
              <w:ind w:right="154"/>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222,099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420" w:right="20" w:hanging="412"/>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investments of the Company are in entities which are organized under the laws of the United States and have a principal place of business in the United States.</w:t>
      </w:r>
    </w:p>
    <w:p>
      <w:pPr>
        <w:spacing w:after="0" w:line="170" w:lineRule="exact"/>
        <w:rPr>
          <w:rFonts w:ascii="Arial" w:cs="Arial" w:eastAsia="Arial" w:hAnsi="Arial"/>
          <w:sz w:val="18"/>
          <w:szCs w:val="18"/>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Has been pledged as collateral under the Key Facility.</w:t>
      </w:r>
    </w:p>
    <w:p>
      <w:pPr>
        <w:spacing w:after="0" w:line="225" w:lineRule="exact"/>
        <w:rPr>
          <w:rFonts w:ascii="Arial" w:cs="Arial" w:eastAsia="Arial" w:hAnsi="Arial"/>
          <w:sz w:val="18"/>
          <w:szCs w:val="18"/>
          <w:color w:val="auto"/>
        </w:rPr>
      </w:pPr>
    </w:p>
    <w:p>
      <w:pPr>
        <w:ind w:left="420" w:right="20" w:hanging="412"/>
        <w:spacing w:after="0" w:line="308" w:lineRule="auto"/>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All non-affiliate investments are investments in which the Company owns less than 5% ownership of the voting securities of the portfolio company. All affiliate investments are investments in which the Company owns 5% or more of the voting securities of the portfolio company.</w:t>
      </w:r>
    </w:p>
    <w:p>
      <w:pPr>
        <w:spacing w:after="0" w:line="146" w:lineRule="exact"/>
        <w:rPr>
          <w:rFonts w:ascii="Arial" w:cs="Arial" w:eastAsia="Arial" w:hAnsi="Arial"/>
          <w:sz w:val="17"/>
          <w:szCs w:val="17"/>
          <w:color w:val="auto"/>
        </w:rPr>
      </w:pPr>
    </w:p>
    <w:p>
      <w:pPr>
        <w:jc w:val="both"/>
        <w:ind w:left="420" w:hanging="412"/>
        <w:spacing w:after="0" w:line="25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the Company’s debt investments. Interest rate is the annual interest rate on the debt investment and does not include ETPs and any additional fees related to the investments, such as deferred interest, commitment fees or prepayment fees. Debt investments are at fixed rates for the term of the debt investment, unless otherwise indicated. All debt investments based on LIBOR are based on one-month LIBOR. For each debt investment, the current interest rate in effect as of December 31, 2017 is provided.</w:t>
      </w:r>
    </w:p>
    <w:p>
      <w:pPr>
        <w:spacing w:after="0" w:line="188" w:lineRule="exact"/>
        <w:rPr>
          <w:rFonts w:ascii="Arial" w:cs="Arial" w:eastAsia="Arial" w:hAnsi="Arial"/>
          <w:sz w:val="18"/>
          <w:szCs w:val="18"/>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Portfolio company is a public company.</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Warrants, Equity and Other Investments are non-income producing.</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Value as a percent of net assets.</w:t>
      </w:r>
    </w:p>
    <w:p>
      <w:pPr>
        <w:spacing w:after="0" w:line="225" w:lineRule="exact"/>
        <w:rPr>
          <w:rFonts w:ascii="Arial" w:cs="Arial" w:eastAsia="Arial" w:hAnsi="Arial"/>
          <w:sz w:val="18"/>
          <w:szCs w:val="18"/>
          <w:color w:val="auto"/>
        </w:rPr>
      </w:pPr>
    </w:p>
    <w:p>
      <w:pPr>
        <w:jc w:val="both"/>
        <w:ind w:left="420" w:hanging="412"/>
        <w:spacing w:after="0" w:line="26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did not have any non-qualifying assets under Section 55(a) of the 1940 Act as of December 31, 2017. Under the 1940 Act, the Company may not acquire any non-qualifying assets unless, at the time the acquisition is made, qualifying assets represent at least 70% of the Company’s total assets.</w:t>
      </w:r>
    </w:p>
    <w:p>
      <w:pPr>
        <w:spacing w:after="0" w:line="181" w:lineRule="exact"/>
        <w:rPr>
          <w:rFonts w:ascii="Arial" w:cs="Arial" w:eastAsia="Arial" w:hAnsi="Arial"/>
          <w:sz w:val="18"/>
          <w:szCs w:val="18"/>
          <w:color w:val="auto"/>
        </w:rPr>
      </w:pPr>
    </w:p>
    <w:p>
      <w:pPr>
        <w:jc w:val="both"/>
        <w:ind w:left="420" w:hanging="412"/>
        <w:spacing w:after="0" w:line="259"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spacing w:after="0" w:line="186" w:lineRule="exact"/>
        <w:rPr>
          <w:rFonts w:ascii="Arial" w:cs="Arial" w:eastAsia="Arial" w:hAnsi="Arial"/>
          <w:sz w:val="18"/>
          <w:szCs w:val="18"/>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Debt investment is on non-accrual status as of December 31, 2017.</w:t>
      </w:r>
    </w:p>
    <w:p>
      <w:pPr>
        <w:spacing w:after="0" w:line="225" w:lineRule="exact"/>
        <w:rPr>
          <w:rFonts w:ascii="Arial" w:cs="Arial" w:eastAsia="Arial" w:hAnsi="Arial"/>
          <w:sz w:val="18"/>
          <w:szCs w:val="18"/>
          <w:color w:val="auto"/>
        </w:rPr>
      </w:pPr>
    </w:p>
    <w:p>
      <w:pPr>
        <w:ind w:left="420" w:right="100" w:hanging="412"/>
        <w:spacing w:after="0" w:line="26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Digital Signal Corporation, a Delaware corporation (“DSC”), made an assignment for the benefit of its creditors whereby DSC assigned all of its assets to DSC (assignment for the benefit of creditors), LLC, a Delaware limited liability company, established under Delaware law to effectuate the Assignment for the Benefit of Creditors of DSC.</w:t>
      </w:r>
    </w:p>
    <w:p>
      <w:pPr>
        <w:spacing w:after="0" w:line="181" w:lineRule="exact"/>
        <w:rPr>
          <w:rFonts w:ascii="Arial" w:cs="Arial" w:eastAsia="Arial" w:hAnsi="Arial"/>
          <w:sz w:val="18"/>
          <w:szCs w:val="18"/>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Debt investment has a PIK feature.</w:t>
      </w:r>
    </w:p>
    <w:p>
      <w:pPr>
        <w:spacing w:after="0" w:line="252" w:lineRule="exact"/>
        <w:rPr>
          <w:rFonts w:ascii="Arial" w:cs="Arial" w:eastAsia="Arial" w:hAnsi="Arial"/>
          <w:sz w:val="18"/>
          <w:szCs w:val="18"/>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fair value of the investment was valued using significant unobservable inputs.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Horizon Technology Finance Corporation (the “Company”) was organized as a Delaware corporation on March 16, 2010 and is an externally managed, non-diversified, closed-end investment company. The Company has elected to be regulated as a business development company (“BDC”) under the 1940 Act. In addition, for tax purposes, the Company has elected to be treated as a regulated investment company (“RIC”) as defined under Subchapter M of the Internal Revenue Code of 1986, as amended (the “Code”). As a RIC, the Company generally is not subject to corporate-level federal income tax on the portion of its taxable income (including net capital gains) the Company distributes to its stockholders. The Company primarily makes secured debt investments to development-stage companies in the technology, life science, healthcare information and services and cleantech industries. All of the Company’s debt investments consist of loans secured by all of, or a portion of, the applicable debtor company’s tangible and intangible assets.</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28, 2010, the Company completed an initial public offering (“IPO”) and its common stock trades on the Nasdaq Global Select Market under the symbol “HRZN”. The Company was formed to continue and expand the business of Compass Horizon Funding Company LLC, a Delaware limited liability company, which commenced operations in March 2008 and became the Company’s wholly owned subsidiary upon the completion of the Company’s IPO.</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Horizon Credit II LLC (“Credit II”) was formed as a Delaware limited liability company on June 28, 2011, with the Company as its sole equity member. Credit II is a special purpose bankruptcy-remote entity and is a separate legal entity from the Company. Any assets conveyed to Credit II are not available to creditors of the Company or any other entity other than Credit II’s lenders.</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has also established an additional wholly owned subsidiary, which is structured as a Delaware limited liability company, to hold the assets of a portfolio company acquired in connection with foreclosure or bankruptcy, which is a separate legal entity from the Company.</w:t>
      </w:r>
    </w:p>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investment strategy is to maximize the investment portfolio’s return by generating current income from the debt investments the Company makes and capital appreciation from the warrants the Company receives when making such debt investments. The Company has entered into an investment management agreement (the “Investment Management Agreement”) with Horizon Technology Finance Management LLC (the “Advisor”) under which the Advisor manages the day-to-day operations of, and provides investment advisory services to,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consolidated financial statements of the Company have been prepared in accordance with U.S. generally accepted accounting principles (“GAAP”) and pursuant to the requirements for reporting on Form 10-Q and Articles 6 and 10 of Regulation S-X (“Regulation S-X”) under the Securities Act of 1933, as amended (the “Securities Act”). In the opinion of management, the consolidated financial statements reflect all adjustments and reclassifications that are necessary for the fair presentation of financial results as of and for the periods presented. All intercompany balances and transactions have been eliminated. The current period’s results of operations are not necessarily indicative of results that ultimately may be achieved for the year. Therefore, the unaudited financial statements and notes should be read in conjunction with the audited financial statements and notes thereto for the year ended December 31, 2017.</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required under GAAP and Regulation S-X, the Company will generally consolidate its investment in a company that is an investment company subsidiary or a controlled operating company whose business consists of providing services to the Company. Accordingly, the Company consolidated the results of the Company’s wholly-owned subsidiaries in its consolidated financial statements. The Company does not consolidate its non-controlling interest in HSLFI.</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preparing the consolidated financial statements in accordance with GAAP, management is required to make estimates and assumptions that affect the reported amounts of assets and liabilities, and disclosures of contingent assets and liabilities, as of the date of the balance sheet and income and expenses for the period. Actual results could differ from those estimates. Material estimates that are particularly susceptible to significant change in the near term relate to the valuation of investments.</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records all of its investments at fair value in accordance with relevant GAAP, which establishes a framework used to measure fair value and requires disclosures for fair value measurements. The Company has categorized its investments carried at fair value, based on the priority of the valuation technique, into a three-level fair value hierarchy as more fully described in Note 6. Fair value is a market-based measure considered from the perspective of the market participant who holds the financial instrument rather than an entity specific measure. Therefore, when market assumptions are not readily available, the Company’s own assumptions are set to reflect those that management believes market participants would use in pricing the financial instrument at the measurement date.</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Accordingly, the degree of judgment exercised by the Company in determining fair value is greatest for financial instruments classified as Level 3.</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for additional information regarding fair value.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has determined that it has a single reporting segment and operating unit structure. The Company lends to and invests in portfolio companies in various technology, life science, healthcare information and services and cleantech industries. The Company separately evaluates the performance of each of its lending and investment relationships. However, because each of these debt investments and investment relationships has similar business and economic characteristics, they have been aggregated into a single lending and investment segment.</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Investments are recorded at fair value. The Company’s board of directors (the “Board”) determines the fair value of the Company’s portfolio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intent to hold its debt investments for the foreseeable future or until maturity or payoff.</w:t>
      </w:r>
    </w:p>
    <w:p>
      <w:pPr>
        <w:spacing w:after="0" w:line="2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the Company otherwise does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As of September 30, 2018, there were no debt investments on non-accrual status. As of December 31, 2017, there was one investment on non-accrual status with a cost of $3.0 million and a fair value of $2.9 million. For the three and nine months ended September 30, 2018, the Company did not recognize any interest income from debt investments on non-accrual status. For the three and nine months ended September 30, 2017, the Company recognized $0.1 million in interest income from debt investments on non-accrual status.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receives a variety of fees from borrowers in the ordinary course of conducting its business, including advisory fees, commitment fees, amendment fees, non-utilization fees, success fees and prepayment fees. In a limited number of cases, the Company may also receive a non-refundable deposit earned upon the termination of a transaction. Debt investment origination fees, net of certain direct origination costs, are deferred and, along with unearned income, are amortized as a level-yield adjustment over the respective term of the debt investment. All other income is recognized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8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Certain debt investment agreements also require the borrower to make an ETP, that is accrued into interest receivable and taken into income over the life of the debt investment to the extent such amounts are expected to be collected. The Company will generally cease accruing the income if there is insufficient value to support the accrual or the Company does not expect the borrower to be able to pay the ETP when due. The proportion of the Company’s total investment income that resulted from the portion of ETPs not received in cash for the three months ended September 30, 2018 and 2017 was 7.6% and 4.8%, respectively. The proportion of the Company’s total investment income that resulted from the portion of ETPs not received in cash for the nine months ended September 30, 2018 and 2017 was 7.3% and 6.6%, respectively.</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substantially all lending arrangements, the Company receives warrants to purchase shares of stock from the borrower. The warrants are recorded as assets at estimated fair value on the grant date using the Black-Scholes valuation model. The warrants are considered loan fees and are recorded as unearned income on the grant date. The unearned income is recognized as interest income over the contractual life of the related debt investment in accordance with the Company’s income recognition policy. Subsequent to debt investment origination, the fair value of the warrants is determined using the Black-Scholes valuation model. Any adjustment to fair value is recorded through earnings as net unrealized appreciation or depreciation on investments. Gains and losses from the disposition of the warrants or stock acquired from the exercise of warrants are recognized as realized gains and losses on investments.</w:t>
      </w:r>
    </w:p>
    <w:p>
      <w:pPr>
        <w:spacing w:after="0" w:line="18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Distributions from HSLFI are evaluated at the time of distribution to determine if the distribution should be recorded as dividend income or a return of capital. Generally, the Company will not record distributions from HSLFI as dividend income unless there are sufficient accumulated tax-basis earnings and profit in HSLFI prior to distribution. Distributions that are classified as a return of capital are recorded as a reduction in the cost basis of the investment. For the three months ended September, 30, 2018, HSLFI distributed $0.1 million as dividend income to the Company. For the period June 1, 2018 (the commencement of HSLFI’s operations) through September 30, 2018, HSLFI distributed $0.1 million as dividend income to the Company.</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Realized gains or losses on the sale of investments, or upon the determination that an investment balance, or portion thereof, is not recoverable, are calculated using the specific identification method. The Company measures realized gains or losses by calculating the difference between the net proceeds from the repayment or sale and the amortized cost basis of the investment. Net change in unrealized appreciation or depreciation reflects the change in the fair values of the Company’s portfolio investments during the reporting period, including any reversal of previously recorded unrealized appreciation or depreciation when gains or losses are realized.</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Debt issuance costs are fees and other direct incremental costs incurred by the Company in obtaining debt financing from its lenders and issuing debt securities. The unamortized balance of debt issuance costs as of September 30, 2018 and December 31, 2017 was $2.3 million and $2.1 million, respectively. These amounts are amortized and included in interest expense in the consolidated statements of operations over the life of the borrowings. The accumulated amortization balances as of September 30, 2018 and December 31, 2017 were $2.3 million and $1.8 million, respectively. The amortization expense for the three months ended September 30, 2018 and 2017 was $0.1 million. The amortization expense for the nine months ended September 30, 2018 and 2017 was $0.4 million.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As a BDC, the Company has elected to be treated as a RIC under Subchapter M of the Code and operates in a manner so as to qualify for the tax treatment applicable to RICs. In order to qualify as a RIC and to avoid the imposition of corporate-level income tax on the portion of its taxable income distributed to stockholders, among other things, the Company is required to meet certain source of income and asset diversification requirements and to timely distribute dividends out of assets legally available for distribution to its stockholders of an amount generally at least equal to 90% of its investment company taxable income, as defined by the Code and determined without regard to any deduction for dividends paid, for each tax year. The Company, among other things, has made and intends to continue to make the requisite distributions to its stockholders, which generally relieves the Company from corporate-level U.S. federal income taxes. Accordingly, no provision for federal income tax has been recorded in the financial statements. Differences between taxable income and net increase in net assets resulting from operations either can be temporary, meaning they will reverse in the future, or permanent. In accordance with Topic 946, </w:t>
      </w:r>
      <w:r>
        <w:rPr>
          <w:rFonts w:ascii="Arial" w:cs="Arial" w:eastAsia="Arial" w:hAnsi="Arial"/>
          <w:sz w:val="16"/>
          <w:szCs w:val="16"/>
          <w:i w:val="1"/>
          <w:iCs w:val="1"/>
          <w:color w:val="auto"/>
        </w:rPr>
        <w:t>Financial Services</w:t>
      </w:r>
      <w:r>
        <w:rPr>
          <w:rFonts w:ascii="Arial" w:cs="Arial" w:eastAsia="Arial" w:hAnsi="Arial"/>
          <w:sz w:val="16"/>
          <w:szCs w:val="16"/>
          <w:color w:val="auto"/>
        </w:rPr>
        <w:t>—</w:t>
      </w:r>
      <w:r>
        <w:rPr>
          <w:rFonts w:ascii="Arial" w:cs="Arial" w:eastAsia="Arial" w:hAnsi="Arial"/>
          <w:sz w:val="16"/>
          <w:szCs w:val="16"/>
          <w:i w:val="1"/>
          <w:iCs w:val="1"/>
          <w:color w:val="auto"/>
        </w:rPr>
        <w:t>Investment Companies</w:t>
      </w:r>
      <w:r>
        <w:rPr>
          <w:rFonts w:ascii="Arial" w:cs="Arial" w:eastAsia="Arial" w:hAnsi="Arial"/>
          <w:sz w:val="16"/>
          <w:szCs w:val="16"/>
          <w:color w:val="auto"/>
        </w:rPr>
        <w:t>, of the Financial Accounting Standards Board’s (“FASB’s”), Accounting Standards Codification, as amended (“ASC”), permanent tax differences, such as non-deductible excise taxes paid, are reclassified from distributions in excess of net investment income and net realized loss on investments to paid-in-capital at the end of each fiscal year. These permanent book-to-tax differences are reclassified on the consolidated statements of changes in net assets to reflect their tax character but have no impact on total net assets. For the year ended December 31, 2017, the Company reclassified $0.03 million to paid-in capital from distributions in excess of net investment income, which related to excise taxes payable.</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Depending on the level of taxable income earned in a tax year, the Company may choose to carry forward taxable income in excess of current year distributions into the next tax year and incur a 4% U.S. federal excise tax on such income, as required. To the extent that the Company determines that its estimated current year annual taxable income will be in excess of estimated current year distributions, the Company accrues excise tax, if any, on estimated excess taxable income as taxable income is earned. For the three and nine months ended September 30, 2018 and 2017, there was no U.S. federal excise tax recorded.</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as modified by ASC Topic 946. Tax benefits of positions not deemed to meet the more-likely-than-not threshold, or uncertain tax positions, would be recorded as a tax expense in the current year. It is the Company’s policy to recognize accrued interest and penalties related to uncertain tax benefits in income tax expense. The Company had no material uncertain tax positions at September 30, 2018 and December 31, 2017. The Company’s income tax returns for the 2017, 2016 and 2015 tax years remain subject to examination by U.S. federal and state tax authorities.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Distributions to common stockholders are recorded on the declaration date. The amount to be paid out as distributions is determined by the Board. Net realized capital gains, if any, may be distributed, although the Company may decide to retain such net realized gains for investment.</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adopted a dividend reinvestment plan that provides for reinvestment of cash distributions on behalf of its stockholders, unless a stockholder elects to receive cash. As a result, if the Board declares a cash distribution, then stockholders who have not “opted out” of the dividend reinvestment plan will have their cash distributions automatically reinvested in additional shares of the Company’s common stock, rather than receiving the cash distribution. The Company may use newly issued shares to implement the plan or the Company may purchase shares in the open market to fulfill its obligations under the plan.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April 27, 2018, the Board extended a previously authorized stock repurchase program which allows the Company to repurchase up to $5.0 million of its common stock at prices below the Company’s net asset value per share as reported in its most recent consolidated financial statements. Under the repurchase program, the Company may, but is not obligated to, repurchase shares of its outstanding common stock in the open market or in privately negotiated transactions from time to time. Any repurchases by the Company will comply with the requirements of Rule 10b-18 under the Securities Exchange Act of 1934, as amended (the “Exchange Act”), and any applicable requirements of the 1940 Act. Unless extended by the Board, the repurchase program will terminate on the earlier of June 30, 2019 or the repurchase of $5.0 million of the Company’s common stock. During the three and nine months ended September 30, 2018, the Company did not make any repurchases of its common stock. During the three and nine months ended September 30, 2017, the Company repurchased 5,923 shares of its common stock at an average price of $9.97 on the open market at a total cost of $0.1 million. From the inception of the stock repurchase program through September 30, 2018, the Company repurchased 167,465 shares of its common stock at an average price of $11.22 on the open market at a total cost of $1.9 million.</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Assets related to transactions that do not meet the requirements under ASC Topic 860, </w:t>
      </w:r>
      <w:r>
        <w:rPr>
          <w:rFonts w:ascii="Arial" w:cs="Arial" w:eastAsia="Arial" w:hAnsi="Arial"/>
          <w:sz w:val="17"/>
          <w:szCs w:val="17"/>
          <w:i w:val="1"/>
          <w:iCs w:val="1"/>
          <w:color w:val="auto"/>
        </w:rPr>
        <w:t>Transfers and Servicing</w:t>
      </w:r>
      <w:r>
        <w:rPr>
          <w:rFonts w:ascii="Arial" w:cs="Arial" w:eastAsia="Arial" w:hAnsi="Arial"/>
          <w:sz w:val="17"/>
          <w:szCs w:val="17"/>
          <w:color w:val="auto"/>
        </w:rPr>
        <w:t xml:space="preserve"> for sale treatment under GAAP are reflected in the Company’s consolidated statements of assets and liabilities as investments. Those assets are owned by special purpose entities that are consolidated in the Company’s financial statements. The creditors of the special purpose entities have received security interests in such assets and such assets are not intended to be available to the creditors of the Company (or any other affiliate of the Company).</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Transfers of financial assets are accounted for as sales when control over the assets has been surrendered. Control over transferred assets is deemed to be surrendered when (1) the assets have been isolated from the Company — put presumptively beyond the reach of the transferor and its creditors, even in bankruptcy or other receivership, (2) the transferee obtains the right (free of conditions that constrain it from taking advantage of that right) to pledge or exchange the transferred assets and (3) the transferor does not maintain effective control over the transferred assets through either (a) an agreement that both entitles and obligates the transferor to repurchase or redeem the assets before maturity or (b) the ability to unilaterally cause the holder to return specific assets, other than through a cleanup call.</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Recently adopted accounting pronouncement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2014, the FASB issued Accounting Standards Update 2014-09, Revenue from Contracts with Customers (Topic 606) (“ASU 2014-09”), which amends existing revenue recognition guidance to depict the transfer of promised goods or services to customers in an amount that reflects the consideration to which the entity expects to be entitled in exchange for those goods or services. ASU 2014-09 is effective for annual and interim periods beginning after December 15, 2017. As required, the Company adopted ASU 2014-09 effective January 1, 2018, and such adoption did not have an impact on the Company’s consolidated financial statements and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Related party transactions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Investment Management Agreement was reapproved by the Board on July 27, 2018. On October 30, 2018, the shareholders, at a special meeting of the stockholders, approved a new Investment Management Agreement to replace the existing Investment Management Agreement which was terminated due to a change of control of the Advisor. Under the terms of the Investment Management Agreement, the Advisor determines the composition of the Company’s investment portfolio, the nature and timing of the changes to the investment portfolio and the manner of implementing such changes; identifies, evaluates and negotiates the structure of the investments the Company makes (including performing due diligence on the Company’s prospective portfolio companies); and closes, monitors and administers the investments the Company makes, including the exercise of any voting or consent rights.</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Advisor’s services under the Investment Management Agreement are not exclusive to the Company, and the Advisor is free to furnish similar services to other entities so long as its services to the Company are not impaired. The Advisor is a registered investment adviser with the U.S. Securities and Exchange Commission. The Advisor receives fees for providing services to the Company under the Investment Management Agreement, consisting of two components, a base management fee and an incentive fee.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base management fee is calculated at an annual rate of 2.00% of the Company’s gross assets (less cash and cash equivalents) including any assets acquired with the proceeds of leverage. From and after October 31, 2018, the first date on which the reduced asset coverage requirements in Section 61(a)(2) of the 1940 Act apply to the Company, the base management fee will be calculated at an annual rate of 2.00% of the Company’s gross assets (less cash and cash equivalents) including any assets acquired with the proceeds of leverage; provided, that, to the extent the Company’s gross assets (less cash and cash equivalents) exceed $250 million, the base management fee on the amount of such excess over $250 million will be calculated at an annual rate of 1.60% of the Company’s gross assets (less cash and cash equivalents) including any assets acquired with the proceeds of leverage. The base management fee is payable monthly in arrears and is prorated for any partial month.</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base management fee payable at September 30, 2018 and December 31, 2017 was $0.4 million. The base management fee expense was $1.2 million and $0.9 million for the three months ended September 30, 2018 and 2017, respectively. The base management fee expense was $3.4 million and $2.8 million for the nine months ended September 30, 2018 and 2017, respectively.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incentive fee has two parts, as follows:</w:t>
      </w:r>
    </w:p>
    <w:p>
      <w:pPr>
        <w:spacing w:after="0" w:line="252" w:lineRule="exact"/>
        <w:rPr>
          <w:sz w:val="20"/>
          <w:szCs w:val="20"/>
          <w:color w:val="auto"/>
        </w:rPr>
      </w:pPr>
    </w:p>
    <w:p>
      <w:pPr>
        <w:jc w:val="both"/>
        <w:ind w:left="340" w:firstLine="324"/>
        <w:spacing w:after="0" w:line="268" w:lineRule="auto"/>
        <w:rPr>
          <w:sz w:val="20"/>
          <w:szCs w:val="20"/>
          <w:color w:val="auto"/>
        </w:rPr>
      </w:pPr>
      <w:r>
        <w:rPr>
          <w:rFonts w:ascii="Arial" w:cs="Arial" w:eastAsia="Arial" w:hAnsi="Arial"/>
          <w:sz w:val="17"/>
          <w:szCs w:val="17"/>
          <w:color w:val="auto"/>
        </w:rPr>
        <w:t>The first part, which is subject to the Incentive Fee Cap and Deferral Mechanism, as defined below, is calculated and payable quarterly in arrears based on the Company’s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expenses for the quarter (including the base management fee, expenses payable under the Administration Agreement (as defined below), and any interest expense and any dividends paid on any issued and outstanding preferred stock, but excluding the incentive fee). Pre-Incentive Fee Net Investment Income includes, in the case of investments with a deferred interest feature (such as original issue discount, debt instruments with payment-in-kind interest and zero coupon securities), accrued income the Company has not yet received in cash. The incentive fee with respect to the Pre-Incentive Fee Net Investment Income is 20.00% of the amount, if any, by which the Pre-Incentive Fee Net Investment Income for the immediately preceding calendar quarter exceeds a hurdle rate of 1.75% (which is 7.00% annualized) of the Company’s net assets at the end of the immediately preceding calendar quarter, subject to a “catch-up” provision measured as of the end of each calendar quarter. Under this provision, in any calendar quarter, the Advisor receives no incentive fee until the Pre-Incentive Fee Net Investment Income equals the hurdle rate of 1.75%, but then receives, as a “catch-up,” 100.00% of the Pre-Incentive Fee Net Investment Income with respect to that portion of such Pre-Incentive Fee Net Investment Income, if any, that exceeds the hurdle rate but is less than 2.1875% quarterly (which is 8.75% annualized). The effect of this “catch-up” provision is that, if Pre-Incentive Fee Net Investment Income exceeds 2.1875% in any calendar quarter, the Advisor will receive 20.00% of the Pre-Incentive Fee Net Investment Income as if the hurdle rate did not apply.</w:t>
      </w:r>
    </w:p>
    <w:p>
      <w:pPr>
        <w:spacing w:after="0" w:line="181" w:lineRule="exact"/>
        <w:rPr>
          <w:sz w:val="20"/>
          <w:szCs w:val="20"/>
          <w:color w:val="auto"/>
        </w:rPr>
      </w:pPr>
    </w:p>
    <w:p>
      <w:pPr>
        <w:jc w:val="both"/>
        <w:ind w:left="340" w:firstLine="324"/>
        <w:spacing w:after="0" w:line="272"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appreciation or depreciation. Because of the structure of the incentive fee, it is possible that the Company may pay an incentive fee in a quarter in which the Company incurs a loss. For example, if the Company receives Pre-Incentive Fee Net Investment Income in excess of the quarterly minimum hurdle rate, the Company will pay the applicable incentive fee up to the Incentive Fee Cap, defined below, even if the Company has incurred a loss in that quarter due to realized and unrealized capital losses. The Company’s net investment income used to calculate this part of the incentive fee is also included in the amount of the Company’s gross assets used to calculate the 2.00% base management fee. These calculations are appropriately prorated for any period of less than three months and adjusted for any share issuances or repurchases during the current quarter.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left="340" w:firstLine="324"/>
        <w:spacing w:after="0" w:line="267" w:lineRule="auto"/>
        <w:rPr>
          <w:sz w:val="20"/>
          <w:szCs w:val="20"/>
          <w:color w:val="auto"/>
        </w:rPr>
      </w:pPr>
      <w:r>
        <w:rPr>
          <w:rFonts w:ascii="Arial" w:cs="Arial" w:eastAsia="Arial" w:hAnsi="Arial"/>
          <w:sz w:val="17"/>
          <w:szCs w:val="17"/>
          <w:color w:val="auto"/>
        </w:rPr>
        <w:t>Commencing with the calendar quarter beginning July 1, 2014, the incentive fee on Pre-Incentive Fee Net Investment Income is subject to a fee cap and deferral mechanism which is determined based upon a look-back period of up to three years and is expensed when incurred. For this purpose, the look-back period for the incentive fee based on Pre-Incentive Fee Net Investment Income (the “Incentive Fee Look-back Period”) commenced on July 1, 2014 and increased by one quarter in length at the end of each calendar quarter until June 30, 2017, after which time, the Incentive Fee Look-back Period includes the relevant calendar quarter and the 11 preceding full calendar quarters. Each quarterly incentive fee payable on Pre-Incentive Fee Net Investment Income is subject to a cap (the “Incentive Fee Cap”) and a deferral mechanism through which the Advisor may recoup a portion of such deferred incentive fees (collectively, the “Incentive Fee Cap and Deferral Mechanism”). The Incentive Fee Cap is equal to (a) 20.00% of Cumulative Pre-Incentive Fee Net Return (as defined below) during the Incentive Fee Look-back Period less (b) cumulative incentive fees of any kind paid to the Advisor during the Incentive Fee Look-back Period. To the extent the Incentive Fee Cap is zero or a negative value in any calendar quarter, the Company will not pay an incentive fee on Pre-Incentive Fee Net Investment Income to the Advisor in that quarter. To the extent that the payment of incentive fees on Pre-Incentive Fee Net Investment Income is limited by the Incentive Fee Cap, the payment of such fees will be deferred and paid in subsequent calendar quarters up to three years after their date of deferment, subject to certain limitations, which are set forth in the Investment Management Agreement. The Company only pays incentive fees on Pre-Incentive Fee Net Investment Income to the extent allowed by the Incentive Fee Cap and Deferral Mechanism. “Cumulative Pre-Incentive Fee Net Return” during any Incentive Fee Look-back Period means the sum of (a) Pre-Incentive Fee Net Investment Income and the base management fee for each calendar quarter during the Incentive Fee Look-back Period and (b) the sum of cumulative realized capital gains and losses, cumulative unrealized capital appreciation and cumulative unrealized capital depreciation during the applicable Incentive Fee Look-back Period.</w:t>
      </w:r>
    </w:p>
    <w:p>
      <w:pPr>
        <w:spacing w:after="0" w:line="220"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20.00% of the Company’s realized capital gains, if any, on a cumulative basis from the date of the election to be a BDC through the end of each calendar year, computed net of all realized capital losses and unrealized capital depreciation on a cumulative basis through the end of such year, less all previous amounts paid in respect of the capital gain incentive fee. However, in accordance with GAAP, the Company is required to include the aggregate unrealized capital appreciation on investments in the calculation and accrue a capital gain incentive fee on a quarterly basis, as if such unrealized capital appreciation were realized, even though such unrealized capital appreciation is not permitted to be considered in calculating the fee actually payable under the Investment Management Agreement.</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6, 2018, the Advisor irrevocably waived the receipt of incentive fees related to the amounts previously deferred that it may be entitled to receive under the Investment Management Agreement for the period commencing on January 1, 2018 and ending on December 31, 2018. Such waived incentive fees will not be subject to recoupment. During the three and nine months ended September 30, 2018, the Advisor waived performance based incentive fees of $0.4 million and $0.6 million, respectively, which the Advisor would have otherwise earned.</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net performance based incentive fee expense was $0.9 million and $0.3 million for the three months ended September 30, 2018 and 2017, respectively. The incentive fee on Pre-Incentive Fee Net Investment Income was subject to the Incentive Fee Cap and Deferral Mechanism for the three months ended September 30, 2017, which resulted in $0.6 million of reduced expense and additional net investment income. The net performance based incentive fee expense was $2.2 million and $1.1 million for the nine months ended September 30, 2018 and 2017, respectively. The incentive fee on Pre-Incentive Fee Net Investment Income was subject to the Incentive Fee Cap and Deferral Mechanism for the nine months ended September 30, 2017, which resulted in $1.3 million of reduced expense and additional net investment income. The performance based incentive fee payable as of September 30, 2018 and December 31, 2017 was $0.9 million and $0.5 million, respectively. The entire incentive fee payable as of September 30, 2018 and December 31, 2017 represented part one of the incentive fee.</w:t>
      </w:r>
    </w:p>
    <w:p>
      <w:pPr>
        <w:spacing w:after="0" w:line="21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entered into an administration agreement (the “Administration Agreement”) with the Advisor to provide administrative services to the Company. For providing these services, facilities and personnel, the Company reimburses the Advisor for the Company’s allocable portion of overhead and other expenses incurred by the Advisor in performing its obligations under the Administration Agreement, including rent, the fees and expenses associated with performing compliance functions and the Company’s allocable portion of the costs of compensation and related expenses of the Company’s Chief Financial Officer and Chief Compliance Officer and their respective staffs. The administrative fee expense was $0.2 million for the three months ended September 30, 2018 and 2017. The administrative fee expense was $0.5 million and $0.6 million for the nine months ended September 30, 2018 and 2017,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investments as of September 30, 2018 and December 31, 2017:</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September 30, 2018</w:t>
            </w:r>
          </w:p>
        </w:tc>
        <w:tc>
          <w:tcPr>
            <w:tcW w:w="260" w:type="dxa"/>
            <w:vAlign w:val="bottom"/>
          </w:tcPr>
          <w:p>
            <w:pPr>
              <w:spacing w:after="0"/>
              <w:rPr>
                <w:sz w:val="20"/>
                <w:szCs w:val="20"/>
                <w:color w:val="auto"/>
              </w:rPr>
            </w:pPr>
          </w:p>
        </w:tc>
        <w:tc>
          <w:tcPr>
            <w:tcW w:w="2440" w:type="dxa"/>
            <w:vAlign w:val="bottom"/>
            <w:gridSpan w:val="6"/>
          </w:tcPr>
          <w:p>
            <w:pPr>
              <w:ind w:left="320"/>
              <w:spacing w:after="0"/>
              <w:rPr>
                <w:sz w:val="20"/>
                <w:szCs w:val="20"/>
                <w:color w:val="auto"/>
              </w:rPr>
            </w:pPr>
            <w:r>
              <w:rPr>
                <w:rFonts w:ascii="Arial" w:cs="Arial" w:eastAsia="Arial" w:hAnsi="Arial"/>
                <w:sz w:val="18"/>
                <w:szCs w:val="18"/>
                <w:b w:val="1"/>
                <w:bCs w:val="1"/>
                <w:color w:val="auto"/>
              </w:rPr>
              <w:t>December 31, 2017</w:t>
            </w:r>
          </w:p>
        </w:tc>
      </w:tr>
      <w:tr>
        <w:trPr>
          <w:trHeight w:val="223"/>
        </w:trPr>
        <w:tc>
          <w:tcPr>
            <w:tcW w:w="36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19"/>
                <w:szCs w:val="19"/>
                <w:color w:val="auto"/>
              </w:rPr>
            </w:pPr>
          </w:p>
        </w:tc>
      </w:tr>
      <w:tr>
        <w:trPr>
          <w:trHeight w:val="210"/>
        </w:trPr>
        <w:tc>
          <w:tcPr>
            <w:tcW w:w="36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5"/>
          </w:tcPr>
          <w:p>
            <w:pPr>
              <w:ind w:left="60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ind w:left="160"/>
              <w:spacing w:after="0"/>
              <w:rPr>
                <w:sz w:val="20"/>
                <w:szCs w:val="20"/>
                <w:color w:val="auto"/>
              </w:rPr>
            </w:pPr>
            <w:r>
              <w:rPr>
                <w:rFonts w:ascii="Arial" w:cs="Arial" w:eastAsia="Arial" w:hAnsi="Arial"/>
                <w:sz w:val="18"/>
                <w:szCs w:val="18"/>
                <w:color w:val="auto"/>
              </w:rPr>
              <w:t>Debt</w:t>
            </w:r>
          </w:p>
        </w:tc>
        <w:tc>
          <w:tcPr>
            <w:tcW w:w="19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215,766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215,144</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204,235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203,793</w:t>
            </w:r>
          </w:p>
        </w:tc>
      </w:tr>
      <w:tr>
        <w:trPr>
          <w:trHeight w:val="216"/>
        </w:trPr>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10,426</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9,090</w:t>
            </w:r>
          </w:p>
        </w:tc>
      </w:tr>
      <w:tr>
        <w:trPr>
          <w:trHeight w:val="216"/>
        </w:trPr>
        <w:tc>
          <w:tcPr>
            <w:tcW w:w="3620" w:type="dxa"/>
            <w:vAlign w:val="bottom"/>
          </w:tcPr>
          <w:p>
            <w:pPr>
              <w:ind w:left="160"/>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11,862</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7,660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12,031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7,700</w:t>
            </w:r>
          </w:p>
        </w:tc>
      </w:tr>
      <w:tr>
        <w:trPr>
          <w:trHeight w:val="216"/>
        </w:trPr>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w:t>
            </w:r>
          </w:p>
        </w:tc>
      </w:tr>
      <w:tr>
        <w:trPr>
          <w:trHeight w:val="230"/>
        </w:trPr>
        <w:tc>
          <w:tcPr>
            <w:tcW w:w="3620" w:type="dxa"/>
            <w:vAlign w:val="bottom"/>
          </w:tcPr>
          <w:p>
            <w:pPr>
              <w:ind w:left="160"/>
              <w:spacing w:after="0"/>
              <w:rPr>
                <w:sz w:val="20"/>
                <w:szCs w:val="20"/>
                <w:color w:val="auto"/>
              </w:rPr>
            </w:pPr>
            <w:r>
              <w:rPr>
                <w:rFonts w:ascii="Arial" w:cs="Arial" w:eastAsia="Arial" w:hAnsi="Arial"/>
                <w:sz w:val="18"/>
                <w:szCs w:val="18"/>
                <w:color w:val="auto"/>
              </w:rPr>
              <w:t>Equity interest in HSLFI</w:t>
            </w: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4,413</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4,413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investments by industry sector as of September 30, 2018 and December 31,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2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September 30, 2018</w:t>
            </w:r>
          </w:p>
        </w:tc>
        <w:tc>
          <w:tcPr>
            <w:tcW w:w="260" w:type="dxa"/>
            <w:vAlign w:val="bottom"/>
          </w:tcPr>
          <w:p>
            <w:pPr>
              <w:spacing w:after="0"/>
              <w:rPr>
                <w:sz w:val="20"/>
                <w:szCs w:val="20"/>
                <w:color w:val="auto"/>
              </w:rPr>
            </w:pPr>
          </w:p>
        </w:tc>
        <w:tc>
          <w:tcPr>
            <w:tcW w:w="2440" w:type="dxa"/>
            <w:vAlign w:val="bottom"/>
            <w:gridSpan w:val="6"/>
          </w:tcPr>
          <w:p>
            <w:pPr>
              <w:ind w:left="320"/>
              <w:spacing w:after="0"/>
              <w:rPr>
                <w:sz w:val="20"/>
                <w:szCs w:val="20"/>
                <w:color w:val="auto"/>
              </w:rPr>
            </w:pPr>
            <w:r>
              <w:rPr>
                <w:rFonts w:ascii="Arial" w:cs="Arial" w:eastAsia="Arial" w:hAnsi="Arial"/>
                <w:sz w:val="18"/>
                <w:szCs w:val="18"/>
                <w:b w:val="1"/>
                <w:bCs w:val="1"/>
                <w:color w:val="auto"/>
              </w:rPr>
              <w:t>December 31, 2017</w:t>
            </w:r>
          </w:p>
        </w:tc>
        <w:tc>
          <w:tcPr>
            <w:tcW w:w="26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60" w:type="dxa"/>
            <w:vAlign w:val="bottom"/>
            <w:gridSpan w:val="5"/>
          </w:tcPr>
          <w:p>
            <w:pPr>
              <w:ind w:left="60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Life Science</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Biotechnology</w:t>
            </w:r>
          </w:p>
        </w:tc>
        <w:tc>
          <w:tcPr>
            <w:tcW w:w="1640" w:type="dxa"/>
            <w:vAlign w:val="bottom"/>
            <w:gridSpan w:val="2"/>
          </w:tcPr>
          <w:p>
            <w:pPr>
              <w:jc w:val="center"/>
              <w:ind w:left="10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33,913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34,194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21,249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22,694</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Drug Delivery</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1,579</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6,860</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Medical Device</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43,720</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44,125</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37,374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37,306</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27,083</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27,989</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19,823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19,773</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Consumer-Related</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12,314</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Data Storage</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4,183</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Internet and Media</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38,692</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38,530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39,763</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Materials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8,266</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8,607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9,511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9,772</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Networking</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Power Management</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715</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716</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1,260</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Semiconductors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3,849</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4,256</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Software</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49,734</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49,774</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58,516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58,744</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Cleantech</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Alternative Energy</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 Efficiency</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Healthcare Information and Services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Diagnostics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176</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23,668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23,933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8,973</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Investment funds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HSLFI</w:t>
            </w: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4,413</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Total investments</w:t>
            </w:r>
          </w:p>
        </w:tc>
        <w:tc>
          <w:tcPr>
            <w:tcW w:w="13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center"/>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240,608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239,757</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223,077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222,099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629"/>
        </w:trPr>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40" w:type="dxa"/>
            <w:vAlign w:val="bottom"/>
            <w:gridSpan w:val="2"/>
          </w:tcPr>
          <w:p>
            <w:pPr>
              <w:jc w:val="center"/>
              <w:ind w:left="1130"/>
              <w:spacing w:after="0"/>
              <w:rPr>
                <w:sz w:val="20"/>
                <w:szCs w:val="20"/>
                <w:color w:val="auto"/>
              </w:rPr>
            </w:pPr>
            <w:r>
              <w:rPr>
                <w:rFonts w:ascii="Arial" w:cs="Arial" w:eastAsia="Arial" w:hAnsi="Arial"/>
                <w:sz w:val="18"/>
                <w:szCs w:val="18"/>
                <w:color w:val="auto"/>
                <w:w w:val="89"/>
              </w:rPr>
              <w:t>24</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43"/>
        </w:trPr>
        <w:tc>
          <w:tcPr>
            <w:tcW w:w="34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r>
    </w:tbl>
    <w:p>
      <w:pPr>
        <w:sectPr>
          <w:pgSz w:w="11900" w:h="16838" w:orient="portrait"/>
          <w:cols w:equalWidth="0" w:num="1">
            <w:col w:w="11420"/>
          </w:cols>
          <w:pgMar w:left="240" w:top="904"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Horizon Secured Loan Fund I LLC</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1 2018, the Company and Arena formed a joint venture, HSLFI, to make investments, either directly or indirectly through subsidiaries, primarily in secured loans to development-stage companies in the technology, life science, healthcare information and services and cleantech industries. HSLFI was formed as a Delaware limited liability company and is not consolidated by either the Company or Arena for financial reporting purposes. Investments held by HSLFI are measured at fair value using the same valuation methodology as described in Note 6. As of September 30, 2018, HSLFI had total assets of $9.8 million. As of September 30, 2018, HSLFI had no investments on non-accrual status. As of September 30, 2018, HSLFI’s portfolio consisted of debt investments in one portfolio company. HSLFI invests in portfolio companies in the same industries in which the Company may directly invest.</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provides capital (in the form of cash or securities in portfolio companies) to HSLFI in exchange for limited liability company equity interests in HSLFI. As of September 30, 2018, the Company and Arena each owned 50.0% of the equity interests of HSLFI. The Company’s investment in HSLFI consisted of an equity contribution of $4.3 million as of September 30, 2018. As of September 30, 2018, the Company had commitments to fund equity interests in HSLFI of $25.0 million, of which $20.7 million was unfunded.</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Company and Arena each appointed two members to HSLFI’s four-person board of managers. All material decisions with respect to HSLFI, including those involving its investment portfolio, require unanimous approval of a quorum of the board of managers. Quorum is defined as (i) the presence of two members of the board of managers; provided that at least one individual is present that was elected, designated or appointed by each member; (ii) the presence of three members of the board of managers, provided that the individual that was elected, designated or appointed by the member with only one individual present will be entitled to cast two votes on each matter; or (iii) the presence of all four members of the board of managers.</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Horizon Funding I, LLC (“HFI”) was formed as a Delaware limited liability company on May 9, 2018, with HSLFI as its sole equity member. HFI is a special purpose bankruptcy-remote entity and is a separate legal entity from HSLFI. Any assets conveyed to HFI are not available to creditors of HSLFI or any other entity other than HFI’s lenders.</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on June 1, 2018, HSLFI entered into a sale and servicing agreement with HFI, as Issuer, and the Company, as Servicer, pursuant to which HSLFI will sell or contribute to HFI certain secured loans made to certain portfolio companies. HFI entered into a Note Funding Agreement with several entities owned or affiliated with New York Life Insurance Company (“Noteholders”) for an aggregate purchase price of up to $100.0 million, with an accordion feature of up to $200.0 million at the mutual discretion and agreement of HSLFI and the Noteholders. The Note Funding Agreement has an investment period that ends on June 1, 2020, if not extended, followed by a five year amortization period and a scheduled final payment date of June 10, 2025, subject to any extension of the investment period. Any notes issued by HFI will be collateralized by all investments held by HFI and permit an advance rate of up to 67% of the aggregate principal amount of eligible debt investments. The interest rate is based on the three year USD mid-market swap rate plus a margin of between 2.75% and 3.25% depending on the rating of the notes at the time the amount is borrowed. There were no advances made by the Noteholders as of September 30, 2018.</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4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0"/>
              </w:rPr>
              <w:t>Horizon Technology Finance Corporation and Subsidiaries</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4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60" w:type="dxa"/>
            <w:vAlign w:val="bottom"/>
            <w:gridSpan w:val="6"/>
          </w:tcPr>
          <w:p>
            <w:pPr>
              <w:ind w:left="320"/>
              <w:spacing w:after="0"/>
              <w:rPr>
                <w:sz w:val="20"/>
                <w:szCs w:val="20"/>
                <w:color w:val="auto"/>
              </w:rPr>
            </w:pPr>
            <w:r>
              <w:rPr>
                <w:rFonts w:ascii="Arial" w:cs="Arial" w:eastAsia="Arial" w:hAnsi="Arial"/>
                <w:sz w:val="18"/>
                <w:szCs w:val="18"/>
                <w:color w:val="auto"/>
              </w:rPr>
              <w:t>The following table shows HSLFI’s individual investments as of September 30, 2018:</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Cost of</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71"/>
        </w:trPr>
        <w:tc>
          <w:tcPr>
            <w:tcW w:w="3340" w:type="dxa"/>
            <w:vAlign w:val="bottom"/>
            <w:gridSpan w:val="3"/>
          </w:tcPr>
          <w:p>
            <w:pPr>
              <w:spacing w:after="0" w:line="271" w:lineRule="exact"/>
              <w:rPr>
                <w:sz w:val="20"/>
                <w:szCs w:val="20"/>
                <w:color w:val="auto"/>
              </w:rPr>
            </w:pPr>
            <w:r>
              <w:rPr>
                <w:rFonts w:ascii="Arial" w:cs="Arial" w:eastAsia="Arial" w:hAnsi="Arial"/>
                <w:sz w:val="18"/>
                <w:szCs w:val="18"/>
                <w:b w:val="1"/>
                <w:bCs w:val="1"/>
                <w:color w:val="auto"/>
              </w:rPr>
              <w:t xml:space="preserve">Portfolio Company </w:t>
            </w:r>
            <w:r>
              <w:rPr>
                <w:rFonts w:ascii="Arial" w:cs="Arial" w:eastAsia="Arial" w:hAnsi="Arial"/>
                <w:sz w:val="30"/>
                <w:szCs w:val="30"/>
                <w:b w:val="1"/>
                <w:bCs w:val="1"/>
                <w:color w:val="auto"/>
                <w:vertAlign w:val="superscript"/>
              </w:rPr>
              <w:t>(1)</w:t>
            </w:r>
          </w:p>
        </w:tc>
        <w:tc>
          <w:tcPr>
            <w:tcW w:w="1120" w:type="dxa"/>
            <w:vAlign w:val="bottom"/>
            <w:gridSpan w:val="2"/>
          </w:tcPr>
          <w:p>
            <w:pPr>
              <w:ind w:left="260"/>
              <w:spacing w:after="0"/>
              <w:rPr>
                <w:sz w:val="20"/>
                <w:szCs w:val="20"/>
                <w:color w:val="auto"/>
              </w:rPr>
            </w:pPr>
            <w:r>
              <w:rPr>
                <w:rFonts w:ascii="Arial" w:cs="Arial" w:eastAsia="Arial" w:hAnsi="Arial"/>
                <w:sz w:val="18"/>
                <w:szCs w:val="18"/>
                <w:b w:val="1"/>
                <w:bCs w:val="1"/>
                <w:color w:val="auto"/>
              </w:rPr>
              <w:t>Sector</w:t>
            </w:r>
          </w:p>
        </w:tc>
        <w:tc>
          <w:tcPr>
            <w:tcW w:w="3520" w:type="dxa"/>
            <w:vAlign w:val="bottom"/>
            <w:gridSpan w:val="2"/>
          </w:tcPr>
          <w:p>
            <w:pPr>
              <w:jc w:val="center"/>
              <w:ind w:right="80"/>
              <w:spacing w:after="0" w:line="271" w:lineRule="exact"/>
              <w:rPr>
                <w:sz w:val="20"/>
                <w:szCs w:val="20"/>
                <w:color w:val="auto"/>
              </w:rPr>
            </w:pPr>
            <w:r>
              <w:rPr>
                <w:rFonts w:ascii="Arial" w:cs="Arial" w:eastAsia="Arial" w:hAnsi="Arial"/>
                <w:sz w:val="18"/>
                <w:szCs w:val="18"/>
                <w:b w:val="1"/>
                <w:bCs w:val="1"/>
                <w:color w:val="auto"/>
                <w:w w:val="84"/>
              </w:rPr>
              <w:t xml:space="preserve">Type of Investment </w:t>
            </w:r>
            <w:r>
              <w:rPr>
                <w:rFonts w:ascii="Arial" w:cs="Arial" w:eastAsia="Arial" w:hAnsi="Arial"/>
                <w:sz w:val="30"/>
                <w:szCs w:val="30"/>
                <w:b w:val="1"/>
                <w:bCs w:val="1"/>
                <w:color w:val="auto"/>
                <w:w w:val="84"/>
                <w:vertAlign w:val="superscript"/>
              </w:rPr>
              <w:t>(2)(3)(4)</w:t>
            </w:r>
          </w:p>
        </w:tc>
        <w:tc>
          <w:tcPr>
            <w:tcW w:w="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Amount</w:t>
            </w:r>
          </w:p>
        </w:tc>
        <w:tc>
          <w:tcPr>
            <w:tcW w:w="1320" w:type="dxa"/>
            <w:vAlign w:val="bottom"/>
            <w:gridSpan w:val="4"/>
          </w:tcPr>
          <w:p>
            <w:pPr>
              <w:ind w:left="100"/>
              <w:spacing w:after="0" w:line="271" w:lineRule="exact"/>
              <w:rPr>
                <w:sz w:val="20"/>
                <w:szCs w:val="20"/>
                <w:color w:val="auto"/>
              </w:rPr>
            </w:pPr>
            <w:r>
              <w:rPr>
                <w:rFonts w:ascii="Arial" w:cs="Arial" w:eastAsia="Arial" w:hAnsi="Arial"/>
                <w:sz w:val="18"/>
                <w:szCs w:val="18"/>
                <w:b w:val="1"/>
                <w:bCs w:val="1"/>
                <w:color w:val="auto"/>
                <w:w w:val="92"/>
              </w:rPr>
              <w:t>Investments</w:t>
            </w:r>
            <w:r>
              <w:rPr>
                <w:rFonts w:ascii="Arial" w:cs="Arial" w:eastAsia="Arial" w:hAnsi="Arial"/>
                <w:sz w:val="30"/>
                <w:szCs w:val="30"/>
                <w:b w:val="1"/>
                <w:bCs w:val="1"/>
                <w:color w:val="auto"/>
                <w:w w:val="92"/>
                <w:vertAlign w:val="superscript"/>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center"/>
              <w:ind w:right="240"/>
              <w:spacing w:after="0" w:line="271" w:lineRule="exact"/>
              <w:rPr>
                <w:sz w:val="20"/>
                <w:szCs w:val="20"/>
                <w:color w:val="auto"/>
              </w:rPr>
            </w:pPr>
            <w:r>
              <w:rPr>
                <w:rFonts w:ascii="Arial" w:cs="Arial" w:eastAsia="Arial" w:hAnsi="Arial"/>
                <w:sz w:val="18"/>
                <w:szCs w:val="18"/>
                <w:b w:val="1"/>
                <w:bCs w:val="1"/>
                <w:color w:val="auto"/>
                <w:w w:val="85"/>
              </w:rPr>
              <w:t xml:space="preserve">Value </w:t>
            </w:r>
            <w:r>
              <w:rPr>
                <w:rFonts w:ascii="Arial" w:cs="Arial" w:eastAsia="Arial" w:hAnsi="Arial"/>
                <w:sz w:val="30"/>
                <w:szCs w:val="30"/>
                <w:b w:val="1"/>
                <w:bCs w:val="1"/>
                <w:color w:val="auto"/>
                <w:w w:val="85"/>
                <w:vertAlign w:val="superscript"/>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Debt Investments — Technology</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New Signature US, Inc. (7)</w:t>
            </w:r>
          </w:p>
        </w:tc>
        <w:tc>
          <w:tcPr>
            <w:tcW w:w="1120" w:type="dxa"/>
            <w:vAlign w:val="bottom"/>
            <w:gridSpan w:val="2"/>
          </w:tcPr>
          <w:p>
            <w:pPr>
              <w:spacing w:after="0" w:line="201" w:lineRule="exact"/>
              <w:rPr>
                <w:sz w:val="20"/>
                <w:szCs w:val="20"/>
                <w:color w:val="auto"/>
              </w:rPr>
            </w:pPr>
            <w:r>
              <w:rPr>
                <w:rFonts w:ascii="Arial" w:cs="Arial" w:eastAsia="Arial" w:hAnsi="Arial"/>
                <w:sz w:val="18"/>
                <w:szCs w:val="18"/>
                <w:color w:val="auto"/>
              </w:rPr>
              <w:t>Software</w:t>
            </w:r>
          </w:p>
        </w:tc>
        <w:tc>
          <w:tcPr>
            <w:tcW w:w="3520" w:type="dxa"/>
            <w:vAlign w:val="bottom"/>
            <w:gridSpan w:val="2"/>
          </w:tcPr>
          <w:p>
            <w:pPr>
              <w:spacing w:after="0" w:line="201" w:lineRule="exact"/>
              <w:rPr>
                <w:sz w:val="20"/>
                <w:szCs w:val="20"/>
                <w:color w:val="auto"/>
              </w:rPr>
            </w:pPr>
            <w:r>
              <w:rPr>
                <w:rFonts w:ascii="Arial" w:cs="Arial" w:eastAsia="Arial" w:hAnsi="Arial"/>
                <w:sz w:val="18"/>
                <w:szCs w:val="18"/>
                <w:color w:val="auto"/>
              </w:rPr>
              <w:t>Term Loan (10.60% cash (Libor + 8.50%;</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Floor 10.50%), 3.50% ETP, Due 7/1/21)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8,250</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8,089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Debt Investments — Technology</w:t>
            </w: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Warrant Investments — Technology</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BSI Platform Holdings, LLC (7)</w:t>
            </w:r>
          </w:p>
        </w:tc>
        <w:tc>
          <w:tcPr>
            <w:tcW w:w="112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3520" w:type="dxa"/>
            <w:vAlign w:val="bottom"/>
            <w:gridSpan w:val="2"/>
          </w:tcPr>
          <w:p>
            <w:pPr>
              <w:spacing w:after="0"/>
              <w:rPr>
                <w:sz w:val="20"/>
                <w:szCs w:val="20"/>
                <w:color w:val="auto"/>
              </w:rPr>
            </w:pPr>
            <w:r>
              <w:rPr>
                <w:rFonts w:ascii="Arial" w:cs="Arial" w:eastAsia="Arial" w:hAnsi="Arial"/>
                <w:sz w:val="18"/>
                <w:szCs w:val="18"/>
                <w:color w:val="auto"/>
              </w:rPr>
              <w:t>412,500 Preferred Stock Warrants</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9"/>
              </w:rPr>
              <w:t>Total Warrant Investments — Technology</w:t>
            </w: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 Assets</w:t>
            </w: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6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investments of HSLFI are in entities which are organized under the laws of the United States and have a principal place of business in the United States.</w:t>
      </w:r>
    </w:p>
    <w:p>
      <w:pPr>
        <w:spacing w:after="0" w:line="170"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HSLFI’s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September 30, 2018 is provided.</w:t>
      </w:r>
    </w:p>
    <w:p>
      <w:pPr>
        <w:spacing w:after="0" w:line="188"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Warrants are non-income producing.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 of the investment was valued using significant unobservable inputs.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Signature US, Inc. is a subsidiary of BSI Platform Holdings, LLC.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HSLFI’s unfunded commitments by portfolio company as of September 30,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September 30, 2018</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Fair Value of</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Unfunded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3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Commitment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6"/>
              </w:rPr>
              <w:t>Liability</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New Signature US, Inc.</w:t>
            </w:r>
          </w:p>
        </w:tc>
        <w:tc>
          <w:tcPr>
            <w:tcW w:w="4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110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46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4620" w:type="dxa"/>
            <w:vAlign w:val="bottom"/>
            <w:vMerge w:val="restart"/>
          </w:tcPr>
          <w:p>
            <w:pPr>
              <w:jc w:val="right"/>
              <w:ind w:right="2550"/>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0" w:type="dxa"/>
            <w:vAlign w:val="bottom"/>
            <w:tcBorders>
              <w:bottom w:val="single" w:sz="8" w:color="auto"/>
            </w:tcBorders>
          </w:tcPr>
          <w:p>
            <w:pPr>
              <w:spacing w:after="0"/>
              <w:rPr>
                <w:sz w:val="22"/>
                <w:szCs w:val="22"/>
                <w:color w:val="auto"/>
              </w:rPr>
            </w:pPr>
          </w:p>
        </w:tc>
        <w:tc>
          <w:tcPr>
            <w:tcW w:w="3500" w:type="dxa"/>
            <w:vAlign w:val="bottom"/>
            <w:tcBorders>
              <w:bottom w:val="single" w:sz="8" w:color="auto"/>
            </w:tcBorders>
          </w:tcPr>
          <w:p>
            <w:pPr>
              <w:spacing w:after="0"/>
              <w:rPr>
                <w:sz w:val="22"/>
                <w:szCs w:val="22"/>
                <w:color w:val="auto"/>
              </w:rPr>
            </w:pPr>
          </w:p>
        </w:tc>
        <w:tc>
          <w:tcPr>
            <w:tcW w:w="46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tables show certain summarized financial information for HSLFI as of September 30, 2018 and for the three months ended September 30, 2018 and for the period June 1, 2018 through September 30,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0" w:type="dxa"/>
            <w:vAlign w:val="bottom"/>
            <w:gridSpan w:val="5"/>
          </w:tcPr>
          <w:p>
            <w:pPr>
              <w:ind w:left="112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8"/>
              </w:rPr>
              <w:t>(In thousands)</w:t>
            </w:r>
          </w:p>
        </w:tc>
        <w:tc>
          <w:tcPr>
            <w:tcW w:w="56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Selected Statement of Assets and Liabilities Information</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Total investments at fair value (cost of $8,146)</w:t>
            </w: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8,147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27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80" w:type="dxa"/>
            <w:vAlign w:val="bottom"/>
            <w:tcBorders>
              <w:bottom w:val="single" w:sz="8" w:color="CCEEFF"/>
            </w:tcBorders>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7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 w:type="dxa"/>
            <w:vAlign w:val="bottom"/>
            <w:vMerge w:val="restart"/>
          </w:tcPr>
          <w:p>
            <w:pPr>
              <w:spacing w:after="0"/>
              <w:rPr>
                <w:sz w:val="17"/>
                <w:szCs w:val="17"/>
                <w:color w:val="auto"/>
              </w:rPr>
            </w:pPr>
          </w:p>
        </w:tc>
        <w:tc>
          <w:tcPr>
            <w:tcW w:w="45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vMerge w:val="continue"/>
          </w:tcPr>
          <w:p>
            <w:pPr>
              <w:spacing w:after="0"/>
              <w:rPr>
                <w:sz w:val="19"/>
                <w:szCs w:val="19"/>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80" w:type="dxa"/>
            <w:vAlign w:val="bottom"/>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27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80" w:type="dxa"/>
            <w:vAlign w:val="bottom"/>
            <w:tcBorders>
              <w:bottom w:val="single" w:sz="8" w:color="CCEEFF"/>
            </w:tcBorders>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vMerge w:val="continue"/>
          </w:tcPr>
          <w:p>
            <w:pPr>
              <w:spacing w:after="0"/>
              <w:rPr>
                <w:sz w:val="19"/>
                <w:szCs w:val="19"/>
                <w:color w:val="auto"/>
              </w:rPr>
            </w:pPr>
          </w:p>
        </w:tc>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Members’ equity</w:t>
            </w:r>
          </w:p>
        </w:tc>
        <w:tc>
          <w:tcPr>
            <w:tcW w:w="27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8,719</w:t>
            </w:r>
          </w:p>
        </w:tc>
        <w:tc>
          <w:tcPr>
            <w:tcW w:w="80" w:type="dxa"/>
            <w:vAlign w:val="bottom"/>
            <w:tcBorders>
              <w:bottom w:val="single" w:sz="8" w:color="CCEEFF"/>
            </w:tcBorders>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members’ equity</w:t>
            </w:r>
          </w:p>
        </w:tc>
        <w:tc>
          <w:tcPr>
            <w:tcW w:w="27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8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For the period</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9"/>
              </w:rPr>
              <w:t>For the three</w:t>
            </w:r>
          </w:p>
        </w:tc>
        <w:tc>
          <w:tcPr>
            <w:tcW w:w="138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9"/>
              </w:rPr>
              <w:t>June 1, 2018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89"/>
              </w:rPr>
              <w:t>months ended,</w:t>
            </w:r>
          </w:p>
        </w:tc>
        <w:tc>
          <w:tcPr>
            <w:tcW w:w="138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91"/>
              </w:rPr>
              <w:t>through</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4260" w:type="dxa"/>
            <w:vAlign w:val="bottom"/>
            <w:gridSpan w:val="4"/>
          </w:tcPr>
          <w:p>
            <w:pPr>
              <w:ind w:left="2700"/>
              <w:spacing w:after="0"/>
              <w:rPr>
                <w:sz w:val="20"/>
                <w:szCs w:val="20"/>
                <w:color w:val="auto"/>
              </w:rPr>
            </w:pPr>
            <w:r>
              <w:rPr>
                <w:rFonts w:ascii="Arial" w:cs="Arial" w:eastAsia="Arial" w:hAnsi="Arial"/>
                <w:sz w:val="18"/>
                <w:szCs w:val="18"/>
                <w:b w:val="1"/>
                <w:bCs w:val="1"/>
                <w:color w:val="auto"/>
                <w:w w:val="91"/>
              </w:rPr>
              <w:t>September 30, 2018</w:t>
            </w:r>
          </w:p>
        </w:tc>
        <w:tc>
          <w:tcPr>
            <w:tcW w:w="1760" w:type="dxa"/>
            <w:vAlign w:val="bottom"/>
            <w:gridSpan w:val="5"/>
          </w:tcPr>
          <w:p>
            <w:pPr>
              <w:ind w:left="160"/>
              <w:spacing w:after="0"/>
              <w:rPr>
                <w:sz w:val="20"/>
                <w:szCs w:val="20"/>
                <w:color w:val="auto"/>
              </w:rPr>
            </w:pPr>
            <w:r>
              <w:rPr>
                <w:rFonts w:ascii="Arial" w:cs="Arial" w:eastAsia="Arial" w:hAnsi="Arial"/>
                <w:sz w:val="18"/>
                <w:szCs w:val="18"/>
                <w:b w:val="1"/>
                <w:bCs w:val="1"/>
                <w:color w:val="auto"/>
                <w:w w:val="93"/>
              </w:rPr>
              <w:t>September 30, 2018</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5"/>
          </w:tcPr>
          <w:p>
            <w:pPr>
              <w:ind w:left="90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Selected Statements of Operations Information</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Interest income on investments</w:t>
            </w:r>
          </w:p>
        </w:tc>
        <w:tc>
          <w:tcPr>
            <w:tcW w:w="2840" w:type="dxa"/>
            <w:vAlign w:val="bottom"/>
            <w:gridSpan w:val="2"/>
          </w:tcPr>
          <w:p>
            <w:pPr>
              <w:ind w:left="27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820" w:type="dxa"/>
            <w:vAlign w:val="bottom"/>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255</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84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2840" w:type="dxa"/>
            <w:vAlign w:val="bottom"/>
            <w:gridSpan w:val="2"/>
          </w:tcPr>
          <w:p>
            <w:pPr>
              <w:ind w:left="27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820" w:type="dxa"/>
            <w:vAlign w:val="bottom"/>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165</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2840" w:type="dxa"/>
            <w:vAlign w:val="bottom"/>
            <w:gridSpan w:val="2"/>
            <w:shd w:val="clear" w:color="auto" w:fill="CCEEFF"/>
          </w:tcPr>
          <w:p>
            <w:pPr>
              <w:ind w:left="27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840" w:type="dxa"/>
            <w:vAlign w:val="bottom"/>
            <w:gridSpan w:val="2"/>
          </w:tcPr>
          <w:p>
            <w:pPr>
              <w:ind w:left="27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820" w:type="dxa"/>
            <w:vAlign w:val="bottom"/>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166</w:t>
            </w:r>
          </w:p>
        </w:tc>
        <w:tc>
          <w:tcPr>
            <w:tcW w:w="0" w:type="dxa"/>
            <w:vAlign w:val="bottom"/>
          </w:tcPr>
          <w:p>
            <w:pPr>
              <w:spacing w:after="0"/>
              <w:rPr>
                <w:sz w:val="1"/>
                <w:szCs w:val="1"/>
                <w:color w:val="auto"/>
              </w:rPr>
            </w:pPr>
          </w:p>
        </w:tc>
      </w:tr>
      <w:tr>
        <w:trPr>
          <w:trHeight w:val="634"/>
        </w:trPr>
        <w:tc>
          <w:tcPr>
            <w:tcW w:w="8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700" w:type="dxa"/>
            <w:vAlign w:val="bottom"/>
          </w:tcPr>
          <w:p>
            <w:pPr>
              <w:ind w:left="24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 w:type="dxa"/>
            <w:vAlign w:val="bottom"/>
            <w:tcBorders>
              <w:bottom w:val="single" w:sz="8" w:color="auto"/>
            </w:tcBorders>
          </w:tcPr>
          <w:p>
            <w:pPr>
              <w:spacing w:after="0"/>
              <w:rPr>
                <w:sz w:val="21"/>
                <w:szCs w:val="21"/>
                <w:color w:val="auto"/>
              </w:rPr>
            </w:pPr>
          </w:p>
        </w:tc>
        <w:tc>
          <w:tcPr>
            <w:tcW w:w="45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Transactions with affiliated companies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non-controlled affiliated company is generally a portfolio company in which the Company owns 5% or more of such portfolio company’s voting securities but not more than 25% of such portfolio company’s voting securities. Transactions related to investments in non-controlled affiliated companies for the nine months ended September 30, 2018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40" w:type="dxa"/>
            <w:vAlign w:val="bottom"/>
            <w:gridSpan w:val="11"/>
          </w:tcPr>
          <w:p>
            <w:pPr>
              <w:ind w:left="520"/>
              <w:spacing w:after="0"/>
              <w:rPr>
                <w:sz w:val="20"/>
                <w:szCs w:val="20"/>
                <w:color w:val="auto"/>
              </w:rPr>
            </w:pPr>
            <w:r>
              <w:rPr>
                <w:rFonts w:ascii="Arial" w:cs="Arial" w:eastAsia="Arial" w:hAnsi="Arial"/>
                <w:sz w:val="14"/>
                <w:szCs w:val="14"/>
                <w:b w:val="1"/>
                <w:bCs w:val="1"/>
                <w:color w:val="auto"/>
              </w:rPr>
              <w:t>Nine months ended September 30, 2018</w:t>
            </w: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0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Portfolio</w:t>
            </w:r>
          </w:p>
        </w:tc>
        <w:tc>
          <w:tcPr>
            <w:tcW w:w="10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Transfers</w:t>
            </w: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Discount</w:t>
            </w: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8"/>
              <w:spacing w:after="0" w:line="119" w:lineRule="exact"/>
              <w:rPr>
                <w:sz w:val="20"/>
                <w:szCs w:val="20"/>
                <w:color w:val="auto"/>
              </w:rPr>
            </w:pPr>
            <w:r>
              <w:rPr>
                <w:rFonts w:ascii="Arial" w:cs="Arial" w:eastAsia="Arial" w:hAnsi="Arial"/>
                <w:sz w:val="13"/>
                <w:szCs w:val="13"/>
                <w:b w:val="1"/>
                <w:bCs w:val="1"/>
                <w:color w:val="auto"/>
              </w:rPr>
              <w:t>Net</w:t>
            </w:r>
          </w:p>
        </w:tc>
        <w:tc>
          <w:tcPr>
            <w:tcW w:w="22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realized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300" w:type="dxa"/>
            <w:vAlign w:val="bottom"/>
            <w:gridSpan w:val="2"/>
            <w:vMerge w:val="continue"/>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7"/>
              </w:rPr>
              <w:t>Purchases</w:t>
            </w:r>
          </w:p>
        </w:tc>
        <w:tc>
          <w:tcPr>
            <w:tcW w:w="160" w:type="dxa"/>
            <w:vAlign w:val="bottom"/>
          </w:tcPr>
          <w:p>
            <w:pPr>
              <w:spacing w:after="0"/>
              <w:rPr>
                <w:sz w:val="12"/>
                <w:szCs w:val="12"/>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Sales</w:t>
            </w:r>
          </w:p>
        </w:tc>
        <w:tc>
          <w:tcPr>
            <w:tcW w:w="8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b w:val="1"/>
                <w:bCs w:val="1"/>
                <w:color w:val="auto"/>
              </w:rPr>
              <w:t>in/(out) at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0" w:type="dxa"/>
            <w:vAlign w:val="bottom"/>
            <w:gridSpan w:val="3"/>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unrealized</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ind w:left="800"/>
              <w:spacing w:after="0"/>
              <w:rPr>
                <w:sz w:val="20"/>
                <w:szCs w:val="20"/>
                <w:color w:val="auto"/>
              </w:rPr>
            </w:pPr>
            <w:r>
              <w:rPr>
                <w:rFonts w:ascii="Arial" w:cs="Arial" w:eastAsia="Arial" w:hAnsi="Arial"/>
                <w:sz w:val="14"/>
                <w:szCs w:val="14"/>
                <w:b w:val="1"/>
                <w:bCs w:val="1"/>
                <w:color w:val="auto"/>
              </w:rPr>
              <w:t>Company</w:t>
            </w:r>
          </w:p>
        </w:tc>
        <w:tc>
          <w:tcPr>
            <w:tcW w:w="18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accretion</w:t>
            </w:r>
          </w:p>
        </w:tc>
        <w:tc>
          <w:tcPr>
            <w:tcW w:w="80" w:type="dxa"/>
            <w:vAlign w:val="bottom"/>
          </w:tcPr>
          <w:p>
            <w:pPr>
              <w:spacing w:after="0"/>
              <w:rPr>
                <w:sz w:val="14"/>
                <w:szCs w:val="14"/>
                <w:color w:val="auto"/>
              </w:rPr>
            </w:pPr>
          </w:p>
        </w:tc>
        <w:tc>
          <w:tcPr>
            <w:tcW w:w="92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88"/>
              </w:rPr>
              <w:t>gain/(loss)</w:t>
            </w:r>
          </w:p>
        </w:tc>
        <w:tc>
          <w:tcPr>
            <w:tcW w:w="18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gain/(loss)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Decisyon, Inc.</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1,449</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85"/>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1,449</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tcPr>
          <w:p>
            <w:pPr>
              <w:ind w:left="56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ind w:left="560"/>
              <w:spacing w:after="0" w:line="149" w:lineRule="exact"/>
              <w:rPr>
                <w:sz w:val="20"/>
                <w:szCs w:val="20"/>
                <w:color w:val="auto"/>
              </w:rPr>
            </w:pPr>
            <w:r>
              <w:rPr>
                <w:rFonts w:ascii="Arial" w:cs="Arial" w:eastAsia="Arial" w:hAnsi="Arial"/>
                <w:sz w:val="14"/>
                <w:szCs w:val="14"/>
                <w:color w:val="auto"/>
                <w:w w:val="76"/>
              </w:rPr>
              <w:t>18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tcPr>
          <w:p>
            <w:pPr>
              <w:ind w:left="56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tcPr>
          <w:p>
            <w:pPr>
              <w:ind w:left="56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(14)</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(10)</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tcPr>
          <w:p>
            <w:pPr>
              <w:ind w:left="56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(50)</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StereoVision, Inc.</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2,798</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2,798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791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tcPr>
          <w:p>
            <w:pPr>
              <w:ind w:left="56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30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Total Non-controlled Affiliates</w:t>
            </w: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3,499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4,089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ind w:left="480"/>
              <w:spacing w:after="0" w:line="155"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ind w:left="560"/>
              <w:spacing w:after="0" w:line="155"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ind w:left="560"/>
              <w:spacing w:after="0" w:line="155" w:lineRule="exact"/>
              <w:rPr>
                <w:sz w:val="20"/>
                <w:szCs w:val="20"/>
                <w:color w:val="auto"/>
              </w:rPr>
            </w:pPr>
            <w:r>
              <w:rPr>
                <w:rFonts w:ascii="Arial" w:cs="Arial" w:eastAsia="Arial" w:hAnsi="Arial"/>
                <w:sz w:val="14"/>
                <w:szCs w:val="14"/>
                <w:color w:val="auto"/>
                <w:w w:val="76"/>
              </w:rPr>
              <w:t>18</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7,531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ind w:left="56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Transactions related to investments in affiliated companies for the year ended December 31, 2017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w w:val="98"/>
              </w:rPr>
              <w:t>Year ended December 31, 2017</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Portfolio</w:t>
            </w:r>
          </w:p>
        </w:tc>
        <w:tc>
          <w:tcPr>
            <w:tcW w:w="10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Transfers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Discount</w:t>
            </w:r>
          </w:p>
        </w:tc>
        <w:tc>
          <w:tcPr>
            <w:tcW w:w="80" w:type="dxa"/>
            <w:vAlign w:val="bottom"/>
          </w:tcPr>
          <w:p>
            <w:pPr>
              <w:spacing w:after="0"/>
              <w:rPr>
                <w:sz w:val="10"/>
                <w:szCs w:val="10"/>
                <w:color w:val="auto"/>
              </w:rPr>
            </w:pPr>
          </w:p>
        </w:tc>
        <w:tc>
          <w:tcPr>
            <w:tcW w:w="700" w:type="dxa"/>
            <w:vAlign w:val="bottom"/>
          </w:tcPr>
          <w:p>
            <w:pPr>
              <w:jc w:val="center"/>
              <w:ind w:right="9"/>
              <w:spacing w:after="0" w:line="119" w:lineRule="exact"/>
              <w:rPr>
                <w:sz w:val="20"/>
                <w:szCs w:val="20"/>
                <w:color w:val="auto"/>
              </w:rPr>
            </w:pPr>
            <w:r>
              <w:rPr>
                <w:rFonts w:ascii="Arial" w:cs="Arial" w:eastAsia="Arial" w:hAnsi="Arial"/>
                <w:sz w:val="13"/>
                <w:szCs w:val="13"/>
                <w:b w:val="1"/>
                <w:bCs w:val="1"/>
                <w:color w:val="auto"/>
              </w:rPr>
              <w:t>Net</w:t>
            </w:r>
          </w:p>
        </w:tc>
        <w:tc>
          <w:tcPr>
            <w:tcW w:w="22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realized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2300" w:type="dxa"/>
            <w:vAlign w:val="bottom"/>
            <w:gridSpan w:val="2"/>
            <w:vMerge w:val="continue"/>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Purchases</w:t>
            </w:r>
          </w:p>
        </w:tc>
        <w:tc>
          <w:tcPr>
            <w:tcW w:w="16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9"/>
              </w:rPr>
              <w:t>in at fair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0" w:type="dxa"/>
            <w:vAlign w:val="bottom"/>
            <w:gridSpan w:val="3"/>
          </w:tcPr>
          <w:p>
            <w:pPr>
              <w:jc w:val="center"/>
              <w:ind w:right="128"/>
              <w:spacing w:after="0" w:line="149" w:lineRule="exact"/>
              <w:rPr>
                <w:sz w:val="20"/>
                <w:szCs w:val="20"/>
                <w:color w:val="auto"/>
              </w:rPr>
            </w:pPr>
            <w:r>
              <w:rPr>
                <w:rFonts w:ascii="Arial" w:cs="Arial" w:eastAsia="Arial" w:hAnsi="Arial"/>
                <w:sz w:val="14"/>
                <w:szCs w:val="14"/>
                <w:b w:val="1"/>
                <w:bCs w:val="1"/>
                <w:color w:val="auto"/>
                <w:w w:val="92"/>
              </w:rPr>
              <w:t>unrealized</w:t>
            </w: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Company</w:t>
            </w:r>
          </w:p>
        </w:tc>
        <w:tc>
          <w:tcPr>
            <w:tcW w:w="18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value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accretion</w:t>
            </w:r>
          </w:p>
        </w:tc>
        <w:tc>
          <w:tcPr>
            <w:tcW w:w="80" w:type="dxa"/>
            <w:vAlign w:val="bottom"/>
          </w:tcPr>
          <w:p>
            <w:pPr>
              <w:spacing w:after="0"/>
              <w:rPr>
                <w:sz w:val="14"/>
                <w:szCs w:val="14"/>
                <w:color w:val="auto"/>
              </w:rPr>
            </w:pPr>
          </w:p>
        </w:tc>
        <w:tc>
          <w:tcPr>
            <w:tcW w:w="92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88"/>
              </w:rPr>
              <w:t>gain (loss)</w:t>
            </w:r>
          </w:p>
        </w:tc>
        <w:tc>
          <w:tcPr>
            <w:tcW w:w="180" w:type="dxa"/>
            <w:vAlign w:val="bottom"/>
          </w:tcPr>
          <w:p>
            <w:pPr>
              <w:spacing w:after="0"/>
              <w:rPr>
                <w:sz w:val="14"/>
                <w:szCs w:val="14"/>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 (loss)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30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 xml:space="preserve">Decisyon, Inc.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715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ind w:left="540"/>
              <w:spacing w:after="0" w:line="149" w:lineRule="exact"/>
              <w:rPr>
                <w:sz w:val="20"/>
                <w:szCs w:val="20"/>
                <w:color w:val="auto"/>
              </w:rPr>
            </w:pPr>
            <w:r>
              <w:rPr>
                <w:rFonts w:ascii="Arial" w:cs="Arial" w:eastAsia="Arial" w:hAnsi="Arial"/>
                <w:sz w:val="14"/>
                <w:szCs w:val="14"/>
                <w:color w:val="auto"/>
                <w:w w:val="76"/>
              </w:rPr>
              <w:t>16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750</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(36)</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2"/>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0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125</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300" w:type="dxa"/>
            <w:vAlign w:val="bottom"/>
            <w:tcBorders>
              <w:top w:val="single" w:sz="8" w:color="CCEEFF"/>
              <w:bottom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 Non-controlled Affiliates</w:t>
            </w: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ind w:left="560"/>
              <w:spacing w:after="0" w:line="155" w:lineRule="exact"/>
              <w:rPr>
                <w:sz w:val="20"/>
                <w:szCs w:val="20"/>
                <w:color w:val="auto"/>
              </w:rPr>
            </w:pPr>
            <w:r>
              <w:rPr>
                <w:rFonts w:ascii="Arial" w:cs="Arial" w:eastAsia="Arial" w:hAnsi="Arial"/>
                <w:sz w:val="14"/>
                <w:szCs w:val="14"/>
                <w:color w:val="auto"/>
                <w:w w:val="85"/>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ind w:left="480"/>
              <w:spacing w:after="0" w:line="155" w:lineRule="exact"/>
              <w:rPr>
                <w:sz w:val="20"/>
                <w:szCs w:val="20"/>
                <w:color w:val="auto"/>
              </w:rPr>
            </w:pPr>
            <w:r>
              <w:rPr>
                <w:rFonts w:ascii="Arial" w:cs="Arial" w:eastAsia="Arial" w:hAnsi="Arial"/>
                <w:sz w:val="14"/>
                <w:szCs w:val="14"/>
                <w:color w:val="auto"/>
                <w:w w:val="85"/>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2,754</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ind w:left="540"/>
              <w:spacing w:after="0" w:line="155" w:lineRule="exact"/>
              <w:rPr>
                <w:sz w:val="20"/>
                <w:szCs w:val="20"/>
                <w:color w:val="auto"/>
              </w:rPr>
            </w:pPr>
            <w:r>
              <w:rPr>
                <w:rFonts w:ascii="Arial" w:cs="Arial" w:eastAsia="Arial" w:hAnsi="Arial"/>
                <w:sz w:val="14"/>
                <w:szCs w:val="14"/>
                <w:color w:val="auto"/>
                <w:w w:val="76"/>
              </w:rPr>
              <w:t>16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w:t>
            </w:r>
          </w:p>
        </w:tc>
        <w:tc>
          <w:tcPr>
            <w:tcW w:w="220" w:type="dxa"/>
            <w:vAlign w:val="bottom"/>
            <w:tcBorders>
              <w:top w:val="single" w:sz="8" w:color="CCEEFF"/>
              <w:bottom w:val="single" w:sz="8" w:color="CCEEFF"/>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3,499</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ind w:left="56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46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year ended December 31, 2017, the Company's ownership in the portfolio company increased to five percent of the portfolio company's voting securities.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A controlled affiliated company is generally a portfolio company in which the Company owns more than 25% of such portfolio company’s voting securities or has the power to exercise control over management or policies of such portfolio company (including through a management agreement). Transactions related to investments in controlled affiliated companies for the nine months ended September 30, 2018 were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Fair value at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40" w:type="dxa"/>
            <w:vAlign w:val="bottom"/>
            <w:gridSpan w:val="14"/>
          </w:tcPr>
          <w:p>
            <w:pPr>
              <w:ind w:left="540"/>
              <w:spacing w:after="0"/>
              <w:rPr>
                <w:sz w:val="20"/>
                <w:szCs w:val="20"/>
                <w:color w:val="auto"/>
              </w:rPr>
            </w:pPr>
            <w:r>
              <w:rPr>
                <w:rFonts w:ascii="Arial" w:cs="Arial" w:eastAsia="Arial" w:hAnsi="Arial"/>
                <w:sz w:val="14"/>
                <w:szCs w:val="14"/>
                <w:b w:val="1"/>
                <w:bCs w:val="1"/>
                <w:color w:val="auto"/>
              </w:rPr>
              <w:t>Nine months ended September 30, 2018</w:t>
            </w:r>
          </w:p>
        </w:tc>
        <w:tc>
          <w:tcPr>
            <w:tcW w:w="100" w:type="dxa"/>
            <w:vAlign w:val="bottom"/>
          </w:tcPr>
          <w:p>
            <w:pPr>
              <w:spacing w:after="0"/>
              <w:rPr>
                <w:sz w:val="14"/>
                <w:szCs w:val="14"/>
                <w:color w:val="auto"/>
              </w:rPr>
            </w:pPr>
          </w:p>
        </w:tc>
        <w:tc>
          <w:tcPr>
            <w:tcW w:w="9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Portfolio</w:t>
            </w:r>
          </w:p>
        </w:tc>
        <w:tc>
          <w:tcPr>
            <w:tcW w:w="9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Transfers</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rPr>
              <w:t>Discount</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9"/>
              <w:spacing w:after="0" w:line="119" w:lineRule="exact"/>
              <w:rPr>
                <w:sz w:val="20"/>
                <w:szCs w:val="20"/>
                <w:color w:val="auto"/>
              </w:rPr>
            </w:pPr>
            <w:r>
              <w:rPr>
                <w:rFonts w:ascii="Arial" w:cs="Arial" w:eastAsia="Arial" w:hAnsi="Arial"/>
                <w:sz w:val="13"/>
                <w:szCs w:val="13"/>
                <w:b w:val="1"/>
                <w:bCs w:val="1"/>
                <w:color w:val="auto"/>
                <w:w w:val="95"/>
              </w:rPr>
              <w:t>Net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1"/>
              </w:rPr>
              <w:t>Net realized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149"/>
        </w:trPr>
        <w:tc>
          <w:tcPr>
            <w:tcW w:w="2300" w:type="dxa"/>
            <w:vAlign w:val="bottom"/>
            <w:gridSpan w:val="2"/>
            <w:vMerge w:val="continue"/>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in/(out) at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08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Company</w:t>
            </w:r>
          </w:p>
        </w:tc>
        <w:tc>
          <w:tcPr>
            <w:tcW w:w="180" w:type="dxa"/>
            <w:vAlign w:val="bottom"/>
          </w:tcPr>
          <w:p>
            <w:pPr>
              <w:spacing w:after="0"/>
              <w:rPr>
                <w:sz w:val="14"/>
                <w:szCs w:val="14"/>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accretion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gain/(loss)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gain/(loss)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3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HSLFI</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4,413</w:t>
            </w:r>
          </w:p>
        </w:tc>
        <w:tc>
          <w:tcPr>
            <w:tcW w:w="2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30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Total Controlled Affiliates</w:t>
            </w: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ind w:left="540"/>
              <w:spacing w:after="0" w:line="155"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ind w:left="400"/>
              <w:spacing w:after="0" w:line="155" w:lineRule="exact"/>
              <w:rPr>
                <w:sz w:val="20"/>
                <w:szCs w:val="20"/>
                <w:color w:val="auto"/>
              </w:rPr>
            </w:pPr>
            <w:r>
              <w:rPr>
                <w:rFonts w:ascii="Arial" w:cs="Arial" w:eastAsia="Arial" w:hAnsi="Arial"/>
                <w:sz w:val="14"/>
                <w:szCs w:val="14"/>
                <w:color w:val="auto"/>
                <w:w w:val="85"/>
              </w:rPr>
              <w:t>4,413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ind w:left="500"/>
              <w:spacing w:after="0" w:line="155" w:lineRule="exact"/>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ind w:left="580"/>
              <w:spacing w:after="0" w:line="155" w:lineRule="exact"/>
              <w:rPr>
                <w:sz w:val="20"/>
                <w:szCs w:val="20"/>
                <w:color w:val="auto"/>
              </w:rPr>
            </w:pPr>
            <w:r>
              <w:rPr>
                <w:rFonts w:ascii="Arial" w:cs="Arial" w:eastAsia="Arial" w:hAnsi="Arial"/>
                <w:sz w:val="14"/>
                <w:szCs w:val="14"/>
                <w:color w:val="auto"/>
                <w:w w:val="85"/>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ind w:left="540"/>
              <w:spacing w:after="0" w:line="155"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ind w:left="560"/>
              <w:spacing w:after="0" w:line="155" w:lineRule="exact"/>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4,413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ind w:left="560"/>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jc w:val="both"/>
        <w:ind w:left="460" w:hanging="452"/>
        <w:spacing w:after="0" w:line="276"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and Arena are the members of HSLFI, a joint venture formed as a Delaware limited liability company that is not consolidated by either member for financial reporting purposes. The members make investments in HSLFI in the form of LLC equity interests as HSLFI makes investments, and all portfolio and other material decisions regarding HSLFI must be submitted to HSLFI’s board of managers which is comprised of an equal number of managers appointed by each of the Company and Arena. Because management of HSLFI is shared equally between the Company and Arena, the Company does not believe it controls HSLFI for purposes of the 1940 Act or otherwise.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transactions related to investments in controlled affiliated companies for the year ended December 31,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uses fair value measurements to record fair value adjustments to certain assets and liabilities and to determine fair value disclosures. Fair value is the price that would be received to sell an asset or paid to transfer a liability in an orderly transaction between market participants at the measurement date. Fair value is best determined based upon quoted market prices. However, in certain instances, there are no quoted market prices for certain assets or liabilities.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asset or liability.</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measurements focus on exit prices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The Company’s fair value measurements are classified into a fair value hierarchy in accordance with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based on the markets in which the assets and liabilities are traded and the reliability of the assumptions used to determine fair value. The three categories within the hierarchy are as follows:</w:t>
      </w:r>
    </w:p>
    <w:p>
      <w:pPr>
        <w:spacing w:after="0" w:line="177"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and liabilities.</w:t>
      </w:r>
    </w:p>
    <w:p>
      <w:pPr>
        <w:spacing w:after="0" w:line="225" w:lineRule="exact"/>
        <w:rPr>
          <w:sz w:val="20"/>
          <w:szCs w:val="20"/>
          <w:color w:val="auto"/>
        </w:rPr>
      </w:pPr>
    </w:p>
    <w:p>
      <w:pPr>
        <w:jc w:val="both"/>
        <w:ind w:left="1100" w:hanging="769"/>
        <w:spacing w:after="0" w:line="264" w:lineRule="auto"/>
        <w:tabs>
          <w:tab w:leader="none" w:pos="108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in active markets, quoted prices in markets that are not active, and model-based valuation techniques for which all significant inputs are observable or can be corroborated by observable market data for substantially the full term of the assets or liabilities.</w:t>
      </w:r>
    </w:p>
    <w:p>
      <w:pPr>
        <w:spacing w:after="0" w:line="181" w:lineRule="exact"/>
        <w:rPr>
          <w:sz w:val="20"/>
          <w:szCs w:val="20"/>
          <w:color w:val="auto"/>
        </w:rPr>
      </w:pPr>
    </w:p>
    <w:p>
      <w:pPr>
        <w:jc w:val="both"/>
        <w:ind w:left="1100" w:hanging="769"/>
        <w:spacing w:after="0" w:line="312" w:lineRule="auto"/>
        <w:tabs>
          <w:tab w:leader="none" w:pos="108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Investments are valued at fair value as determined in good faith by the Board, based on input of management, the audit committee and independent valuation firms which are engaged at the direction of the Board to assist in the valuation of each portfolio investment lacking a readily available market quotation at least once during a trailing twelve-month period under a valuation policy and a consistently applied valuation process. This valuation process is conducted at the end of each fiscal quarter, with at least 25% (based on fair value) of the Company’s valuation of portfolio companies lacking readily available market quotations subject to review by an independent valuation firm.</w:t>
      </w:r>
    </w:p>
    <w:p>
      <w:pPr>
        <w:spacing w:after="0" w:line="18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Because there is not a readily available market value for most of the investments in its portfolio, the Company values substantially all of its portfolio investments at fair value as determined in good faith by the Board, as described herein. Due to the inherent uncertainty of determining the fair value of investments that do not have a readily available market value, the fair value of the Company's investments may fluctuate from period to period. Additionally, the fair value of the Company's investments may differ significantly from the values that would have been used had a ready market existed for such investments and may differ materially from the values that the Company may ultimately realize. Further, such investments are generally subject to legal and other restrictions on resale or otherwise are less liquid than publicly traded securities. If the Company was required to liquidate a portfolio investment in a forced or liquidation sale, the Company could realize significantly less than the value at which the Company has recorded such portfolio investment.</w:t>
      </w:r>
    </w:p>
    <w:p>
      <w:pPr>
        <w:spacing w:after="0" w:line="1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Cash and interest receivable: </w:t>
      </w:r>
      <w:r>
        <w:rPr>
          <w:rFonts w:ascii="Arial" w:cs="Arial" w:eastAsia="Arial" w:hAnsi="Arial"/>
          <w:sz w:val="18"/>
          <w:szCs w:val="18"/>
          <w:color w:val="auto"/>
        </w:rPr>
        <w:t>The carrying amount is a reasonable estimate of fair value. These financial instruments are not recorded at fair value on a</w:t>
      </w:r>
      <w:r>
        <w:rPr>
          <w:rFonts w:ascii="Arial" w:cs="Arial" w:eastAsia="Arial" w:hAnsi="Arial"/>
          <w:sz w:val="18"/>
          <w:szCs w:val="18"/>
          <w:i w:val="1"/>
          <w:iCs w:val="1"/>
          <w:color w:val="auto"/>
        </w:rPr>
        <w:t xml:space="preserve"> </w:t>
      </w:r>
      <w:r>
        <w:rPr>
          <w:rFonts w:ascii="Arial" w:cs="Arial" w:eastAsia="Arial" w:hAnsi="Arial"/>
          <w:sz w:val="18"/>
          <w:szCs w:val="18"/>
          <w:color w:val="auto"/>
        </w:rPr>
        <w:t>recurring basis and are categorized as Level 1 within the fair value hierarchy described above.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Debt investments: </w:t>
      </w:r>
      <w:r>
        <w:rPr>
          <w:rFonts w:ascii="Arial" w:cs="Arial" w:eastAsia="Arial" w:hAnsi="Arial"/>
          <w:sz w:val="18"/>
          <w:szCs w:val="18"/>
          <w:color w:val="auto"/>
        </w:rPr>
        <w:t>The fair value of debt investments is estimated by discounting the expected future cash flows using the period end rates at which</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debt investments would be made to borrowers with similar credit ratings and for the same remaining maturities. At September 30, 2018 and December 31, 2017, the hypothetical market yields used ranged from 10% to 25%. Significant increases (decreases) in this unobservable input would result in a significantly lower (higher) fair value measurement. These assets are recorded at fair value on a recurring basis and are categorized as Level 3 within the fair value hierarchy described above.</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certain circumstances, the Company may use an alternative technique to value debt investments that better reflects its fair value such as the use of multiple probability weighted cash flow models when the expected future cash flows contain elements of variability.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Warrant investments: </w:t>
      </w:r>
      <w:r>
        <w:rPr>
          <w:rFonts w:ascii="Arial" w:cs="Arial" w:eastAsia="Arial" w:hAnsi="Arial"/>
          <w:sz w:val="17"/>
          <w:szCs w:val="17"/>
          <w:color w:val="auto"/>
        </w:rPr>
        <w:t>The Company values its warrants using the Black-Scholes valuation model incorporating the following material assumptions:</w:t>
      </w:r>
    </w:p>
    <w:p>
      <w:pPr>
        <w:spacing w:after="0" w:line="237" w:lineRule="exact"/>
        <w:rPr>
          <w:sz w:val="20"/>
          <w:szCs w:val="20"/>
          <w:color w:val="auto"/>
        </w:rPr>
      </w:pPr>
    </w:p>
    <w:p>
      <w:pPr>
        <w:ind w:left="560" w:hanging="187"/>
        <w:spacing w:after="0" w:line="342" w:lineRule="auto"/>
        <w:tabs>
          <w:tab w:leader="none" w:pos="56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Underlying asset value of the issuer is estimated based on information available, including any information regarding the most recent rounds of borrower funding. Significant increases (decreases) in this unobservable input would result in a significantly higher (lower) fair value measurement.</w:t>
      </w:r>
    </w:p>
    <w:p>
      <w:pPr>
        <w:spacing w:after="0" w:line="123" w:lineRule="exact"/>
        <w:rPr>
          <w:rFonts w:ascii="Arial" w:cs="Arial" w:eastAsia="Arial" w:hAnsi="Arial"/>
          <w:sz w:val="16"/>
          <w:szCs w:val="16"/>
          <w:color w:val="auto"/>
        </w:rPr>
      </w:pPr>
    </w:p>
    <w:p>
      <w:pPr>
        <w:jc w:val="both"/>
        <w:ind w:left="560" w:hanging="187"/>
        <w:spacing w:after="0" w:line="264"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Volatility, or the amount of uncertainty or risk about the size of the changes in the warrant price, is based on indices of publicly traded companies similar in nature to the underlying company issuing the warrant. A total of seven such indices are used. Significant increases (decreases) in this unobservable input would result in a significantly higher (lower) fair value measurement.</w:t>
      </w:r>
    </w:p>
    <w:p>
      <w:pPr>
        <w:spacing w:after="0" w:line="181" w:lineRule="exact"/>
        <w:rPr>
          <w:rFonts w:ascii="Arial" w:cs="Arial" w:eastAsia="Arial" w:hAnsi="Arial"/>
          <w:sz w:val="18"/>
          <w:szCs w:val="18"/>
          <w:color w:val="auto"/>
        </w:rPr>
      </w:pPr>
    </w:p>
    <w:p>
      <w:pPr>
        <w:ind w:left="560" w:hanging="187"/>
        <w:spacing w:after="0" w:line="277"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w:t>
      </w:r>
    </w:p>
    <w:p>
      <w:pPr>
        <w:spacing w:after="0" w:line="170" w:lineRule="exact"/>
        <w:rPr>
          <w:rFonts w:ascii="Arial" w:cs="Arial" w:eastAsia="Arial" w:hAnsi="Arial"/>
          <w:sz w:val="18"/>
          <w:szCs w:val="18"/>
          <w:color w:val="auto"/>
        </w:rPr>
      </w:pPr>
    </w:p>
    <w:p>
      <w:pPr>
        <w:ind w:left="560" w:hanging="187"/>
        <w:spacing w:after="0" w:line="277"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adjustments, including a marketability discount on private company warrants, are estimated based on management’s judgment about the general industry environment.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left="560" w:hanging="187"/>
        <w:spacing w:after="0" w:line="257"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Historical portfolio experience on cancellations and exercises of the Company’s warrants are utilized as the basis for determining the estimated time to exit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would result in significantly higher (lower) fair value measurement.</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Under certain circumstances the Company may use an alternative technique to value warrants that better reflects the warrants’ fair value, such as an expected settlement of a warrant in the near term or a model that incorporates a put feature associated with the warrant. The fair value may be determined based on the expected proceeds to be received from such settlement or based on the net present value of the expected proceeds from the put option.</w:t>
      </w:r>
    </w:p>
    <w:p>
      <w:pPr>
        <w:spacing w:after="0" w:line="14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fair value of the Company’s warrants held in publicly traded companies is determined based on inputs that are readily available in public markets or can be derived from information available in public markets. Therefore, the Company has categorized these warrants as Level 2 within the fair value hierarchy described above. The fair value of the Company’s warrants held in private companies is determined using both observable and unobservable inputs and represents management’s best estimate of what market participants would use in pricing the warrants at the measurement date. Therefore, the Company has categorized these warrants as Level 3 within the fair value hierarchy described above. These assets are recorded at fair value on a recurring basis.</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Equity investments: </w:t>
      </w:r>
      <w:r>
        <w:rPr>
          <w:rFonts w:ascii="Arial" w:cs="Arial" w:eastAsia="Arial" w:hAnsi="Arial"/>
          <w:sz w:val="16"/>
          <w:szCs w:val="16"/>
          <w:color w:val="auto"/>
        </w:rPr>
        <w:t>The fair value of an equity investment in a privately held company is initially the face value of the amount invested.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adjusts the fair value of equity investments in private companies upon the completion of a new third-party round of equity financing. The Company may make adjustments to fair value, absent a new equity financing event, based upon positive or negative changes in a portfolio company’s financial or operational performance. Significant increases (decreases) in this unobservable input would result in a significantly higher (lower) fair value measurement. The Company has categorized these equity investments as Level 3 within the fair value hierarchy described above. The fair value of an equity investment in a publicly traded company is based upon the closing public share price on the date of measurement. Therefore, the Company has categorized these equity investments as Level 1 within the fair value hierarchy described above. These assets are recorded at fair value on a recurring basis.</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Other investments: </w:t>
      </w:r>
      <w:r>
        <w:rPr>
          <w:rFonts w:ascii="Arial" w:cs="Arial" w:eastAsia="Arial" w:hAnsi="Arial"/>
          <w:sz w:val="18"/>
          <w:szCs w:val="18"/>
          <w:color w:val="auto"/>
        </w:rPr>
        <w:t>Other investments are valued based on the facts and circumstances of the underlying contractual agreement. The Company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values these contractual agreements using a multiple probability weighted cash flow model as the contractual future cash flows contain elements of variability. Significant changes in the estimated cash flows and probability weightings would result in a significantly higher or lower fair value measurement. The Company has categorized these other investments as Level 3 within the fair value hierarchy described above. These other investments are recorded at fair value on a recurring basis.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tables provide a summary of quantitative information about the Company’s Level 3 fair value measurements of its investments as of September 30, 2018 and December 31, 2017. In addition to the techniques and inputs noted in the table below, according to the Company’s valuation policy, the Company may also use other valuation techniques and methodologies when determining its fair value measurements.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is not intended to be all-inclusive, but rather provides information on the significant Level 3 inputs as they relate to the Company’s fair value measurements as of September 30, 2018:</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2018</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0" w:type="dxa"/>
            <w:vAlign w:val="bottom"/>
          </w:tcPr>
          <w:p>
            <w:pPr>
              <w:spacing w:after="0"/>
              <w:rPr>
                <w:sz w:val="11"/>
                <w:szCs w:val="11"/>
                <w:color w:val="auto"/>
              </w:rPr>
            </w:pPr>
          </w:p>
        </w:tc>
        <w:tc>
          <w:tcPr>
            <w:tcW w:w="2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left="288"/>
              <w:spacing w:after="0" w:line="133" w:lineRule="exact"/>
              <w:rPr>
                <w:sz w:val="20"/>
                <w:szCs w:val="20"/>
                <w:color w:val="auto"/>
              </w:rPr>
            </w:pPr>
            <w:r>
              <w:rPr>
                <w:rFonts w:ascii="Arial" w:cs="Arial" w:eastAsia="Arial" w:hAnsi="Arial"/>
                <w:sz w:val="14"/>
                <w:szCs w:val="14"/>
                <w:b w:val="1"/>
                <w:bCs w:val="1"/>
                <w:color w:val="auto"/>
              </w:rPr>
              <w:t>Fair</w:t>
            </w:r>
          </w:p>
        </w:tc>
        <w:tc>
          <w:tcPr>
            <w:tcW w:w="4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740" w:type="dxa"/>
            <w:vAlign w:val="bottom"/>
            <w:tcBorders>
              <w:top w:val="single" w:sz="8" w:color="auto"/>
            </w:tcBorders>
          </w:tcPr>
          <w:p>
            <w:pPr>
              <w:ind w:left="800"/>
              <w:spacing w:after="0" w:line="133" w:lineRule="exact"/>
              <w:rPr>
                <w:sz w:val="20"/>
                <w:szCs w:val="20"/>
                <w:color w:val="auto"/>
              </w:rPr>
            </w:pPr>
            <w:r>
              <w:rPr>
                <w:rFonts w:ascii="Arial" w:cs="Arial" w:eastAsia="Arial" w:hAnsi="Arial"/>
                <w:sz w:val="14"/>
                <w:szCs w:val="14"/>
                <w:b w:val="1"/>
                <w:bCs w:val="1"/>
                <w:color w:val="auto"/>
              </w:rPr>
              <w:t>Valuation Techniques/</w:t>
            </w:r>
          </w:p>
        </w:tc>
        <w:tc>
          <w:tcPr>
            <w:tcW w:w="2040" w:type="dxa"/>
            <w:vAlign w:val="bottom"/>
            <w:tcBorders>
              <w:top w:val="single" w:sz="8" w:color="auto"/>
            </w:tcBorders>
          </w:tcPr>
          <w:p>
            <w:pPr>
              <w:ind w:left="700"/>
              <w:spacing w:after="0" w:line="133" w:lineRule="exact"/>
              <w:rPr>
                <w:sz w:val="20"/>
                <w:szCs w:val="20"/>
                <w:color w:val="auto"/>
              </w:rPr>
            </w:pPr>
            <w:r>
              <w:rPr>
                <w:rFonts w:ascii="Arial" w:cs="Arial" w:eastAsia="Arial" w:hAnsi="Arial"/>
                <w:sz w:val="14"/>
                <w:szCs w:val="14"/>
                <w:b w:val="1"/>
                <w:bCs w:val="1"/>
                <w:color w:val="auto"/>
              </w:rPr>
              <w:t>Unobservable</w:t>
            </w:r>
          </w:p>
        </w:tc>
        <w:tc>
          <w:tcPr>
            <w:tcW w:w="16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Investment Type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left="288"/>
              <w:spacing w:after="0"/>
              <w:rPr>
                <w:sz w:val="20"/>
                <w:szCs w:val="20"/>
                <w:color w:val="auto"/>
              </w:rPr>
            </w:pPr>
            <w:r>
              <w:rPr>
                <w:rFonts w:ascii="Arial" w:cs="Arial" w:eastAsia="Arial" w:hAnsi="Arial"/>
                <w:sz w:val="14"/>
                <w:szCs w:val="14"/>
                <w:b w:val="1"/>
                <w:bCs w:val="1"/>
                <w:color w:val="auto"/>
                <w:w w:val="90"/>
              </w:rPr>
              <w:t>Value</w:t>
            </w: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tcPr>
          <w:p>
            <w:pPr>
              <w:ind w:left="1040"/>
              <w:spacing w:after="0"/>
              <w:rPr>
                <w:sz w:val="20"/>
                <w:szCs w:val="20"/>
                <w:color w:val="auto"/>
              </w:rPr>
            </w:pPr>
            <w:r>
              <w:rPr>
                <w:rFonts w:ascii="Arial" w:cs="Arial" w:eastAsia="Arial" w:hAnsi="Arial"/>
                <w:sz w:val="14"/>
                <w:szCs w:val="14"/>
                <w:b w:val="1"/>
                <w:bCs w:val="1"/>
                <w:color w:val="auto"/>
              </w:rPr>
              <w:t>Methodologies</w:t>
            </w:r>
          </w:p>
        </w:tc>
        <w:tc>
          <w:tcPr>
            <w:tcW w:w="2040" w:type="dxa"/>
            <w:vAlign w:val="bottom"/>
          </w:tcPr>
          <w:p>
            <w:pPr>
              <w:ind w:left="960"/>
              <w:spacing w:after="0"/>
              <w:rPr>
                <w:sz w:val="20"/>
                <w:szCs w:val="20"/>
                <w:color w:val="auto"/>
              </w:rPr>
            </w:pPr>
            <w:r>
              <w:rPr>
                <w:rFonts w:ascii="Arial" w:cs="Arial" w:eastAsia="Arial" w:hAnsi="Arial"/>
                <w:sz w:val="14"/>
                <w:szCs w:val="14"/>
                <w:b w:val="1"/>
                <w:bCs w:val="1"/>
                <w:color w:val="auto"/>
              </w:rPr>
              <w:t>Input</w:t>
            </w:r>
          </w:p>
        </w:tc>
        <w:tc>
          <w:tcPr>
            <w:tcW w:w="1620" w:type="dxa"/>
            <w:vAlign w:val="bottom"/>
          </w:tcPr>
          <w:p>
            <w:pPr>
              <w:jc w:val="center"/>
              <w:ind w:left="8"/>
              <w:spacing w:after="0"/>
              <w:rPr>
                <w:sz w:val="20"/>
                <w:szCs w:val="20"/>
                <w:color w:val="auto"/>
              </w:rPr>
            </w:pPr>
            <w:r>
              <w:rPr>
                <w:rFonts w:ascii="Arial" w:cs="Arial" w:eastAsia="Arial" w:hAnsi="Arial"/>
                <w:sz w:val="14"/>
                <w:szCs w:val="14"/>
                <w:b w:val="1"/>
                <w:bCs w:val="1"/>
                <w:color w:val="auto"/>
                <w:w w:val="88"/>
              </w:rPr>
              <w:t>Range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780" w:type="dxa"/>
            <w:vAlign w:val="bottom"/>
            <w:tcBorders>
              <w:top w:val="single" w:sz="8" w:color="auto"/>
            </w:tcBorders>
            <w:gridSpan w:val="2"/>
          </w:tcPr>
          <w:p>
            <w:pPr>
              <w:ind w:left="520"/>
              <w:spacing w:after="0" w:line="142" w:lineRule="exact"/>
              <w:rPr>
                <w:sz w:val="20"/>
                <w:szCs w:val="20"/>
                <w:color w:val="auto"/>
              </w:rPr>
            </w:pPr>
            <w:r>
              <w:rPr>
                <w:rFonts w:ascii="Arial" w:cs="Arial" w:eastAsia="Arial" w:hAnsi="Arial"/>
                <w:sz w:val="14"/>
                <w:szCs w:val="14"/>
                <w:b w:val="1"/>
                <w:bCs w:val="1"/>
                <w:color w:val="auto"/>
              </w:rPr>
              <w:t>(Dollars in thousands, except per share data)</w:t>
            </w:r>
          </w:p>
        </w:tc>
        <w:tc>
          <w:tcPr>
            <w:tcW w:w="16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investments</w:t>
            </w:r>
          </w:p>
        </w:tc>
        <w:tc>
          <w:tcPr>
            <w:tcW w:w="2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0"/>
              </w:rPr>
              <w:t>215,144</w:t>
            </w:r>
          </w:p>
        </w:tc>
        <w:tc>
          <w:tcPr>
            <w:tcW w:w="2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8"/>
              </w:rPr>
              <w:t>Discounted Expected Future Cash Flows</w:t>
            </w:r>
          </w:p>
        </w:tc>
        <w:tc>
          <w:tcPr>
            <w:tcW w:w="2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Hypothetical Market Yield</w:t>
            </w:r>
          </w:p>
        </w:tc>
        <w:tc>
          <w:tcPr>
            <w:tcW w:w="162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2"/>
              </w:rPr>
              <w:t>10% – 25%</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13%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Warrant investments</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8,481</w:t>
            </w:r>
          </w:p>
        </w:tc>
        <w:tc>
          <w:tcPr>
            <w:tcW w:w="27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Black-Scholes Valuation Model</w:t>
            </w:r>
          </w:p>
        </w:tc>
        <w:tc>
          <w:tcPr>
            <w:tcW w:w="204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Price Per Share</w:t>
            </w:r>
          </w:p>
        </w:tc>
        <w:tc>
          <w:tcPr>
            <w:tcW w:w="1620" w:type="dxa"/>
            <w:vAlign w:val="bottom"/>
            <w:shd w:val="clear" w:color="auto" w:fill="CCEEFF"/>
          </w:tcPr>
          <w:p>
            <w:pPr>
              <w:jc w:val="center"/>
              <w:ind w:left="8"/>
              <w:spacing w:after="0" w:line="130" w:lineRule="exact"/>
              <w:rPr>
                <w:sz w:val="20"/>
                <w:szCs w:val="20"/>
                <w:color w:val="auto"/>
              </w:rPr>
            </w:pPr>
            <w:r>
              <w:rPr>
                <w:rFonts w:ascii="Arial" w:cs="Arial" w:eastAsia="Arial" w:hAnsi="Arial"/>
                <w:sz w:val="14"/>
                <w:szCs w:val="14"/>
                <w:color w:val="auto"/>
                <w:w w:val="92"/>
              </w:rPr>
              <w:t>$0.00 – $980.00</w:t>
            </w:r>
          </w:p>
        </w:tc>
        <w:tc>
          <w:tcPr>
            <w:tcW w:w="12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$42.05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2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Average Industry Volatility</w:t>
            </w:r>
          </w:p>
        </w:tc>
        <w:tc>
          <w:tcPr>
            <w:tcW w:w="162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2"/>
              </w:rPr>
              <w:t>20%</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2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Marketability Discount</w:t>
            </w:r>
          </w:p>
        </w:tc>
        <w:tc>
          <w:tcPr>
            <w:tcW w:w="162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2"/>
              </w:rPr>
              <w:t>20%</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2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Estimated Time to Exit</w:t>
            </w:r>
          </w:p>
        </w:tc>
        <w:tc>
          <w:tcPr>
            <w:tcW w:w="16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0"/>
              </w:rPr>
              <w:t>1 to 5 years</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3 years</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w:t>
            </w:r>
          </w:p>
        </w:tc>
        <w:tc>
          <w:tcPr>
            <w:tcW w:w="20" w:type="dxa"/>
            <w:vAlign w:val="bottom"/>
            <w:shd w:val="clear" w:color="auto" w:fill="CCEEFF"/>
          </w:tcPr>
          <w:p>
            <w:pPr>
              <w:spacing w:after="0"/>
              <w:rPr>
                <w:sz w:val="24"/>
                <w:szCs w:val="24"/>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Estimated Proceeds</w:t>
            </w:r>
          </w:p>
        </w:tc>
        <w:tc>
          <w:tcPr>
            <w:tcW w:w="2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Price Per Share</w:t>
            </w:r>
          </w:p>
        </w:tc>
        <w:tc>
          <w:tcPr>
            <w:tcW w:w="16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6"/>
              </w:rPr>
              <w:t>$0.92</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$0.92</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gridSpan w:val="2"/>
          </w:tcPr>
          <w:p>
            <w:pPr>
              <w:spacing w:after="0"/>
              <w:rPr>
                <w:sz w:val="21"/>
                <w:szCs w:val="21"/>
                <w:color w:val="auto"/>
              </w:rPr>
            </w:pPr>
          </w:p>
        </w:tc>
        <w:tc>
          <w:tcPr>
            <w:tcW w:w="27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Other investments</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7,660</w:t>
            </w:r>
          </w:p>
        </w:tc>
        <w:tc>
          <w:tcPr>
            <w:tcW w:w="27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w w:val="99"/>
              </w:rPr>
              <w:t>Multiple Probability Weighted Cash Flow</w:t>
            </w:r>
          </w:p>
        </w:tc>
        <w:tc>
          <w:tcPr>
            <w:tcW w:w="20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Model</w:t>
            </w:r>
          </w:p>
        </w:tc>
        <w:tc>
          <w:tcPr>
            <w:tcW w:w="2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Discount Rate</w:t>
            </w:r>
          </w:p>
        </w:tc>
        <w:tc>
          <w:tcPr>
            <w:tcW w:w="162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2"/>
              </w:rPr>
              <w:t>18% – 25%</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18%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2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Probability Weighting</w:t>
            </w:r>
          </w:p>
        </w:tc>
        <w:tc>
          <w:tcPr>
            <w:tcW w:w="16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0% – 100%</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36%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c>
          <w:tcPr>
            <w:tcW w:w="27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Equity investments</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1,289</w:t>
            </w:r>
          </w:p>
        </w:tc>
        <w:tc>
          <w:tcPr>
            <w:tcW w:w="2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Last Equity Financing</w:t>
            </w:r>
          </w:p>
        </w:tc>
        <w:tc>
          <w:tcPr>
            <w:tcW w:w="2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Price Per Share</w:t>
            </w:r>
          </w:p>
        </w:tc>
        <w:tc>
          <w:tcPr>
            <w:tcW w:w="162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1"/>
              </w:rPr>
              <w:t>$0.00 – $2.24</w:t>
            </w:r>
          </w:p>
        </w:tc>
        <w:tc>
          <w:tcPr>
            <w:tcW w:w="1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$0.80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Pr>
          <w:p>
            <w:pPr>
              <w:spacing w:after="0" w:line="155" w:lineRule="exact"/>
              <w:rPr>
                <w:sz w:val="20"/>
                <w:szCs w:val="20"/>
                <w:color w:val="auto"/>
              </w:rPr>
            </w:pPr>
            <w:r>
              <w:rPr>
                <w:rFonts w:ascii="Arial" w:cs="Arial" w:eastAsia="Arial" w:hAnsi="Arial"/>
                <w:sz w:val="14"/>
                <w:szCs w:val="14"/>
                <w:color w:val="auto"/>
              </w:rPr>
              <w:t>Total Level 3 investments</w:t>
            </w:r>
          </w:p>
        </w:tc>
        <w:tc>
          <w:tcPr>
            <w:tcW w:w="140" w:type="dxa"/>
            <w:vAlign w:val="bottom"/>
            <w:gridSpan w:val="2"/>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233,473</w:t>
            </w:r>
          </w:p>
        </w:tc>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is not intended to be all-inclusive, but rather provides information on the significant Level 3 inputs as they relate to the Company’s fair value measurements as of December 31, 2017: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2017</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Type</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tcPr>
          <w:p>
            <w:pPr>
              <w:jc w:val="right"/>
              <w:ind w:right="680"/>
              <w:spacing w:after="0" w:line="113" w:lineRule="exact"/>
              <w:rPr>
                <w:sz w:val="20"/>
                <w:szCs w:val="20"/>
                <w:color w:val="auto"/>
              </w:rPr>
            </w:pPr>
            <w:r>
              <w:rPr>
                <w:rFonts w:ascii="Arial" w:cs="Arial" w:eastAsia="Arial" w:hAnsi="Arial"/>
                <w:sz w:val="13"/>
                <w:szCs w:val="13"/>
                <w:b w:val="1"/>
                <w:bCs w:val="1"/>
                <w:color w:val="auto"/>
              </w:rPr>
              <w:t>Fair</w:t>
            </w:r>
          </w:p>
        </w:tc>
        <w:tc>
          <w:tcPr>
            <w:tcW w:w="2640" w:type="dxa"/>
            <w:vAlign w:val="bottom"/>
          </w:tcPr>
          <w:p>
            <w:pPr>
              <w:ind w:left="700"/>
              <w:spacing w:after="0" w:line="113" w:lineRule="exact"/>
              <w:rPr>
                <w:sz w:val="20"/>
                <w:szCs w:val="20"/>
                <w:color w:val="auto"/>
              </w:rPr>
            </w:pPr>
            <w:r>
              <w:rPr>
                <w:rFonts w:ascii="Arial" w:cs="Arial" w:eastAsia="Arial" w:hAnsi="Arial"/>
                <w:sz w:val="13"/>
                <w:szCs w:val="13"/>
                <w:b w:val="1"/>
                <w:bCs w:val="1"/>
                <w:color w:val="auto"/>
              </w:rPr>
              <w:t>Valuation Techniques/</w:t>
            </w:r>
          </w:p>
        </w:tc>
        <w:tc>
          <w:tcPr>
            <w:tcW w:w="2060" w:type="dxa"/>
            <w:vAlign w:val="bottom"/>
          </w:tcPr>
          <w:p>
            <w:pPr>
              <w:ind w:left="700"/>
              <w:spacing w:after="0" w:line="113" w:lineRule="exact"/>
              <w:rPr>
                <w:sz w:val="20"/>
                <w:szCs w:val="20"/>
                <w:color w:val="auto"/>
              </w:rPr>
            </w:pPr>
            <w:r>
              <w:rPr>
                <w:rFonts w:ascii="Arial" w:cs="Arial" w:eastAsia="Arial" w:hAnsi="Arial"/>
                <w:sz w:val="13"/>
                <w:szCs w:val="13"/>
                <w:b w:val="1"/>
                <w:bCs w:val="1"/>
                <w:color w:val="auto"/>
              </w:rPr>
              <w:t>Unobservable</w:t>
            </w:r>
          </w:p>
        </w:tc>
        <w:tc>
          <w:tcPr>
            <w:tcW w:w="1580" w:type="dxa"/>
            <w:vAlign w:val="bottom"/>
          </w:tcPr>
          <w:p>
            <w:pPr>
              <w:spacing w:after="0"/>
              <w:rPr>
                <w:sz w:val="9"/>
                <w:szCs w:val="9"/>
                <w:color w:val="auto"/>
              </w:rPr>
            </w:pPr>
          </w:p>
        </w:tc>
        <w:tc>
          <w:tcPr>
            <w:tcW w:w="122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Weighted</w:t>
            </w:r>
          </w:p>
        </w:tc>
        <w:tc>
          <w:tcPr>
            <w:tcW w:w="0" w:type="dxa"/>
            <w:vAlign w:val="bottom"/>
          </w:tcPr>
          <w:p>
            <w:pPr>
              <w:spacing w:after="0"/>
              <w:rPr>
                <w:sz w:val="1"/>
                <w:szCs w:val="1"/>
                <w:color w:val="auto"/>
              </w:rPr>
            </w:pPr>
          </w:p>
        </w:tc>
      </w:tr>
      <w:tr>
        <w:trPr>
          <w:trHeight w:val="171"/>
        </w:trPr>
        <w:tc>
          <w:tcPr>
            <w:tcW w:w="23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Value</w:t>
            </w:r>
          </w:p>
        </w:tc>
        <w:tc>
          <w:tcPr>
            <w:tcW w:w="2640" w:type="dxa"/>
            <w:vAlign w:val="bottom"/>
          </w:tcPr>
          <w:p>
            <w:pPr>
              <w:ind w:left="940"/>
              <w:spacing w:after="0"/>
              <w:rPr>
                <w:sz w:val="20"/>
                <w:szCs w:val="20"/>
                <w:color w:val="auto"/>
              </w:rPr>
            </w:pPr>
            <w:r>
              <w:rPr>
                <w:rFonts w:ascii="Arial" w:cs="Arial" w:eastAsia="Arial" w:hAnsi="Arial"/>
                <w:sz w:val="14"/>
                <w:szCs w:val="14"/>
                <w:b w:val="1"/>
                <w:bCs w:val="1"/>
                <w:color w:val="auto"/>
              </w:rPr>
              <w:t>Methodologies</w:t>
            </w:r>
          </w:p>
        </w:tc>
        <w:tc>
          <w:tcPr>
            <w:tcW w:w="2060" w:type="dxa"/>
            <w:vAlign w:val="bottom"/>
          </w:tcPr>
          <w:p>
            <w:pPr>
              <w:ind w:left="960"/>
              <w:spacing w:after="0"/>
              <w:rPr>
                <w:sz w:val="20"/>
                <w:szCs w:val="20"/>
                <w:color w:val="auto"/>
              </w:rPr>
            </w:pPr>
            <w:r>
              <w:rPr>
                <w:rFonts w:ascii="Arial" w:cs="Arial" w:eastAsia="Arial" w:hAnsi="Arial"/>
                <w:sz w:val="14"/>
                <w:szCs w:val="14"/>
                <w:b w:val="1"/>
                <w:bCs w:val="1"/>
                <w:color w:val="auto"/>
              </w:rPr>
              <w:t>Input</w:t>
            </w:r>
          </w:p>
        </w:tc>
        <w:tc>
          <w:tcPr>
            <w:tcW w:w="1580" w:type="dxa"/>
            <w:vAlign w:val="bottom"/>
          </w:tcPr>
          <w:p>
            <w:pPr>
              <w:jc w:val="center"/>
              <w:ind w:left="8"/>
              <w:spacing w:after="0"/>
              <w:rPr>
                <w:sz w:val="20"/>
                <w:szCs w:val="20"/>
                <w:color w:val="auto"/>
              </w:rPr>
            </w:pPr>
            <w:r>
              <w:rPr>
                <w:rFonts w:ascii="Arial" w:cs="Arial" w:eastAsia="Arial" w:hAnsi="Arial"/>
                <w:sz w:val="14"/>
                <w:szCs w:val="14"/>
                <w:b w:val="1"/>
                <w:bCs w:val="1"/>
                <w:color w:val="auto"/>
                <w:w w:val="88"/>
              </w:rPr>
              <w:t>Range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700" w:type="dxa"/>
            <w:vAlign w:val="bottom"/>
            <w:tcBorders>
              <w:top w:val="single" w:sz="8" w:color="auto"/>
            </w:tcBorders>
            <w:gridSpan w:val="2"/>
          </w:tcPr>
          <w:p>
            <w:pPr>
              <w:ind w:left="420"/>
              <w:spacing w:after="0" w:line="142" w:lineRule="exact"/>
              <w:rPr>
                <w:sz w:val="20"/>
                <w:szCs w:val="20"/>
                <w:color w:val="auto"/>
              </w:rPr>
            </w:pPr>
            <w:r>
              <w:rPr>
                <w:rFonts w:ascii="Arial" w:cs="Arial" w:eastAsia="Arial" w:hAnsi="Arial"/>
                <w:sz w:val="14"/>
                <w:szCs w:val="14"/>
                <w:b w:val="1"/>
                <w:bCs w:val="1"/>
                <w:color w:val="auto"/>
              </w:rPr>
              <w:t>(Dollars in thousands, except per share data)</w:t>
            </w:r>
          </w:p>
        </w:tc>
        <w:tc>
          <w:tcPr>
            <w:tcW w:w="15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Debt investments</w:t>
            </w:r>
          </w:p>
        </w:tc>
        <w:tc>
          <w:tcPr>
            <w:tcW w:w="2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200,893</w:t>
            </w:r>
          </w:p>
        </w:tc>
        <w:tc>
          <w:tcPr>
            <w:tcW w:w="2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8"/>
              </w:rPr>
              <w:t>Discounted Expected Future Cash Flows</w:t>
            </w:r>
          </w:p>
        </w:tc>
        <w:tc>
          <w:tcPr>
            <w:tcW w:w="2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Hypothetical Market Yield</w:t>
            </w:r>
          </w:p>
        </w:tc>
        <w:tc>
          <w:tcPr>
            <w:tcW w:w="158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2"/>
              </w:rPr>
              <w:t>10% – 25%</w:t>
            </w:r>
          </w:p>
        </w:tc>
        <w:tc>
          <w:tcPr>
            <w:tcW w:w="1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2,900</w:t>
            </w:r>
          </w:p>
        </w:tc>
        <w:tc>
          <w:tcPr>
            <w:tcW w:w="2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Liquidation Scenario</w:t>
            </w:r>
          </w:p>
        </w:tc>
        <w:tc>
          <w:tcPr>
            <w:tcW w:w="20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Discount Rate</w:t>
            </w:r>
          </w:p>
        </w:tc>
        <w:tc>
          <w:tcPr>
            <w:tcW w:w="1580" w:type="dxa"/>
            <w:vAlign w:val="bottom"/>
            <w:shd w:val="clear" w:color="auto" w:fill="CCEEFF"/>
          </w:tcPr>
          <w:p>
            <w:pPr>
              <w:jc w:val="center"/>
              <w:ind w:left="8"/>
              <w:spacing w:after="0" w:line="130" w:lineRule="exact"/>
              <w:rPr>
                <w:sz w:val="20"/>
                <w:szCs w:val="20"/>
                <w:color w:val="auto"/>
              </w:rPr>
            </w:pPr>
            <w:r>
              <w:rPr>
                <w:rFonts w:ascii="Arial" w:cs="Arial" w:eastAsia="Arial" w:hAnsi="Arial"/>
                <w:sz w:val="14"/>
                <w:szCs w:val="14"/>
                <w:color w:val="auto"/>
                <w:w w:val="92"/>
              </w:rPr>
              <w:t>18%</w:t>
            </w:r>
          </w:p>
        </w:tc>
        <w:tc>
          <w:tcPr>
            <w:tcW w:w="12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9"/>
              </w:rPr>
              <w:t>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Marketability Discount</w:t>
            </w:r>
          </w:p>
        </w:tc>
        <w:tc>
          <w:tcPr>
            <w:tcW w:w="158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2"/>
              </w:rPr>
              <w:t>20%</w:t>
            </w:r>
          </w:p>
        </w:tc>
        <w:tc>
          <w:tcPr>
            <w:tcW w:w="1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Uncertainty Discount</w:t>
            </w:r>
          </w:p>
        </w:tc>
        <w:tc>
          <w:tcPr>
            <w:tcW w:w="15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20%</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Warrant investments</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7,371</w:t>
            </w:r>
          </w:p>
        </w:tc>
        <w:tc>
          <w:tcPr>
            <w:tcW w:w="2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Black-Scholes Valuation Model</w:t>
            </w:r>
          </w:p>
        </w:tc>
        <w:tc>
          <w:tcPr>
            <w:tcW w:w="20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Price Per Share</w:t>
            </w:r>
          </w:p>
        </w:tc>
        <w:tc>
          <w:tcPr>
            <w:tcW w:w="1580" w:type="dxa"/>
            <w:vAlign w:val="bottom"/>
            <w:shd w:val="clear" w:color="auto" w:fill="CCEEFF"/>
          </w:tcPr>
          <w:p>
            <w:pPr>
              <w:jc w:val="center"/>
              <w:ind w:left="8"/>
              <w:spacing w:after="0" w:line="130" w:lineRule="exact"/>
              <w:rPr>
                <w:sz w:val="20"/>
                <w:szCs w:val="20"/>
                <w:color w:val="auto"/>
              </w:rPr>
            </w:pPr>
            <w:r>
              <w:rPr>
                <w:rFonts w:ascii="Arial" w:cs="Arial" w:eastAsia="Arial" w:hAnsi="Arial"/>
                <w:sz w:val="14"/>
                <w:szCs w:val="14"/>
                <w:color w:val="auto"/>
                <w:w w:val="92"/>
              </w:rPr>
              <w:t>$0.00 – $22.38</w:t>
            </w:r>
          </w:p>
        </w:tc>
        <w:tc>
          <w:tcPr>
            <w:tcW w:w="12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$3.69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Average Industry Volatility</w:t>
            </w:r>
          </w:p>
        </w:tc>
        <w:tc>
          <w:tcPr>
            <w:tcW w:w="158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2"/>
              </w:rPr>
              <w:t>20%</w:t>
            </w:r>
          </w:p>
        </w:tc>
        <w:tc>
          <w:tcPr>
            <w:tcW w:w="1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2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Marketability Discount</w:t>
            </w:r>
          </w:p>
        </w:tc>
        <w:tc>
          <w:tcPr>
            <w:tcW w:w="158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2"/>
              </w:rPr>
              <w:t>20%</w:t>
            </w:r>
          </w:p>
        </w:tc>
        <w:tc>
          <w:tcPr>
            <w:tcW w:w="1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20%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Estimated Time to Exit</w:t>
            </w:r>
          </w:p>
        </w:tc>
        <w:tc>
          <w:tcPr>
            <w:tcW w:w="15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0"/>
              </w:rPr>
              <w:t>1 to 5 years</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3 years</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2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Expected Proceeds</w:t>
            </w: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Price Per Share</w:t>
            </w:r>
          </w:p>
        </w:tc>
        <w:tc>
          <w:tcPr>
            <w:tcW w:w="15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88"/>
              </w:rPr>
              <w:t>$0.001</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$0.001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spacing w:after="0"/>
              <w:rPr>
                <w:sz w:val="12"/>
                <w:szCs w:val="12"/>
                <w:color w:val="auto"/>
              </w:rPr>
            </w:pPr>
          </w:p>
        </w:tc>
        <w:tc>
          <w:tcPr>
            <w:tcW w:w="26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Other investments</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7,700</w:t>
            </w:r>
          </w:p>
        </w:tc>
        <w:tc>
          <w:tcPr>
            <w:tcW w:w="264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Multiple Probability Weighted Cash Flow</w:t>
            </w:r>
          </w:p>
        </w:tc>
        <w:tc>
          <w:tcPr>
            <w:tcW w:w="20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Model</w:t>
            </w:r>
          </w:p>
        </w:tc>
        <w:tc>
          <w:tcPr>
            <w:tcW w:w="20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Discount Rate</w:t>
            </w:r>
          </w:p>
        </w:tc>
        <w:tc>
          <w:tcPr>
            <w:tcW w:w="1580" w:type="dxa"/>
            <w:vAlign w:val="bottom"/>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2"/>
              </w:rPr>
              <w:t>18% – 25%</w:t>
            </w:r>
          </w:p>
        </w:tc>
        <w:tc>
          <w:tcPr>
            <w:tcW w:w="12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Probability Weighting</w:t>
            </w:r>
          </w:p>
        </w:tc>
        <w:tc>
          <w:tcPr>
            <w:tcW w:w="15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2"/>
              </w:rPr>
              <w:t>0% – 100%</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36%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Equity investments</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Last Equity Financing</w:t>
            </w:r>
          </w:p>
        </w:tc>
        <w:tc>
          <w:tcPr>
            <w:tcW w:w="20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Price Per Share</w:t>
            </w:r>
          </w:p>
        </w:tc>
        <w:tc>
          <w:tcPr>
            <w:tcW w:w="1580" w:type="dxa"/>
            <w:vAlign w:val="bottom"/>
            <w:shd w:val="clear" w:color="auto" w:fill="CCEEFF"/>
          </w:tcPr>
          <w:p>
            <w:pPr>
              <w:jc w:val="center"/>
              <w:ind w:left="8"/>
              <w:spacing w:after="0"/>
              <w:rPr>
                <w:sz w:val="20"/>
                <w:szCs w:val="20"/>
                <w:color w:val="auto"/>
              </w:rPr>
            </w:pPr>
            <w:r>
              <w:rPr>
                <w:rFonts w:ascii="Arial" w:cs="Arial" w:eastAsia="Arial" w:hAnsi="Arial"/>
                <w:sz w:val="14"/>
                <w:szCs w:val="14"/>
                <w:color w:val="auto"/>
                <w:w w:val="91"/>
              </w:rPr>
              <w:t>$0.00 – $1.26</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$0.54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Pr>
          <w:p>
            <w:pPr>
              <w:spacing w:after="0" w:line="155" w:lineRule="exact"/>
              <w:rPr>
                <w:sz w:val="20"/>
                <w:szCs w:val="20"/>
                <w:color w:val="auto"/>
              </w:rPr>
            </w:pPr>
            <w:r>
              <w:rPr>
                <w:rFonts w:ascii="Arial" w:cs="Arial" w:eastAsia="Arial" w:hAnsi="Arial"/>
                <w:sz w:val="14"/>
                <w:szCs w:val="14"/>
                <w:color w:val="auto"/>
              </w:rPr>
              <w:t>Total Level 3 investments</w:t>
            </w:r>
          </w:p>
        </w:tc>
        <w:tc>
          <w:tcPr>
            <w:tcW w:w="140" w:type="dxa"/>
            <w:vAlign w:val="bottom"/>
            <w:gridSpan w:val="2"/>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219,115</w:t>
            </w:r>
          </w:p>
        </w:tc>
        <w:tc>
          <w:tcPr>
            <w:tcW w:w="1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Borrowings: </w:t>
      </w:r>
      <w:r>
        <w:rPr>
          <w:rFonts w:ascii="Arial" w:cs="Arial" w:eastAsia="Arial" w:hAnsi="Arial"/>
          <w:sz w:val="18"/>
          <w:szCs w:val="18"/>
          <w:color w:val="auto"/>
        </w:rPr>
        <w:t>The carrying amount of borrowings under the Company’s revolving credit facility (the “Key Facility”) with KeyBank National Association</w:t>
      </w:r>
      <w:r>
        <w:rPr>
          <w:rFonts w:ascii="Arial" w:cs="Arial" w:eastAsia="Arial" w:hAnsi="Arial"/>
          <w:sz w:val="18"/>
          <w:szCs w:val="18"/>
          <w:i w:val="1"/>
          <w:iCs w:val="1"/>
          <w:color w:val="auto"/>
        </w:rPr>
        <w:t xml:space="preserve"> </w:t>
      </w:r>
      <w:r>
        <w:rPr>
          <w:rFonts w:ascii="Arial" w:cs="Arial" w:eastAsia="Arial" w:hAnsi="Arial"/>
          <w:sz w:val="18"/>
          <w:szCs w:val="18"/>
          <w:color w:val="auto"/>
        </w:rPr>
        <w:t>(“Key”) approximates fair value due to the variable interest rate of the Key Facility and is categorized as Level 2 within the fair value hierarchy described above. Additionally, the Company considers its creditworthiness in determining the fair value of such borrowings. The fair value of the fixed-rate 2022 Notes (as defined in Note 7) is based on the closing public share price on the date of measurement. On September 30, 2018, the closing price of the 2022 Notes on the New York Stock Exchange was $25.52 per note, or $38.2 million. Therefore, the Company has categorized this borrowing as Level 1 within the fair value hierarchy described above.</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Off-balance-sheet instruments: </w:t>
      </w:r>
      <w:r>
        <w:rPr>
          <w:rFonts w:ascii="Arial" w:cs="Arial" w:eastAsia="Arial" w:hAnsi="Arial"/>
          <w:sz w:val="18"/>
          <w:szCs w:val="18"/>
          <w:color w:val="auto"/>
        </w:rPr>
        <w:t>Fair values for off-balance-sheet lending commitments are based on fees currently charged to enter into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taking into account the remaining terms of the agreements and the counterparties’ credit standings. Therefore, the Company has categorized these instruments as Level 3 within the fair value hierarchy described above.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following tables detail the assets that are carried at fair value and measured at fair value on a recurring basis as of September 30, 2018 and December 31, 2017 and indicate the fair value hierarchy of the valuation techniques utilized by the Company to determine the fair value:</w:t>
      </w:r>
    </w:p>
    <w:p>
      <w:pPr>
        <w:spacing w:after="0" w:line="156"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8"/>
                <w:szCs w:val="18"/>
                <w:b w:val="1"/>
                <w:bCs w:val="1"/>
                <w:color w:val="auto"/>
                <w:w w:val="99"/>
              </w:rPr>
              <w:t>September 30, 2018</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Level 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8"/>
                <w:szCs w:val="18"/>
                <w:b w:val="1"/>
                <w:bCs w:val="1"/>
                <w:color w:val="auto"/>
              </w:rPr>
              <w:t>Level 3</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4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215,144</w:t>
            </w:r>
          </w:p>
        </w:tc>
        <w:tc>
          <w:tcPr>
            <w:tcW w:w="2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215,144</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Warrant investments</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1,046</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9,380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10,426</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7,660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Equity investments</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1,289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2,114</w:t>
            </w:r>
          </w:p>
        </w:tc>
      </w:tr>
      <w:tr>
        <w:trPr>
          <w:trHeight w:val="270"/>
        </w:trPr>
        <w:tc>
          <w:tcPr>
            <w:tcW w:w="476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Equity interest in HSLFI</w:t>
            </w:r>
            <w:r>
              <w:rPr>
                <w:rFonts w:ascii="Arial" w:cs="Arial" w:eastAsia="Arial" w:hAnsi="Arial"/>
                <w:sz w:val="30"/>
                <w:szCs w:val="30"/>
                <w:color w:val="auto"/>
                <w:vertAlign w:val="superscript"/>
              </w:rPr>
              <w:t>(1)</w:t>
            </w:r>
          </w:p>
        </w:tc>
        <w:tc>
          <w:tcPr>
            <w:tcW w:w="1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100" w:type="dxa"/>
            <w:vAlign w:val="bottom"/>
            <w:shd w:val="clear" w:color="auto" w:fill="CCEEFF"/>
          </w:tcPr>
          <w:p>
            <w:pPr>
              <w:spacing w:after="0"/>
              <w:rPr>
                <w:sz w:val="23"/>
                <w:szCs w:val="23"/>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Total investments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233,473</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239,757</w:t>
            </w:r>
          </w:p>
        </w:tc>
        <w:tc>
          <w:tcPr>
            <w:tcW w:w="10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137160</wp:posOffset>
            </wp:positionV>
            <wp:extent cx="16554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9" w:lineRule="exact"/>
        <w:rPr>
          <w:sz w:val="20"/>
          <w:szCs w:val="20"/>
          <w:color w:val="auto"/>
        </w:rPr>
      </w:pPr>
    </w:p>
    <w:p>
      <w:pPr>
        <w:ind w:left="1300" w:right="20" w:hanging="320"/>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fair value of Company’s equity interest in HSLFI is determined using the net asset value of the Company’s ownership interest in member’s capital.</w:t>
      </w:r>
    </w:p>
    <w:p>
      <w:pPr>
        <w:spacing w:after="0" w:line="180"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8"/>
                <w:szCs w:val="18"/>
                <w:b w:val="1"/>
                <w:bCs w:val="1"/>
                <w:color w:val="auto"/>
              </w:rPr>
              <w:t>December 31, 2017</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Level 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Level 3</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4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2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203,793</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203,793</w:t>
            </w: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Warrant investments</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1,717</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9,090</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00" w:type="dxa"/>
            <w:vAlign w:val="bottom"/>
            <w:shd w:val="clear" w:color="auto" w:fill="CCEEFF"/>
          </w:tcPr>
          <w:p>
            <w:pPr>
              <w:spacing w:after="0"/>
              <w:rPr>
                <w:sz w:val="18"/>
                <w:szCs w:val="18"/>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Equity investments</w:t>
            </w:r>
          </w:p>
        </w:tc>
        <w:tc>
          <w:tcPr>
            <w:tcW w:w="1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19"/>
                <w:szCs w:val="19"/>
                <w:color w:val="auto"/>
              </w:rPr>
            </w:pPr>
          </w:p>
        </w:tc>
      </w:tr>
      <w:tr>
        <w:trPr>
          <w:trHeight w:val="223"/>
        </w:trPr>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219,115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three months ended September 30, 2018:</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10"/>
          </w:tcPr>
          <w:p>
            <w:pPr>
              <w:jc w:val="center"/>
              <w:ind w:right="280"/>
              <w:spacing w:after="0"/>
              <w:rPr>
                <w:sz w:val="20"/>
                <w:szCs w:val="20"/>
                <w:color w:val="auto"/>
              </w:rPr>
            </w:pPr>
            <w:r>
              <w:rPr>
                <w:rFonts w:ascii="Arial" w:cs="Arial" w:eastAsia="Arial" w:hAnsi="Arial"/>
                <w:sz w:val="18"/>
                <w:szCs w:val="18"/>
                <w:b w:val="1"/>
                <w:bCs w:val="1"/>
                <w:color w:val="auto"/>
                <w:w w:val="90"/>
              </w:rPr>
              <w:t>Three Months Ended September 30, 2018</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16"/>
                <w:szCs w:val="16"/>
                <w:color w:val="auto"/>
              </w:rPr>
            </w:pPr>
          </w:p>
        </w:tc>
        <w:tc>
          <w:tcPr>
            <w:tcW w:w="122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Warrant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4"/>
              </w:rPr>
              <w:t>Equity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Other</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Investments</w:t>
            </w:r>
          </w:p>
        </w:tc>
        <w:tc>
          <w:tcPr>
            <w:tcW w:w="1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Investments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Investments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39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203,459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220,103</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24,200</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24,200</w:t>
            </w: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Warrants and equity received and classified as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Level 3</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(12,168)</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(12,201)</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Unrealized (depreciation) appreciation included in</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earnings</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(307)</w:t>
            </w:r>
          </w:p>
        </w:tc>
      </w:tr>
      <w:tr>
        <w:trPr>
          <w:trHeight w:val="223"/>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Level 3 assets,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transfers between levels are recognized at the end of each reporting period. During the three months ended September 30 2018, there were no transfers between levels.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three months ended September 30, 2017:</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10"/>
          </w:tcPr>
          <w:p>
            <w:pPr>
              <w:jc w:val="center"/>
              <w:ind w:right="360"/>
              <w:spacing w:after="0"/>
              <w:rPr>
                <w:sz w:val="20"/>
                <w:szCs w:val="20"/>
                <w:color w:val="auto"/>
              </w:rPr>
            </w:pPr>
            <w:r>
              <w:rPr>
                <w:rFonts w:ascii="Arial" w:cs="Arial" w:eastAsia="Arial" w:hAnsi="Arial"/>
                <w:sz w:val="18"/>
                <w:szCs w:val="18"/>
                <w:b w:val="1"/>
                <w:bCs w:val="1"/>
                <w:color w:val="auto"/>
                <w:w w:val="90"/>
              </w:rPr>
              <w:t>Three Months Ended September 30, 2017</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16"/>
                <w:szCs w:val="16"/>
                <w:color w:val="auto"/>
              </w:rPr>
            </w:pPr>
          </w:p>
        </w:tc>
        <w:tc>
          <w:tcPr>
            <w:tcW w:w="122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Warrant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4"/>
              </w:rPr>
              <w:t>Equity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600"/>
              <w:spacing w:after="0" w:line="191" w:lineRule="exact"/>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Investments</w:t>
            </w:r>
          </w:p>
        </w:tc>
        <w:tc>
          <w:tcPr>
            <w:tcW w:w="1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Investments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Investments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39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164,895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177,110</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18,321</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18,321</w:t>
            </w:r>
          </w:p>
        </w:tc>
        <w:tc>
          <w:tcPr>
            <w:tcW w:w="80" w:type="dxa"/>
            <w:vAlign w:val="bottom"/>
          </w:tcPr>
          <w:p>
            <w:pPr>
              <w:spacing w:after="0"/>
              <w:rPr>
                <w:sz w:val="18"/>
                <w:szCs w:val="18"/>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Warrants and equity received and classified as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Level 3</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20"/>
                <w:szCs w:val="20"/>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(19,778)</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(19,802)</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 on investments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w w:val="99"/>
              </w:rPr>
              <w:t>Unrealized (depreciation) appreciation included in</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940" w:type="dxa"/>
            <w:vAlign w:val="bottom"/>
          </w:tcPr>
          <w:p>
            <w:pPr>
              <w:ind w:left="8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(1,936)</w:t>
            </w: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(1,186)</w:t>
            </w: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Level 3 assets,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161,292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transfers between levels are recognized at the end of each reporting period. During the three months ended September 30, 2017, there were no transfers between levels.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nine months ended September 30, 2018:</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10"/>
          </w:tcPr>
          <w:p>
            <w:pPr>
              <w:jc w:val="center"/>
              <w:ind w:right="280"/>
              <w:spacing w:after="0"/>
              <w:rPr>
                <w:sz w:val="20"/>
                <w:szCs w:val="20"/>
                <w:color w:val="auto"/>
              </w:rPr>
            </w:pPr>
            <w:r>
              <w:rPr>
                <w:rFonts w:ascii="Arial" w:cs="Arial" w:eastAsia="Arial" w:hAnsi="Arial"/>
                <w:sz w:val="18"/>
                <w:szCs w:val="18"/>
                <w:b w:val="1"/>
                <w:bCs w:val="1"/>
                <w:color w:val="auto"/>
                <w:w w:val="90"/>
              </w:rPr>
              <w:t>Nine Months Ended September 30, 2018</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16"/>
                <w:szCs w:val="16"/>
                <w:color w:val="auto"/>
              </w:rPr>
            </w:pPr>
          </w:p>
        </w:tc>
        <w:tc>
          <w:tcPr>
            <w:tcW w:w="122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Warrant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4"/>
              </w:rPr>
              <w:t>Equity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520"/>
              <w:spacing w:after="0" w:line="191" w:lineRule="exact"/>
              <w:rPr>
                <w:sz w:val="20"/>
                <w:szCs w:val="20"/>
                <w:color w:val="auto"/>
              </w:rPr>
            </w:pPr>
            <w:r>
              <w:rPr>
                <w:rFonts w:ascii="Arial" w:cs="Arial" w:eastAsia="Arial" w:hAnsi="Arial"/>
                <w:sz w:val="18"/>
                <w:szCs w:val="18"/>
                <w:b w:val="1"/>
                <w:bCs w:val="1"/>
                <w:color w:val="auto"/>
              </w:rPr>
              <w:t>Other</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Investments</w:t>
            </w:r>
          </w:p>
        </w:tc>
        <w:tc>
          <w:tcPr>
            <w:tcW w:w="1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Investments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39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90"/>
              </w:rPr>
              <w:t>(In thousands)</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203,793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219,115</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62,246</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62,246</w:t>
            </w: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Warrants and equity received and classified as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Level 3</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(46,334)</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(46,503)</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(3,360)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Unrealized (depreciation) appreciation included in</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earnings</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(1,285)</w:t>
            </w:r>
          </w:p>
        </w:tc>
      </w:tr>
      <w:tr>
        <w:trPr>
          <w:trHeight w:val="223"/>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Level 3 assets,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transfers between levels are recognized at the end of each reporting period. During the nine months ended September 30 2018, there were no transfers between levels.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change in unrealized appreciation included in the consolidated statement of operations attributable to Level 3 investments still held at September 30, 2018 includes $0.2 million in unrealized depreciation on debt and other investments, $1.3 million in unrealized appreciation on warrant investments and $0.05 million in unrealized depreciation on equity investments.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nine months ended September 30, 2017:</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10"/>
          </w:tcPr>
          <w:p>
            <w:pPr>
              <w:jc w:val="center"/>
              <w:ind w:right="360"/>
              <w:spacing w:after="0"/>
              <w:rPr>
                <w:sz w:val="20"/>
                <w:szCs w:val="20"/>
                <w:color w:val="auto"/>
              </w:rPr>
            </w:pPr>
            <w:r>
              <w:rPr>
                <w:rFonts w:ascii="Arial" w:cs="Arial" w:eastAsia="Arial" w:hAnsi="Arial"/>
                <w:sz w:val="18"/>
                <w:szCs w:val="18"/>
                <w:b w:val="1"/>
                <w:bCs w:val="1"/>
                <w:color w:val="auto"/>
                <w:w w:val="90"/>
              </w:rPr>
              <w:t>Nine Months Ended September 30, 2017</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640"/>
              <w:spacing w:after="0" w:line="191" w:lineRule="exact"/>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16"/>
                <w:szCs w:val="16"/>
                <w:color w:val="auto"/>
              </w:rPr>
            </w:pPr>
          </w:p>
        </w:tc>
        <w:tc>
          <w:tcPr>
            <w:tcW w:w="1220" w:type="dxa"/>
            <w:vAlign w:val="bottom"/>
            <w:gridSpan w:val="2"/>
          </w:tcPr>
          <w:p>
            <w:pPr>
              <w:jc w:val="right"/>
              <w:ind w:right="400"/>
              <w:spacing w:after="0" w:line="191" w:lineRule="exact"/>
              <w:rPr>
                <w:sz w:val="20"/>
                <w:szCs w:val="20"/>
                <w:color w:val="auto"/>
              </w:rPr>
            </w:pPr>
            <w:r>
              <w:rPr>
                <w:rFonts w:ascii="Arial" w:cs="Arial" w:eastAsia="Arial" w:hAnsi="Arial"/>
                <w:sz w:val="18"/>
                <w:szCs w:val="18"/>
                <w:b w:val="1"/>
                <w:bCs w:val="1"/>
                <w:color w:val="auto"/>
              </w:rPr>
              <w:t>Warrant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4"/>
              </w:rPr>
              <w:t>Equity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600"/>
              <w:spacing w:after="0" w:line="191" w:lineRule="exact"/>
              <w:rPr>
                <w:sz w:val="20"/>
                <w:szCs w:val="20"/>
                <w:color w:val="auto"/>
              </w:rPr>
            </w:pPr>
            <w:r>
              <w:rPr>
                <w:rFonts w:ascii="Arial" w:cs="Arial" w:eastAsia="Arial" w:hAnsi="Arial"/>
                <w:sz w:val="18"/>
                <w:szCs w:val="18"/>
                <w:b w:val="1"/>
                <w:bCs w:val="1"/>
                <w:color w:val="auto"/>
              </w:rPr>
              <w:t>Other</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Investments</w:t>
            </w:r>
          </w:p>
        </w:tc>
        <w:tc>
          <w:tcPr>
            <w:tcW w:w="1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Investments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Investments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Total</w:t>
            </w:r>
          </w:p>
        </w:tc>
      </w:tr>
      <w:tr>
        <w:trPr>
          <w:trHeight w:val="210"/>
        </w:trPr>
        <w:tc>
          <w:tcPr>
            <w:tcW w:w="39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90"/>
              </w:rPr>
              <w:t>(In thousands)</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186,186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600</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192,911</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66,311</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66,311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Warrants and equity received and classified as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Level 3</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1,374</w:t>
            </w:r>
          </w:p>
        </w:tc>
        <w:tc>
          <w:tcPr>
            <w:tcW w:w="80" w:type="dxa"/>
            <w:vAlign w:val="bottom"/>
            <w:shd w:val="clear" w:color="auto" w:fill="CCEEFF"/>
          </w:tcPr>
          <w:p>
            <w:pPr>
              <w:spacing w:after="0"/>
              <w:rPr>
                <w:sz w:val="20"/>
                <w:szCs w:val="20"/>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(79,961)</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(80,062)</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(1,537)</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Net realized (loss) gain on investments</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(11,162)</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(10,531)</w:t>
            </w: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Unrealized appreciation (depreciation) included in</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earnings</w:t>
            </w: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6,249</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6,679</w:t>
            </w:r>
          </w:p>
        </w:tc>
        <w:tc>
          <w:tcPr>
            <w:tcW w:w="80" w:type="dxa"/>
            <w:vAlign w:val="bottom"/>
            <w:shd w:val="clear" w:color="auto" w:fill="CCEEFF"/>
          </w:tcPr>
          <w:p>
            <w:pPr>
              <w:spacing w:after="0"/>
              <w:rPr>
                <w:sz w:val="20"/>
                <w:szCs w:val="20"/>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w w:val="94"/>
              </w:rPr>
              <w:t>Transfer from debt investments to other investments</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(5,300)</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(1,031)</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(1,031)</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Level 3 assets,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161,292</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174,114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Company’s transfers between levels are recognized at the end of each reporting period. During the nine months ended September 30, 2017, there were no transfers between levels.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change in unrealized appreciation included in the consolidated statement of operations attributable to Level 3 investments still held at September 30, 2017 includes $4.5 million in unrealized depreciation on debt and other investments, $0.01 million in unrealized depreciation on warrant investments and $0.01 million in unrealized appreciation on equity investments.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discloses fair value information about financial instruments, whether or not recognized in the consolidated statement of assets and liabilities, for which it is practicable to estimate that value. Certain financial instruments are excluded from the disclosure requirements. Accordingly, the aggregate fair value amounts presented do not represent the underlying value of the Company.</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fair value amounts have been measured as of the reporting date and have not been reevaluated or updated for purposes of these financial statements subsequent to that date. As such, the fair values of these financial instruments subsequent to the reporting date may be different than amounts reported.</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September 30, 2018 and December 31, 2017, all of the balances of the Company’s financial instruments were recorded at fair value, except for the Company’s 2022 Notes, as previously described.</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Off-balance-sheet instruments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assumes interest rate risk (the risk that general interest rate levels will change) as a result of its normal operations. As a result, the fair values of the Company’s financial instruments will change when interest rate levels change, and that change may be either favorable or unfavorable to the Company. Management attempts to match maturities of assets and liabilities to the extent believed necessary to minimize interest rate risk. Management monitors rates and maturities of assets and liabilities and attempts to minimize interest rate risk by adjusting terms of new debt investments and by investing in securities with terms that mitigate the Company’s overall interest rate risk.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Borrowings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Company’s borrowings as of September 30, 2018 and December 31,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 2018</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8"/>
          </w:tcPr>
          <w:p>
            <w:pPr>
              <w:jc w:val="center"/>
              <w:ind w:left="570"/>
              <w:spacing w:after="0"/>
              <w:rPr>
                <w:sz w:val="20"/>
                <w:szCs w:val="20"/>
                <w:color w:val="auto"/>
              </w:rPr>
            </w:pPr>
            <w:r>
              <w:rPr>
                <w:rFonts w:ascii="Arial" w:cs="Arial" w:eastAsia="Arial" w:hAnsi="Arial"/>
                <w:sz w:val="18"/>
                <w:szCs w:val="18"/>
                <w:b w:val="1"/>
                <w:bCs w:val="1"/>
                <w:color w:val="auto"/>
                <w:w w:val="88"/>
              </w:rPr>
              <w:t>December 31, 2017</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6"/>
              </w:rPr>
              <w:t>Balance</w:t>
            </w:r>
          </w:p>
        </w:tc>
        <w:tc>
          <w:tcPr>
            <w:tcW w:w="160" w:type="dxa"/>
            <w:vAlign w:val="bottom"/>
          </w:tcPr>
          <w:p>
            <w:pPr>
              <w:spacing w:after="0"/>
              <w:rPr>
                <w:sz w:val="16"/>
                <w:szCs w:val="16"/>
                <w:color w:val="auto"/>
              </w:rPr>
            </w:pPr>
          </w:p>
        </w:tc>
        <w:tc>
          <w:tcPr>
            <w:tcW w:w="88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6"/>
              </w:rPr>
              <w:t>Unused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ind w:left="120"/>
              <w:spacing w:after="0" w:line="191"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6"/>
              </w:rPr>
              <w:t>Balance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3"/>
              </w:rPr>
              <w:t>Unused</w:t>
            </w:r>
          </w:p>
        </w:tc>
        <w:tc>
          <w:tcPr>
            <w:tcW w:w="100" w:type="dxa"/>
            <w:vAlign w:val="bottom"/>
          </w:tcPr>
          <w:p>
            <w:pPr>
              <w:spacing w:after="0"/>
              <w:rPr>
                <w:sz w:val="16"/>
                <w:szCs w:val="16"/>
                <w:color w:val="auto"/>
              </w:rPr>
            </w:pPr>
          </w:p>
        </w:tc>
      </w:t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2"/>
              </w:rPr>
              <w:t>Commitment</w:t>
            </w:r>
          </w:p>
        </w:tc>
        <w:tc>
          <w:tcPr>
            <w:tcW w:w="240" w:type="dxa"/>
            <w:vAlign w:val="bottom"/>
          </w:tcPr>
          <w:p>
            <w:pPr>
              <w:spacing w:after="0"/>
              <w:rPr>
                <w:sz w:val="20"/>
                <w:szCs w:val="20"/>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Commitment</w:t>
            </w:r>
          </w:p>
        </w:tc>
        <w:tc>
          <w:tcPr>
            <w:tcW w:w="122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Commitment</w:t>
            </w:r>
          </w:p>
        </w:tc>
        <w:tc>
          <w:tcPr>
            <w:tcW w:w="120" w:type="dxa"/>
            <w:vAlign w:val="bottom"/>
          </w:tcPr>
          <w:p>
            <w:pPr>
              <w:spacing w:after="0"/>
              <w:rPr>
                <w:sz w:val="20"/>
                <w:szCs w:val="20"/>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Outstanding</w:t>
            </w:r>
          </w:p>
        </w:tc>
        <w:tc>
          <w:tcPr>
            <w:tcW w:w="120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Commitment</w:t>
            </w:r>
          </w:p>
        </w:tc>
      </w:tr>
      <w:tr>
        <w:trPr>
          <w:trHeight w:val="210"/>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Key Facility</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24,000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58,000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37,000</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2022 Notes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37,375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37,375</w:t>
            </w: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37,375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37,375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before debt issuance costs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137,375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113,375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95,375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182"/>
        </w:trPr>
        <w:tc>
          <w:tcPr>
            <w:tcW w:w="3900" w:type="dxa"/>
            <w:vAlign w:val="bottom"/>
          </w:tcPr>
          <w:p>
            <w:pPr>
              <w:spacing w:after="0" w:line="182" w:lineRule="exact"/>
              <w:rPr>
                <w:sz w:val="20"/>
                <w:szCs w:val="20"/>
                <w:color w:val="auto"/>
              </w:rPr>
            </w:pPr>
            <w:r>
              <w:rPr>
                <w:rFonts w:ascii="Arial" w:cs="Arial" w:eastAsia="Arial" w:hAnsi="Arial"/>
                <w:sz w:val="18"/>
                <w:szCs w:val="18"/>
                <w:color w:val="auto"/>
                <w:w w:val="92"/>
              </w:rPr>
              <w:t>Unamortized debt issuance costs attributable to term</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4"/>
        </w:trPr>
        <w:tc>
          <w:tcPr>
            <w:tcW w:w="3900" w:type="dxa"/>
            <w:vAlign w:val="bottom"/>
          </w:tcPr>
          <w:p>
            <w:pPr>
              <w:spacing w:after="0"/>
              <w:rPr>
                <w:sz w:val="20"/>
                <w:szCs w:val="20"/>
                <w:color w:val="auto"/>
              </w:rPr>
            </w:pPr>
            <w:r>
              <w:rPr>
                <w:rFonts w:ascii="Arial" w:cs="Arial" w:eastAsia="Arial" w:hAnsi="Arial"/>
                <w:sz w:val="18"/>
                <w:szCs w:val="18"/>
                <w:color w:val="auto"/>
              </w:rPr>
              <w:t>borrowings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(1,091)</w:t>
            </w:r>
          </w:p>
        </w:tc>
        <w:tc>
          <w:tcPr>
            <w:tcW w:w="1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borrowings outstanding, net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137,375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112,284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94,075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Currently, with certain limited exceptions, as a BDC, the Company is only allowed to borrow amounts such that the Company’s asset coverage, as defined in the 1940 Act, is at least 200% after such borrowings. As of September 30, 2018, the Company’s asset coverage for borrowed amounts was 219%.</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March 23, 2018, President Trump signed into law the Small Business Credit Availability Act as part of an omnibus spending bill, which, among other things, amends the 1940 Act to reduce the minimum required asset coverage applicable to BDCs under the 1940 Act from 200% to 150% if certain approval and disclosure requirements are met. Before such reduced asset coverage requirement can apply to the Company, such reduced asset coverage requirement must be approved by either (a) a “required majority” (as defined in Section 57(o) of the 1940 Act) of the Board, in which case such reduced asset coverage requirement would take effect on the first anniversary of the date of such Board approval, or (b) a majority of votes cast by the stockholders of the Company at a special or annual meeting at which a quorum is present, in which case such reduced asset coverage requirement shall take effect on the day after such approval. On June 7, 2018, a “required majority” of the Board approved the reduced asset coverage requirements and separately recommended that the Company’s stockholders approve the reduced asset coverage requirements at a special meeting of the Company’s stockholders. The Company held a special meeting on October 30, 2018 during which the reduced asset coverage requirements were approved by stockholders. The reduced asset coverage requirements take effect October 31, 2018.</w:t>
      </w:r>
    </w:p>
    <w:p>
      <w:pPr>
        <w:spacing w:after="0" w:line="17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Company entered into the Key Facility with Key effective November 4, 2013. The Key Facility has an accordion feature which allows for an increase in the total loan commitment to $150 million from the $100 million commitment. The Key Facility is collateralized by all debt investments and warrants held by Credit II and permits an advance rate of up to 50% of eligible debt investments held by Credit II. The Key Facility contains covenants that, among other things, require the Company to maintain a minimum net worth and to restrict the debt investments securing the Key Facility to certain criteria for qualified debt investments and includes portfolio company concentration limits as defined in the related loan agreement. The Key Facility has a revolving period that extends to April 6, 2021, followed by a two-year amortization period and is scheduled to mature on April 6, 2023. The interest rate is based upon the one-month LIBOR, plus a spread of 3.25%, with a LIBOR floor of 0.75%. The LIBOR rate was 2.26% and 1.56% on September 30, 2018 and December 31, 2017, respectively. The average interest rate for the three months ended September 30, 2018 and 2017 was 5.34% and 4.48%, respectively. The average interest rate for the nine months ended September 30, 2018 and 2017 was 5.12% and 4.26%, respectively. The Key Facility requires the payment of an unused line fee in an amount equal to 0.50% of any unborrowed amount available under the facility annually. As of September 30, 2018 and December 31, 2017, the Company had borrowing capacity under the Key Facility of $24.0 million and $37.0 million, respectively. At September 30, 2018 and December 31, 2017, $14.2 million and $23.6 million, respectively, was available, subject to existing terms and advance rates.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March 23, 2012, the Company issued and sold an aggregate principal amount of $30.0 million of 7.375% senior unsecured notes due in 2019 and on April 18, 2012, pursuant to the underwriters’ 30 day option to purchase additional notes, the Company sold an additional $3.0 million of such notes (collectively, the “2019 Notes”). The 2019 Notes had a stated maturity of March 15, 2019 and were redeemable in whole or in part at the Company’s option at any time or from time to time at a redemption price of $25 per security plus accrued and unpaid interest. The 2019 Notes bore interest at a rate of 7.375% per year payable quarterly on March 15, June 15, September 15 and December 15 of each year. The 2019 Notes were the Company’s direct unsecured obligations and (i) ranked equally in right of payment with the Company’s future unsecured indebtedness; (ii) were senior in right of payment to any of the Company’s future indebtedness that expressly provided it was subordinated to the 2019 Notes; (iii) were effectively subordinated to all of the Company’s existing and future secured indebtedness (including indebtedness that was initially unsecured to which the Company subsequently granted security), to the extent of the value of the assets securing such indebtedness, and (iv) were structurally subordinated to all existing and future indebtedness and other obligations of any of the Company’s subsidiaries. On October 30, 2017 (the “Redemption Date”), the Company redeemed all of the issued and outstanding 2019 Notes in an aggregate principal amount of $33.0 million and paid accrued interest of $0.3 million. The Company accelerated $0.2 million of unamortized debt issuance costs related to the 2019 Notes. The 2019 Notes were delisted effective on the Redemption Date.</w:t>
      </w:r>
    </w:p>
    <w:p>
      <w:pPr>
        <w:spacing w:after="0" w:line="16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September 29, 2017, the Company issued and sold an aggregate principal amount of $32.5 million of 6.25% notes due in 2022 and on October 11, 2017, pursuant to the underwriters’ 30 day option to purchase additional notes, the Company sold an additional $4.9 million of such notes (collectively, the “2022 Notes”). The 2022 Notes have a stated maturity of September 15, 2022 and may be redeemed in whole or in part at the Company’s option at any time or from time to time on or after September 15, 2019 at a redemption price of $25 per security plus accrued and unpaid interest. The 2022 Notes bear interest at a rate of 6.25% per year, payable quarterly on March 15, June 15, September 15 and December 15 of each year. The 2022 Notes are the Company’s direct unsecured obligations and (i) rank equally in right of payment with the Company’s current and future unsecured indebtedness; (ii) are senior in right of payment to any of the Company’s future indebtedness that expressly provides it is subordinated to the 2022 Notes; (iii) are effectively subordinated to all of the Company’s existing and future secured indebtedness (including indebtedness that is initially unsecured to which the Company subsequently grants security), to the extent of the value of the assets securing such indebtedness, and (iv) are structurally subordinated to all existing and future indebtedness and other obligations of any of the Company’s subsidiaries. As of September 30, 2018, the Company was in material compliance with the terms of the 2022 Notes. The 2022 Notes are listed on the New York Stock Exchange under the symbol “HTFA”.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Financial instruments with off-balance-sheet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normal course of business, the Company is party to financial instruments with off-balance-sheet risk to meet the financing needs of its borrowers. These financial instruments include commitments to extend credit and involve, to varying degrees, elements of credit risk in excess of the amount recognized in the consolidated statement of assets and liabilities. The Company attempts to limit its credit risk by conducting extensive due diligence and obtaining collateral where appropriate.</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balance of unfunded commitments to extend credit was $35.0 million and $33.3 million as of September 30, 2018 and December 31, 2017, respectively. Commitments to extend credit consist principally of the unused portions of commitments that obligate the Company to extend credit, such as revolving credit arrangements or similar transactions. These commitments are often subject to financial or non-financial milestones and other conditions to borrow that must be achieved before the commitment can be drawn. In addition, the commitments generally have fixed expiration dates or other termination clauses. Since commitments may expire without being drawn upon, the total commitment amounts do not necessarily represent future cash requirements.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tbl>
      <w:tblPr>
        <w:tblLayout w:type="fixed"/>
        <w:tblInd w:w="34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5760" w:type="dxa"/>
            <w:vAlign w:val="bottom"/>
            <w:gridSpan w:val="2"/>
          </w:tcPr>
          <w:p>
            <w:pPr>
              <w:jc w:val="right"/>
              <w:ind w:right="550"/>
              <w:spacing w:after="0"/>
              <w:rPr>
                <w:sz w:val="20"/>
                <w:szCs w:val="20"/>
                <w:color w:val="auto"/>
              </w:rPr>
            </w:pPr>
            <w:r>
              <w:rPr>
                <w:rFonts w:ascii="Arial" w:cs="Arial" w:eastAsia="Arial" w:hAnsi="Arial"/>
                <w:sz w:val="18"/>
                <w:szCs w:val="18"/>
                <w:b w:val="1"/>
                <w:bCs w:val="1"/>
                <w:color w:val="auto"/>
              </w:rPr>
              <w:t>Horizon Technology Finance Corporation and Subsidiaries</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2520" w:type="dxa"/>
            <w:vAlign w:val="bottom"/>
          </w:tcPr>
          <w:p>
            <w:pPr>
              <w:spacing w:after="0"/>
              <w:rPr>
                <w:sz w:val="24"/>
                <w:szCs w:val="24"/>
                <w:color w:val="auto"/>
              </w:rPr>
            </w:pPr>
          </w:p>
        </w:tc>
        <w:tc>
          <w:tcPr>
            <w:tcW w:w="5760" w:type="dxa"/>
            <w:vAlign w:val="bottom"/>
            <w:gridSpan w:val="2"/>
          </w:tcPr>
          <w:p>
            <w:pPr>
              <w:jc w:val="right"/>
              <w:ind w:right="1150"/>
              <w:spacing w:after="0"/>
              <w:rPr>
                <w:sz w:val="20"/>
                <w:szCs w:val="20"/>
                <w:color w:val="auto"/>
              </w:rPr>
            </w:pPr>
            <w:r>
              <w:rPr>
                <w:rFonts w:ascii="Arial" w:cs="Arial" w:eastAsia="Arial" w:hAnsi="Arial"/>
                <w:sz w:val="18"/>
                <w:szCs w:val="18"/>
                <w:b w:val="1"/>
                <w:bCs w:val="1"/>
                <w:color w:val="auto"/>
              </w:rPr>
              <w:t>Notes to Consolidated Financial Statements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9520" w:type="dxa"/>
            <w:vAlign w:val="bottom"/>
            <w:gridSpan w:val="5"/>
          </w:tcPr>
          <w:p>
            <w:pPr>
              <w:spacing w:after="0"/>
              <w:rPr>
                <w:sz w:val="20"/>
                <w:szCs w:val="20"/>
                <w:color w:val="auto"/>
              </w:rPr>
            </w:pPr>
            <w:r>
              <w:rPr>
                <w:rFonts w:ascii="Arial" w:cs="Arial" w:eastAsia="Arial" w:hAnsi="Arial"/>
                <w:sz w:val="18"/>
                <w:szCs w:val="18"/>
                <w:color w:val="auto"/>
              </w:rPr>
              <w:t>The following table provides the Company’s unfunded commitments by portfolio company as of September 30, 2018: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25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7"/>
          </w:tcPr>
          <w:p>
            <w:pPr>
              <w:ind w:left="380"/>
              <w:spacing w:after="0"/>
              <w:rPr>
                <w:sz w:val="20"/>
                <w:szCs w:val="20"/>
                <w:color w:val="auto"/>
              </w:rPr>
            </w:pPr>
            <w:r>
              <w:rPr>
                <w:rFonts w:ascii="Arial" w:cs="Arial" w:eastAsia="Arial" w:hAnsi="Arial"/>
                <w:sz w:val="18"/>
                <w:szCs w:val="18"/>
                <w:b w:val="1"/>
                <w:bCs w:val="1"/>
                <w:color w:val="auto"/>
              </w:rPr>
              <w:t>September 30, 2018</w:t>
            </w:r>
          </w:p>
        </w:tc>
      </w:tr>
      <w:tr>
        <w:trPr>
          <w:trHeight w:val="191"/>
        </w:trPr>
        <w:tc>
          <w:tcPr>
            <w:tcW w:w="25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2"/>
              </w:rPr>
              <w:t>Fair Value of</w:t>
            </w:r>
          </w:p>
        </w:tc>
        <w:tc>
          <w:tcPr>
            <w:tcW w:w="100" w:type="dxa"/>
            <w:vAlign w:val="bottom"/>
            <w:gridSpan w:val="2"/>
          </w:tcPr>
          <w:p>
            <w:pPr>
              <w:spacing w:after="0"/>
              <w:rPr>
                <w:sz w:val="16"/>
                <w:szCs w:val="16"/>
                <w:color w:val="auto"/>
              </w:rPr>
            </w:pPr>
          </w:p>
        </w:tc>
      </w:tr>
      <w:tr>
        <w:trPr>
          <w:trHeight w:val="216"/>
        </w:trPr>
        <w:tc>
          <w:tcPr>
            <w:tcW w:w="25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Unfunded</w:t>
            </w:r>
          </w:p>
        </w:tc>
      </w:tr>
      <w:tr>
        <w:trPr>
          <w:trHeight w:val="216"/>
        </w:trPr>
        <w:tc>
          <w:tcPr>
            <w:tcW w:w="25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Principal</w:t>
            </w:r>
          </w:p>
        </w:tc>
        <w:tc>
          <w:tcPr>
            <w:tcW w:w="20" w:type="dxa"/>
            <w:vAlign w:val="bottom"/>
          </w:tcPr>
          <w:p>
            <w:pPr>
              <w:spacing w:after="0"/>
              <w:rPr>
                <w:sz w:val="18"/>
                <w:szCs w:val="18"/>
                <w:color w:val="auto"/>
              </w:rPr>
            </w:pPr>
          </w:p>
        </w:tc>
        <w:tc>
          <w:tcPr>
            <w:tcW w:w="12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Commitment</w:t>
            </w:r>
          </w:p>
        </w:tc>
      </w:tr>
      <w:tr>
        <w:trPr>
          <w:trHeight w:val="234"/>
        </w:trPr>
        <w:tc>
          <w:tcPr>
            <w:tcW w:w="25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Balance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6"/>
              </w:rPr>
              <w:t>Liability</w:t>
            </w:r>
          </w:p>
        </w:tc>
      </w:tr>
      <w:tr>
        <w:trPr>
          <w:trHeight w:val="210"/>
        </w:trPr>
        <w:tc>
          <w:tcPr>
            <w:tcW w:w="25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Aerin Medical, Inc.</w:t>
            </w:r>
          </w:p>
        </w:tc>
        <w:tc>
          <w:tcPr>
            <w:tcW w:w="5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CSA Medical, Inc.</w:t>
            </w: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Espero Biopharma, Inc.</w:t>
            </w: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HealthEdge Software, Inc.</w:t>
            </w: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3,750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MacuLogix, Inc.</w:t>
            </w:r>
          </w:p>
        </w:tc>
        <w:tc>
          <w:tcPr>
            <w:tcW w:w="5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r>
      <w:tr>
        <w:trPr>
          <w:trHeight w:val="257"/>
        </w:trPr>
        <w:tc>
          <w:tcPr>
            <w:tcW w:w="2520" w:type="dxa"/>
            <w:vAlign w:val="bottom"/>
          </w:tcPr>
          <w:p>
            <w:pPr>
              <w:spacing w:after="0" w:line="256" w:lineRule="exact"/>
              <w:rPr>
                <w:sz w:val="20"/>
                <w:szCs w:val="20"/>
                <w:color w:val="auto"/>
              </w:rPr>
            </w:pPr>
            <w:r>
              <w:rPr>
                <w:rFonts w:ascii="Arial" w:cs="Arial" w:eastAsia="Arial" w:hAnsi="Arial"/>
                <w:sz w:val="18"/>
                <w:szCs w:val="18"/>
                <w:color w:val="auto"/>
              </w:rPr>
              <w:t>New Signature US, Inc.</w:t>
            </w:r>
            <w:r>
              <w:rPr>
                <w:rFonts w:ascii="Arial" w:cs="Arial" w:eastAsia="Arial" w:hAnsi="Arial"/>
                <w:sz w:val="29"/>
                <w:szCs w:val="29"/>
                <w:color w:val="auto"/>
                <w:vertAlign w:val="superscript"/>
              </w:rPr>
              <w:t>(1)</w:t>
            </w:r>
          </w:p>
        </w:tc>
        <w:tc>
          <w:tcPr>
            <w:tcW w:w="5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2"/>
                <w:szCs w:val="22"/>
                <w:color w:val="auto"/>
              </w:rPr>
            </w:pPr>
          </w:p>
        </w:tc>
      </w:tr>
      <w:tr>
        <w:trPr>
          <w:trHeight w:val="23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StereoVision Imaging, Inc.</w:t>
            </w:r>
          </w:p>
        </w:tc>
        <w:tc>
          <w:tcPr>
            <w:tcW w:w="5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520" w:type="dxa"/>
            <w:vAlign w:val="bottom"/>
          </w:tcPr>
          <w:p>
            <w:pPr>
              <w:spacing w:after="0"/>
              <w:rPr>
                <w:sz w:val="20"/>
                <w:szCs w:val="20"/>
                <w:color w:val="auto"/>
              </w:rPr>
            </w:pPr>
            <w:r>
              <w:rPr>
                <w:rFonts w:ascii="Arial" w:cs="Arial" w:eastAsia="Arial" w:hAnsi="Arial"/>
                <w:sz w:val="18"/>
                <w:szCs w:val="18"/>
                <w:color w:val="auto"/>
              </w:rPr>
              <w:t>Total</w:t>
            </w:r>
          </w:p>
        </w:tc>
        <w:tc>
          <w:tcPr>
            <w:tcW w:w="56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5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137160</wp:posOffset>
            </wp:positionV>
            <wp:extent cx="17583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the Company’s portion of HSLFI’s commitment.</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table above also provides the fair value of the Company’s unfunded commitment liability as of September 30, 2018, which totaled $0.4 million. The fair value at inception of the delay draw credit agreements is equal to the fees and/or warrants received to enter into these agreements, taking into account the remaining terms of the agreements and the counterparties’ credit profile. The unfunded commitment liability reflects the fair value of these future funding commitments and is included in the Company’s consolidated statement of assets and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w:t>
      </w:r>
      <w:r>
        <w:rPr>
          <w:rFonts w:ascii="Arial" w:cs="Arial" w:eastAsia="Arial" w:hAnsi="Arial"/>
          <w:sz w:val="18"/>
          <w:szCs w:val="18"/>
          <w:b w:val="1"/>
          <w:bCs w:val="1"/>
          <w:color w:val="auto"/>
        </w:rPr>
        <w:t>ote 9. Concentrations of credit risk</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debt investments consist primarily of loans to development-stage companies at various stages of development in the technology, life science, healthcare information and services and cleantech industries. Many of these companies may have relatively limited operating histories and also may experience variation in operating results. Many of these companies conduct business in regulated industries and could be affected by changes in government regulations. Most of the Company’s borrowers will need additional capital to satisfy their continuing working capital needs and other requirements, and in many instances, to service the interest and principal payments on the loans.</w:t>
      </w:r>
    </w:p>
    <w:p>
      <w:pPr>
        <w:spacing w:after="0" w:line="18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Company’s largest debt investments may vary from period to period as new debt investments are recorded and existing debt investments are repaid. The Company’s five largest debt investments, at cost, represented 32% and 29% of total debt investments outstanding as of September 30, 2018 and December 31, 2017, respectively. No single debt investment represented more than 10% of the total debt investments as of September 30, 2018 and December 31, 2017. Investment income, consisting of interest and fees, can fluctuate significantly upon repayment of large debt investments. Interest income from the five largest debt investments accounted for 31% and 26% of total interest and fee income on investments for the three months ended September 30, 2018 and 2017, respectively. Interest income from the five largest debt investments accounted for 31% and 22% of total interest and fee income on investments for the nine months ended September 30, 2018 and 2017, respectively.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Distributions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distributions are recorded on the declaration date. The following table summarizes the Company’s distribution activity for the nine months ended September 30, 2018 and for the years ended December 31, 2017 and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DRIP</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DRIP</w:t>
            </w:r>
          </w:p>
        </w:tc>
        <w:tc>
          <w:tcPr>
            <w:tcW w:w="0" w:type="dxa"/>
            <w:vAlign w:val="bottom"/>
          </w:tcPr>
          <w:p>
            <w:pPr>
              <w:spacing w:after="0"/>
              <w:rPr>
                <w:sz w:val="1"/>
                <w:szCs w:val="1"/>
                <w:color w:val="auto"/>
              </w:rPr>
            </w:pPr>
          </w:p>
        </w:tc>
      </w:tr>
      <w:tr>
        <w:trPr>
          <w:trHeight w:val="216"/>
        </w:trPr>
        <w:tc>
          <w:tcPr>
            <w:tcW w:w="2520" w:type="dxa"/>
            <w:vAlign w:val="bottom"/>
          </w:tcPr>
          <w:p>
            <w:pPr>
              <w:jc w:val="right"/>
              <w:ind w:right="1210"/>
              <w:spacing w:after="0"/>
              <w:rPr>
                <w:sz w:val="20"/>
                <w:szCs w:val="20"/>
                <w:color w:val="auto"/>
              </w:rPr>
            </w:pPr>
            <w:r>
              <w:rPr>
                <w:rFonts w:ascii="Arial" w:cs="Arial" w:eastAsia="Arial" w:hAnsi="Arial"/>
                <w:sz w:val="18"/>
                <w:szCs w:val="18"/>
                <w:b w:val="1"/>
                <w:bCs w:val="1"/>
                <w:color w:val="auto"/>
              </w:rPr>
              <w:t>Date</w:t>
            </w:r>
          </w:p>
        </w:tc>
        <w:tc>
          <w:tcPr>
            <w:tcW w:w="2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Cash</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Share</w:t>
            </w:r>
          </w:p>
        </w:tc>
        <w:tc>
          <w:tcPr>
            <w:tcW w:w="0" w:type="dxa"/>
            <w:vAlign w:val="bottom"/>
          </w:tcPr>
          <w:p>
            <w:pPr>
              <w:spacing w:after="0"/>
              <w:rPr>
                <w:sz w:val="1"/>
                <w:szCs w:val="1"/>
                <w:color w:val="auto"/>
              </w:rPr>
            </w:pPr>
          </w:p>
        </w:tc>
      </w:tr>
      <w:tr>
        <w:trPr>
          <w:trHeight w:val="234"/>
        </w:trPr>
        <w:tc>
          <w:tcPr>
            <w:tcW w:w="2520" w:type="dxa"/>
            <w:vAlign w:val="bottom"/>
          </w:tcPr>
          <w:p>
            <w:pPr>
              <w:jc w:val="right"/>
              <w:ind w:right="1050"/>
              <w:spacing w:after="0"/>
              <w:rPr>
                <w:sz w:val="20"/>
                <w:szCs w:val="20"/>
                <w:color w:val="auto"/>
              </w:rPr>
            </w:pPr>
            <w:r>
              <w:rPr>
                <w:rFonts w:ascii="Arial" w:cs="Arial" w:eastAsia="Arial" w:hAnsi="Arial"/>
                <w:sz w:val="18"/>
                <w:szCs w:val="18"/>
                <w:b w:val="1"/>
                <w:bCs w:val="1"/>
                <w:color w:val="auto"/>
              </w:rPr>
              <w:t>Declared</w:t>
            </w:r>
          </w:p>
        </w:tc>
        <w:tc>
          <w:tcPr>
            <w:tcW w:w="2040" w:type="dxa"/>
            <w:vAlign w:val="bottom"/>
          </w:tcPr>
          <w:p>
            <w:pPr>
              <w:jc w:val="right"/>
              <w:ind w:right="750"/>
              <w:spacing w:after="0"/>
              <w:rPr>
                <w:sz w:val="20"/>
                <w:szCs w:val="20"/>
                <w:color w:val="auto"/>
              </w:rPr>
            </w:pPr>
            <w:r>
              <w:rPr>
                <w:rFonts w:ascii="Arial" w:cs="Arial" w:eastAsia="Arial" w:hAnsi="Arial"/>
                <w:sz w:val="18"/>
                <w:szCs w:val="18"/>
                <w:b w:val="1"/>
                <w:bCs w:val="1"/>
                <w:color w:val="auto"/>
              </w:rPr>
              <w:t>Record Date</w:t>
            </w:r>
          </w:p>
        </w:tc>
        <w:tc>
          <w:tcPr>
            <w:tcW w:w="2020" w:type="dxa"/>
            <w:vAlign w:val="bottom"/>
            <w:gridSpan w:val="2"/>
          </w:tcPr>
          <w:p>
            <w:pPr>
              <w:ind w:left="320"/>
              <w:spacing w:after="0"/>
              <w:rPr>
                <w:sz w:val="20"/>
                <w:szCs w:val="20"/>
                <w:color w:val="auto"/>
              </w:rPr>
            </w:pPr>
            <w:r>
              <w:rPr>
                <w:rFonts w:ascii="Arial" w:cs="Arial" w:eastAsia="Arial" w:hAnsi="Arial"/>
                <w:sz w:val="18"/>
                <w:szCs w:val="18"/>
                <w:b w:val="1"/>
                <w:bCs w:val="1"/>
                <w:color w:val="auto"/>
              </w:rPr>
              <w:t>Payment Date</w:t>
            </w:r>
          </w:p>
        </w:tc>
        <w:tc>
          <w:tcPr>
            <w:tcW w:w="1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Per Share</w:t>
            </w:r>
          </w:p>
        </w:tc>
        <w:tc>
          <w:tcPr>
            <w:tcW w:w="12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Distribution</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Issued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10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0"/>
        </w:trPr>
        <w:tc>
          <w:tcPr>
            <w:tcW w:w="252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40" w:type="dxa"/>
            <w:vAlign w:val="bottom"/>
            <w:tcBorders>
              <w:top w:val="single" w:sz="8" w:color="auto"/>
            </w:tcBorders>
            <w:gridSpan w:val="11"/>
          </w:tcPr>
          <w:p>
            <w:pPr>
              <w:jc w:val="right"/>
              <w:ind w:right="470"/>
              <w:spacing w:after="0"/>
              <w:rPr>
                <w:sz w:val="20"/>
                <w:szCs w:val="20"/>
                <w:color w:val="auto"/>
              </w:rPr>
            </w:pPr>
            <w:r>
              <w:rPr>
                <w:rFonts w:ascii="Arial" w:cs="Arial" w:eastAsia="Arial" w:hAnsi="Arial"/>
                <w:sz w:val="18"/>
                <w:szCs w:val="18"/>
                <w:b w:val="1"/>
                <w:bCs w:val="1"/>
                <w:color w:val="auto"/>
                <w:w w:val="99"/>
              </w:rPr>
              <w:t>(In thousands, except share and per share data)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Nine Months Ended September 30, 2018</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jc w:val="right"/>
              <w:ind w:right="350"/>
              <w:spacing w:after="0"/>
              <w:rPr>
                <w:sz w:val="20"/>
                <w:szCs w:val="20"/>
                <w:color w:val="auto"/>
              </w:rPr>
            </w:pPr>
            <w:r>
              <w:rPr>
                <w:rFonts w:ascii="Arial" w:cs="Arial" w:eastAsia="Arial" w:hAnsi="Arial"/>
                <w:sz w:val="18"/>
                <w:szCs w:val="18"/>
                <w:color w:val="auto"/>
              </w:rPr>
              <w:t>7/27/18</w:t>
            </w: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11/19/18</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12/14/18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7/27/18</w:t>
            </w:r>
          </w:p>
        </w:tc>
        <w:tc>
          <w:tcPr>
            <w:tcW w:w="2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10/18/18</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11/15/18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tcPr>
          <w:p>
            <w:pPr>
              <w:jc w:val="right"/>
              <w:ind w:right="350"/>
              <w:spacing w:after="0"/>
              <w:rPr>
                <w:sz w:val="20"/>
                <w:szCs w:val="20"/>
                <w:color w:val="auto"/>
              </w:rPr>
            </w:pPr>
            <w:r>
              <w:rPr>
                <w:rFonts w:ascii="Arial" w:cs="Arial" w:eastAsia="Arial" w:hAnsi="Arial"/>
                <w:sz w:val="18"/>
                <w:szCs w:val="18"/>
                <w:color w:val="auto"/>
              </w:rPr>
              <w:t>7/27/18</w:t>
            </w: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9/18/18</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10/16/18</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1,138</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4/27/18</w:t>
            </w:r>
          </w:p>
        </w:tc>
        <w:tc>
          <w:tcPr>
            <w:tcW w:w="2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8/17/18</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9/14/18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520" w:type="dxa"/>
            <w:vAlign w:val="bottom"/>
          </w:tcPr>
          <w:p>
            <w:pPr>
              <w:jc w:val="right"/>
              <w:ind w:right="350"/>
              <w:spacing w:after="0"/>
              <w:rPr>
                <w:sz w:val="20"/>
                <w:szCs w:val="20"/>
                <w:color w:val="auto"/>
              </w:rPr>
            </w:pPr>
            <w:r>
              <w:rPr>
                <w:rFonts w:ascii="Arial" w:cs="Arial" w:eastAsia="Arial" w:hAnsi="Arial"/>
                <w:sz w:val="18"/>
                <w:szCs w:val="18"/>
                <w:color w:val="auto"/>
              </w:rPr>
              <w:t>4/27/18</w:t>
            </w: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7/19/18</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8/15/18</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1,139</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4/27/18</w:t>
            </w:r>
          </w:p>
        </w:tc>
        <w:tc>
          <w:tcPr>
            <w:tcW w:w="2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6/19/18</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7/17/18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520" w:type="dxa"/>
            <w:vAlign w:val="bottom"/>
          </w:tcPr>
          <w:p>
            <w:pPr>
              <w:jc w:val="right"/>
              <w:ind w:right="350"/>
              <w:spacing w:after="0"/>
              <w:rPr>
                <w:sz w:val="20"/>
                <w:szCs w:val="20"/>
                <w:color w:val="auto"/>
              </w:rPr>
            </w:pPr>
            <w:r>
              <w:rPr>
                <w:rFonts w:ascii="Arial" w:cs="Arial" w:eastAsia="Arial" w:hAnsi="Arial"/>
                <w:sz w:val="18"/>
                <w:szCs w:val="18"/>
                <w:color w:val="auto"/>
              </w:rPr>
              <w:t>3/1/18</w:t>
            </w: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5/17/18</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6/15/18</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1,140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3/1/18</w:t>
            </w:r>
          </w:p>
        </w:tc>
        <w:tc>
          <w:tcPr>
            <w:tcW w:w="2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4/19/18</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5/15/18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520" w:type="dxa"/>
            <w:vAlign w:val="bottom"/>
          </w:tcPr>
          <w:p>
            <w:pPr>
              <w:jc w:val="right"/>
              <w:ind w:right="350"/>
              <w:spacing w:after="0"/>
              <w:rPr>
                <w:sz w:val="20"/>
                <w:szCs w:val="20"/>
                <w:color w:val="auto"/>
              </w:rPr>
            </w:pPr>
            <w:r>
              <w:rPr>
                <w:rFonts w:ascii="Arial" w:cs="Arial" w:eastAsia="Arial" w:hAnsi="Arial"/>
                <w:sz w:val="18"/>
                <w:szCs w:val="18"/>
                <w:color w:val="auto"/>
              </w:rPr>
              <w:t>3/1/18</w:t>
            </w: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3/19/18</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4/17/18</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1,139</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8"/>
                <w:szCs w:val="18"/>
                <w:color w:val="auto"/>
                <w:w w:val="96"/>
              </w:rPr>
              <w:t>Year Ended December 31, 2017</w:t>
            </w:r>
          </w:p>
        </w:tc>
        <w:tc>
          <w:tcPr>
            <w:tcW w:w="2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2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10/27/17</w:t>
            </w:r>
          </w:p>
        </w:tc>
        <w:tc>
          <w:tcPr>
            <w:tcW w:w="2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2/21/18</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1,241</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520" w:type="dxa"/>
            <w:vAlign w:val="bottom"/>
          </w:tcPr>
          <w:p>
            <w:pPr>
              <w:jc w:val="right"/>
              <w:ind w:right="350"/>
              <w:spacing w:after="0"/>
              <w:rPr>
                <w:sz w:val="20"/>
                <w:szCs w:val="20"/>
                <w:color w:val="auto"/>
              </w:rPr>
            </w:pPr>
            <w:r>
              <w:rPr>
                <w:rFonts w:ascii="Arial" w:cs="Arial" w:eastAsia="Arial" w:hAnsi="Arial"/>
                <w:sz w:val="18"/>
                <w:szCs w:val="18"/>
                <w:color w:val="auto"/>
              </w:rPr>
              <w:t>10/27/17</w:t>
            </w: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1/22/18</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2/15/18</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1,139</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10/27/17</w:t>
            </w:r>
          </w:p>
        </w:tc>
        <w:tc>
          <w:tcPr>
            <w:tcW w:w="2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12/20/17</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1/17/18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520" w:type="dxa"/>
            <w:vAlign w:val="bottom"/>
          </w:tcPr>
          <w:p>
            <w:pPr>
              <w:jc w:val="right"/>
              <w:ind w:right="350"/>
              <w:spacing w:after="0"/>
              <w:rPr>
                <w:sz w:val="20"/>
                <w:szCs w:val="20"/>
                <w:color w:val="auto"/>
              </w:rPr>
            </w:pPr>
            <w:r>
              <w:rPr>
                <w:rFonts w:ascii="Arial" w:cs="Arial" w:eastAsia="Arial" w:hAnsi="Arial"/>
                <w:sz w:val="18"/>
                <w:szCs w:val="18"/>
                <w:color w:val="auto"/>
              </w:rPr>
              <w:t>7/28/17</w:t>
            </w: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11/20/17</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12/15/17</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1,139</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7/28/17</w:t>
            </w:r>
          </w:p>
        </w:tc>
        <w:tc>
          <w:tcPr>
            <w:tcW w:w="2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10/19/17</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11/15/17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520" w:type="dxa"/>
            <w:vAlign w:val="bottom"/>
          </w:tcPr>
          <w:p>
            <w:pPr>
              <w:jc w:val="right"/>
              <w:ind w:right="350"/>
              <w:spacing w:after="0"/>
              <w:rPr>
                <w:sz w:val="20"/>
                <w:szCs w:val="20"/>
                <w:color w:val="auto"/>
              </w:rPr>
            </w:pPr>
            <w:r>
              <w:rPr>
                <w:rFonts w:ascii="Arial" w:cs="Arial" w:eastAsia="Arial" w:hAnsi="Arial"/>
                <w:sz w:val="18"/>
                <w:szCs w:val="18"/>
                <w:color w:val="auto"/>
              </w:rPr>
              <w:t>7/28/17</w:t>
            </w: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9/20/17</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10/16/17</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1,138</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4/27/17</w:t>
            </w:r>
          </w:p>
        </w:tc>
        <w:tc>
          <w:tcPr>
            <w:tcW w:w="2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8/18/17</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9/15/17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520" w:type="dxa"/>
            <w:vAlign w:val="bottom"/>
          </w:tcPr>
          <w:p>
            <w:pPr>
              <w:jc w:val="right"/>
              <w:ind w:right="350"/>
              <w:spacing w:after="0"/>
              <w:rPr>
                <w:sz w:val="20"/>
                <w:szCs w:val="20"/>
                <w:color w:val="auto"/>
              </w:rPr>
            </w:pPr>
            <w:r>
              <w:rPr>
                <w:rFonts w:ascii="Arial" w:cs="Arial" w:eastAsia="Arial" w:hAnsi="Arial"/>
                <w:sz w:val="18"/>
                <w:szCs w:val="18"/>
                <w:color w:val="auto"/>
              </w:rPr>
              <w:t>4/27/17</w:t>
            </w: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7/20/17</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8/15/17</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1,140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4/27/17</w:t>
            </w:r>
          </w:p>
        </w:tc>
        <w:tc>
          <w:tcPr>
            <w:tcW w:w="2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6/20/17</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7/14/17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1,138</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520" w:type="dxa"/>
            <w:vAlign w:val="bottom"/>
          </w:tcPr>
          <w:p>
            <w:pPr>
              <w:jc w:val="right"/>
              <w:ind w:right="350"/>
              <w:spacing w:after="0"/>
              <w:rPr>
                <w:sz w:val="20"/>
                <w:szCs w:val="20"/>
                <w:color w:val="auto"/>
              </w:rPr>
            </w:pPr>
            <w:r>
              <w:rPr>
                <w:rFonts w:ascii="Arial" w:cs="Arial" w:eastAsia="Arial" w:hAnsi="Arial"/>
                <w:sz w:val="18"/>
                <w:szCs w:val="18"/>
                <w:color w:val="auto"/>
              </w:rPr>
              <w:t>3/3/17</w:t>
            </w: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5/19/17</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6/15/17</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1,137</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3/3/17</w:t>
            </w:r>
          </w:p>
        </w:tc>
        <w:tc>
          <w:tcPr>
            <w:tcW w:w="2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4/21/17</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5/16/17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1,137</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520" w:type="dxa"/>
            <w:vAlign w:val="bottom"/>
          </w:tcPr>
          <w:p>
            <w:pPr>
              <w:jc w:val="right"/>
              <w:ind w:right="350"/>
              <w:spacing w:after="0"/>
              <w:rPr>
                <w:sz w:val="20"/>
                <w:szCs w:val="20"/>
                <w:color w:val="auto"/>
              </w:rPr>
            </w:pPr>
            <w:r>
              <w:rPr>
                <w:rFonts w:ascii="Arial" w:cs="Arial" w:eastAsia="Arial" w:hAnsi="Arial"/>
                <w:sz w:val="18"/>
                <w:szCs w:val="18"/>
                <w:color w:val="auto"/>
              </w:rPr>
              <w:t>3/3/17</w:t>
            </w: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3/20/17</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4/18/17</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1,134</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8"/>
                <w:szCs w:val="18"/>
                <w:color w:val="auto"/>
                <w:w w:val="96"/>
              </w:rPr>
              <w:t>Year Ended December 31, 2016</w:t>
            </w:r>
          </w:p>
        </w:tc>
        <w:tc>
          <w:tcPr>
            <w:tcW w:w="2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2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10/28/16</w:t>
            </w:r>
          </w:p>
        </w:tc>
        <w:tc>
          <w:tcPr>
            <w:tcW w:w="2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2/22/17</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1,665</w:t>
            </w:r>
          </w:p>
        </w:tc>
        <w:tc>
          <w:tcPr>
            <w:tcW w:w="2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520" w:type="dxa"/>
            <w:vAlign w:val="bottom"/>
          </w:tcPr>
          <w:p>
            <w:pPr>
              <w:jc w:val="right"/>
              <w:ind w:right="350"/>
              <w:spacing w:after="0"/>
              <w:rPr>
                <w:sz w:val="20"/>
                <w:szCs w:val="20"/>
                <w:color w:val="auto"/>
              </w:rPr>
            </w:pPr>
            <w:r>
              <w:rPr>
                <w:rFonts w:ascii="Arial" w:cs="Arial" w:eastAsia="Arial" w:hAnsi="Arial"/>
                <w:sz w:val="18"/>
                <w:szCs w:val="18"/>
                <w:color w:val="auto"/>
              </w:rPr>
              <w:t>10/28/16</w:t>
            </w: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1/19/17</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2/15/17</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1,133</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10/28/16</w:t>
            </w:r>
          </w:p>
        </w:tc>
        <w:tc>
          <w:tcPr>
            <w:tcW w:w="2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12/20/16</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1/13/17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1,137</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520" w:type="dxa"/>
            <w:vAlign w:val="bottom"/>
          </w:tcPr>
          <w:p>
            <w:pPr>
              <w:jc w:val="right"/>
              <w:ind w:right="350"/>
              <w:spacing w:after="0"/>
              <w:rPr>
                <w:sz w:val="20"/>
                <w:szCs w:val="20"/>
                <w:color w:val="auto"/>
              </w:rPr>
            </w:pPr>
            <w:r>
              <w:rPr>
                <w:rFonts w:ascii="Arial" w:cs="Arial" w:eastAsia="Arial" w:hAnsi="Arial"/>
                <w:sz w:val="18"/>
                <w:szCs w:val="18"/>
                <w:color w:val="auto"/>
              </w:rPr>
              <w:t>7/29/16</w:t>
            </w: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11/18/16</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12/15/16</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1,308</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7/29/16</w:t>
            </w:r>
          </w:p>
        </w:tc>
        <w:tc>
          <w:tcPr>
            <w:tcW w:w="2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10/20/16</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11/15/16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1,308</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520" w:type="dxa"/>
            <w:vAlign w:val="bottom"/>
          </w:tcPr>
          <w:p>
            <w:pPr>
              <w:jc w:val="right"/>
              <w:ind w:right="350"/>
              <w:spacing w:after="0"/>
              <w:rPr>
                <w:sz w:val="20"/>
                <w:szCs w:val="20"/>
                <w:color w:val="auto"/>
              </w:rPr>
            </w:pPr>
            <w:r>
              <w:rPr>
                <w:rFonts w:ascii="Arial" w:cs="Arial" w:eastAsia="Arial" w:hAnsi="Arial"/>
                <w:sz w:val="18"/>
                <w:szCs w:val="18"/>
                <w:color w:val="auto"/>
              </w:rPr>
              <w:t>7/29/16</w:t>
            </w: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9/20/16</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10/17/16</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1,305</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4/28/16</w:t>
            </w:r>
          </w:p>
        </w:tc>
        <w:tc>
          <w:tcPr>
            <w:tcW w:w="2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8/19/16</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9/15/16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1,307</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520" w:type="dxa"/>
            <w:vAlign w:val="bottom"/>
          </w:tcPr>
          <w:p>
            <w:pPr>
              <w:jc w:val="right"/>
              <w:ind w:right="350"/>
              <w:spacing w:after="0"/>
              <w:rPr>
                <w:sz w:val="20"/>
                <w:szCs w:val="20"/>
                <w:color w:val="auto"/>
              </w:rPr>
            </w:pPr>
            <w:r>
              <w:rPr>
                <w:rFonts w:ascii="Arial" w:cs="Arial" w:eastAsia="Arial" w:hAnsi="Arial"/>
                <w:sz w:val="18"/>
                <w:szCs w:val="18"/>
                <w:color w:val="auto"/>
              </w:rPr>
              <w:t>4/28/16</w:t>
            </w: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7/20/16</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8/15/16</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1,302</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4/28/16</w:t>
            </w:r>
          </w:p>
        </w:tc>
        <w:tc>
          <w:tcPr>
            <w:tcW w:w="2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6/20/16</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7/15/16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1,305</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520" w:type="dxa"/>
            <w:vAlign w:val="bottom"/>
          </w:tcPr>
          <w:p>
            <w:pPr>
              <w:jc w:val="right"/>
              <w:ind w:right="350"/>
              <w:spacing w:after="0"/>
              <w:rPr>
                <w:sz w:val="20"/>
                <w:szCs w:val="20"/>
                <w:color w:val="auto"/>
              </w:rPr>
            </w:pPr>
            <w:r>
              <w:rPr>
                <w:rFonts w:ascii="Arial" w:cs="Arial" w:eastAsia="Arial" w:hAnsi="Arial"/>
                <w:sz w:val="18"/>
                <w:szCs w:val="18"/>
                <w:color w:val="auto"/>
              </w:rPr>
              <w:t>3/3/16</w:t>
            </w: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5/19/16</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6/15/16</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1,305</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3/3/16</w:t>
            </w:r>
          </w:p>
        </w:tc>
        <w:tc>
          <w:tcPr>
            <w:tcW w:w="20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4/20/16</w:t>
            </w:r>
          </w:p>
        </w:tc>
        <w:tc>
          <w:tcPr>
            <w:tcW w:w="2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5/16/16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520" w:type="dxa"/>
            <w:vAlign w:val="bottom"/>
          </w:tcPr>
          <w:p>
            <w:pPr>
              <w:jc w:val="right"/>
              <w:ind w:right="350"/>
              <w:spacing w:after="0"/>
              <w:rPr>
                <w:sz w:val="20"/>
                <w:szCs w:val="20"/>
                <w:color w:val="auto"/>
              </w:rPr>
            </w:pPr>
            <w:r>
              <w:rPr>
                <w:rFonts w:ascii="Arial" w:cs="Arial" w:eastAsia="Arial" w:hAnsi="Arial"/>
                <w:sz w:val="18"/>
                <w:szCs w:val="18"/>
                <w:color w:val="auto"/>
              </w:rPr>
              <w:t>3/3/16</w:t>
            </w:r>
          </w:p>
        </w:tc>
        <w:tc>
          <w:tcPr>
            <w:tcW w:w="2040" w:type="dxa"/>
            <w:vAlign w:val="bottom"/>
          </w:tcPr>
          <w:p>
            <w:pPr>
              <w:jc w:val="right"/>
              <w:ind w:right="210"/>
              <w:spacing w:after="0"/>
              <w:rPr>
                <w:sz w:val="20"/>
                <w:szCs w:val="20"/>
                <w:color w:val="auto"/>
              </w:rPr>
            </w:pPr>
            <w:r>
              <w:rPr>
                <w:rFonts w:ascii="Arial" w:cs="Arial" w:eastAsia="Arial" w:hAnsi="Arial"/>
                <w:sz w:val="18"/>
                <w:szCs w:val="18"/>
                <w:color w:val="auto"/>
              </w:rPr>
              <w:t>3/18/16</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4/15/16</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1,306</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900" w:type="dxa"/>
            <w:vAlign w:val="bottom"/>
            <w:vMerge w:val="restart"/>
          </w:tcPr>
          <w:p>
            <w:pPr>
              <w:jc w:val="right"/>
              <w:ind w:right="55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5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20" w:type="dxa"/>
            <w:vAlign w:val="bottom"/>
            <w:gridSpan w:val="4"/>
          </w:tcPr>
          <w:p>
            <w:pPr>
              <w:ind w:left="260"/>
              <w:spacing w:after="0"/>
              <w:rPr>
                <w:sz w:val="20"/>
                <w:szCs w:val="20"/>
                <w:color w:val="auto"/>
              </w:rPr>
            </w:pPr>
            <w:r>
              <w:rPr>
                <w:rFonts w:ascii="Arial" w:cs="Arial" w:eastAsia="Arial" w:hAnsi="Arial"/>
                <w:sz w:val="18"/>
                <w:szCs w:val="18"/>
                <w:b w:val="1"/>
                <w:bCs w:val="1"/>
                <w:color w:val="auto"/>
              </w:rPr>
              <w:t>Horizon Technology Finance Corporation and Subsidiaries</w:t>
            </w: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20" w:type="dxa"/>
            <w:vAlign w:val="bottom"/>
            <w:gridSpan w:val="4"/>
          </w:tcPr>
          <w:p>
            <w:pPr>
              <w:ind w:left="860"/>
              <w:spacing w:after="0"/>
              <w:rPr>
                <w:sz w:val="20"/>
                <w:szCs w:val="20"/>
                <w:color w:val="auto"/>
              </w:rPr>
            </w:pPr>
            <w:r>
              <w:rPr>
                <w:rFonts w:ascii="Arial" w:cs="Arial" w:eastAsia="Arial" w:hAnsi="Arial"/>
                <w:sz w:val="18"/>
                <w:szCs w:val="18"/>
                <w:b w:val="1"/>
                <w:bCs w:val="1"/>
                <w:color w:val="auto"/>
              </w:rPr>
              <w:t>Notes to Consolidated Financial Statements</w:t>
            </w: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000" w:type="dxa"/>
            <w:vAlign w:val="bottom"/>
            <w:gridSpan w:val="6"/>
          </w:tcPr>
          <w:p>
            <w:pPr>
              <w:ind w:left="340"/>
              <w:spacing w:after="0"/>
              <w:rPr>
                <w:sz w:val="20"/>
                <w:szCs w:val="20"/>
                <w:color w:val="auto"/>
              </w:rPr>
            </w:pPr>
            <w:r>
              <w:rPr>
                <w:rFonts w:ascii="Arial" w:cs="Arial" w:eastAsia="Arial" w:hAnsi="Arial"/>
                <w:sz w:val="18"/>
                <w:szCs w:val="18"/>
                <w:color w:val="auto"/>
                <w:w w:val="93"/>
              </w:rPr>
              <w:t>On October 26, 2018, the Board declared monthly distributions per share, payable as set forth in the following table:</w:t>
            </w: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Ex-Dividend Date</w:t>
            </w:r>
          </w:p>
        </w:tc>
        <w:tc>
          <w:tcPr>
            <w:tcW w:w="304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2780" w:type="dxa"/>
            <w:vAlign w:val="bottom"/>
            <w:gridSpan w:val="3"/>
          </w:tcPr>
          <w:p>
            <w:pPr>
              <w:ind w:left="100"/>
              <w:spacing w:after="0"/>
              <w:rPr>
                <w:sz w:val="20"/>
                <w:szCs w:val="20"/>
                <w:color w:val="auto"/>
              </w:rPr>
            </w:pPr>
            <w:r>
              <w:rPr>
                <w:rFonts w:ascii="Arial" w:cs="Arial" w:eastAsia="Arial" w:hAnsi="Arial"/>
                <w:sz w:val="18"/>
                <w:szCs w:val="18"/>
                <w:b w:val="1"/>
                <w:bCs w:val="1"/>
                <w:color w:val="auto"/>
              </w:rPr>
              <w:t>Payment Date</w:t>
            </w:r>
          </w:p>
        </w:tc>
        <w:tc>
          <w:tcPr>
            <w:tcW w:w="1840" w:type="dxa"/>
            <w:vAlign w:val="bottom"/>
            <w:gridSpan w:val="3"/>
          </w:tcPr>
          <w:p>
            <w:pPr>
              <w:spacing w:after="0"/>
              <w:rPr>
                <w:sz w:val="20"/>
                <w:szCs w:val="20"/>
                <w:color w:val="auto"/>
              </w:rPr>
            </w:pPr>
            <w:r>
              <w:rPr>
                <w:rFonts w:ascii="Arial" w:cs="Arial" w:eastAsia="Arial" w:hAnsi="Arial"/>
                <w:sz w:val="18"/>
                <w:szCs w:val="18"/>
                <w:b w:val="1"/>
                <w:bCs w:val="1"/>
                <w:color w:val="auto"/>
                <w:w w:val="94"/>
              </w:rPr>
              <w:t>Distributions Declared</w:t>
            </w:r>
          </w:p>
        </w:tc>
      </w:tr>
      <w:tr>
        <w:trPr>
          <w:trHeight w:val="210"/>
        </w:trPr>
        <w:tc>
          <w:tcPr>
            <w:tcW w:w="30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February 19, 2019</w:t>
            </w:r>
          </w:p>
        </w:tc>
        <w:tc>
          <w:tcPr>
            <w:tcW w:w="100" w:type="dxa"/>
            <w:vAlign w:val="bottom"/>
            <w:tcBorders>
              <w:top w:val="single" w:sz="8" w:color="CCEEFF"/>
            </w:tcBorders>
            <w:shd w:val="clear" w:color="auto" w:fill="CCEEFF"/>
          </w:tcPr>
          <w:p>
            <w:pPr>
              <w:spacing w:after="0"/>
              <w:rPr>
                <w:sz w:val="18"/>
                <w:szCs w:val="18"/>
                <w:color w:val="auto"/>
              </w:rPr>
            </w:pPr>
          </w:p>
        </w:tc>
        <w:tc>
          <w:tcPr>
            <w:tcW w:w="3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20, 2019</w:t>
            </w:r>
          </w:p>
        </w:tc>
        <w:tc>
          <w:tcPr>
            <w:tcW w:w="1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March 15, 2019</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January 16, 2019</w:t>
            </w:r>
          </w:p>
        </w:tc>
        <w:tc>
          <w:tcPr>
            <w:tcW w:w="3040" w:type="dxa"/>
            <w:vAlign w:val="bottom"/>
          </w:tcPr>
          <w:p>
            <w:pPr>
              <w:spacing w:after="0"/>
              <w:rPr>
                <w:sz w:val="20"/>
                <w:szCs w:val="20"/>
                <w:color w:val="auto"/>
              </w:rPr>
            </w:pPr>
            <w:r>
              <w:rPr>
                <w:rFonts w:ascii="Arial" w:cs="Arial" w:eastAsia="Arial" w:hAnsi="Arial"/>
                <w:sz w:val="18"/>
                <w:szCs w:val="18"/>
                <w:color w:val="auto"/>
              </w:rPr>
              <w:t>January 17, 2019</w:t>
            </w:r>
          </w:p>
        </w:tc>
        <w:tc>
          <w:tcPr>
            <w:tcW w:w="100" w:type="dxa"/>
            <w:vAlign w:val="bottom"/>
          </w:tcPr>
          <w:p>
            <w:pPr>
              <w:spacing w:after="0"/>
              <w:rPr>
                <w:sz w:val="18"/>
                <w:szCs w:val="18"/>
                <w:color w:val="auto"/>
              </w:rPr>
            </w:pPr>
          </w:p>
        </w:tc>
        <w:tc>
          <w:tcPr>
            <w:tcW w:w="2680" w:type="dxa"/>
            <w:vAlign w:val="bottom"/>
            <w:gridSpan w:val="2"/>
          </w:tcPr>
          <w:p>
            <w:pPr>
              <w:ind w:left="60"/>
              <w:spacing w:after="0"/>
              <w:rPr>
                <w:sz w:val="20"/>
                <w:szCs w:val="20"/>
                <w:color w:val="auto"/>
              </w:rPr>
            </w:pPr>
            <w:r>
              <w:rPr>
                <w:rFonts w:ascii="Arial" w:cs="Arial" w:eastAsia="Arial" w:hAnsi="Arial"/>
                <w:sz w:val="18"/>
                <w:szCs w:val="18"/>
                <w:color w:val="auto"/>
              </w:rPr>
              <w:t>February 15, 2019</w:t>
            </w:r>
          </w:p>
        </w:tc>
        <w:tc>
          <w:tcPr>
            <w:tcW w:w="7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17, 2018</w:t>
            </w: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December 18, 2018</w:t>
            </w:r>
          </w:p>
        </w:tc>
        <w:tc>
          <w:tcPr>
            <w:tcW w:w="100" w:type="dxa"/>
            <w:vAlign w:val="bottom"/>
            <w:shd w:val="clear" w:color="auto" w:fill="CCEEFF"/>
          </w:tcPr>
          <w:p>
            <w:pPr>
              <w:spacing w:after="0"/>
              <w:rPr>
                <w:sz w:val="18"/>
                <w:szCs w:val="18"/>
                <w:color w:val="auto"/>
              </w:rPr>
            </w:pPr>
          </w:p>
        </w:tc>
        <w:tc>
          <w:tcPr>
            <w:tcW w:w="2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January 15, 2019</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After paying distributions of $0.30 per share and earning $0.30 per share for the quarter, the Company’s undistributed spillover income as of September 30, 2018 was $0.05 per share. Spillover income includes any ordinary income and net capital gains from the preceding tax years that were not distributed during such tax years.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Note 11. Financial highlights</w:t>
            </w: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2"/>
        </w:trPr>
        <w:tc>
          <w:tcPr>
            <w:tcW w:w="6780" w:type="dxa"/>
            <w:vAlign w:val="bottom"/>
            <w:gridSpan w:val="2"/>
          </w:tcPr>
          <w:p>
            <w:pPr>
              <w:ind w:left="340"/>
              <w:spacing w:after="0"/>
              <w:rPr>
                <w:sz w:val="20"/>
                <w:szCs w:val="20"/>
                <w:color w:val="auto"/>
              </w:rPr>
            </w:pPr>
            <w:r>
              <w:rPr>
                <w:rFonts w:ascii="Arial" w:cs="Arial" w:eastAsia="Arial" w:hAnsi="Arial"/>
                <w:sz w:val="18"/>
                <w:szCs w:val="18"/>
                <w:color w:val="auto"/>
              </w:rPr>
              <w:t>The following table shows financial highlights for the Company:</w:t>
            </w: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46"/>
        </w:trPr>
        <w:tc>
          <w:tcPr>
            <w:tcW w:w="66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2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w w:val="97"/>
              </w:rPr>
              <w:t>Nine Months Ended September 30,</w:t>
            </w:r>
          </w:p>
        </w:tc>
      </w:tr>
      <w:tr>
        <w:trPr>
          <w:trHeight w:val="223"/>
        </w:trPr>
        <w:tc>
          <w:tcPr>
            <w:tcW w:w="66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3800" w:type="dxa"/>
            <w:vAlign w:val="bottom"/>
            <w:gridSpan w:val="6"/>
          </w:tcPr>
          <w:p>
            <w:pPr>
              <w:jc w:val="right"/>
              <w:spacing w:after="0"/>
              <w:rPr>
                <w:sz w:val="20"/>
                <w:szCs w:val="20"/>
                <w:color w:val="auto"/>
              </w:rPr>
            </w:pPr>
            <w:r>
              <w:rPr>
                <w:rFonts w:ascii="Arial" w:cs="Arial" w:eastAsia="Arial" w:hAnsi="Arial"/>
                <w:sz w:val="18"/>
                <w:szCs w:val="18"/>
                <w:b w:val="1"/>
                <w:bCs w:val="1"/>
                <w:color w:val="auto"/>
                <w:w w:val="90"/>
              </w:rPr>
              <w:t>(In thousands, except share and per share data)</w:t>
            </w:r>
          </w:p>
        </w:tc>
        <w:tc>
          <w:tcPr>
            <w:tcW w:w="3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11.72</w:t>
            </w:r>
          </w:p>
        </w:tc>
        <w:tc>
          <w:tcPr>
            <w:tcW w:w="5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12.09</w:t>
            </w:r>
          </w:p>
        </w:tc>
        <w:tc>
          <w:tcPr>
            <w:tcW w:w="3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0.86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0.86</w:t>
            </w:r>
          </w:p>
        </w:tc>
      </w:tr>
      <w:tr>
        <w:trPr>
          <w:trHeight w:val="216"/>
        </w:trPr>
        <w:tc>
          <w:tcPr>
            <w:tcW w:w="6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Realized loss on investments</w:t>
            </w:r>
          </w:p>
        </w:tc>
        <w:tc>
          <w:tcPr>
            <w:tcW w:w="3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(0.96)</w:t>
            </w:r>
          </w:p>
        </w:tc>
      </w:tr>
      <w:tr>
        <w:trPr>
          <w:trHeight w:val="230"/>
        </w:trPr>
        <w:tc>
          <w:tcPr>
            <w:tcW w:w="660" w:type="dxa"/>
            <w:vAlign w:val="bottom"/>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 on investments</w:t>
            </w:r>
          </w:p>
        </w:tc>
        <w:tc>
          <w:tcPr>
            <w:tcW w:w="3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0.72</w:t>
            </w:r>
          </w:p>
        </w:tc>
      </w:tr>
      <w:tr>
        <w:trPr>
          <w:trHeight w:val="210"/>
        </w:trPr>
        <w:tc>
          <w:tcPr>
            <w:tcW w:w="6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340" w:type="dxa"/>
            <w:vAlign w:val="bottom"/>
          </w:tcPr>
          <w:p>
            <w:pPr>
              <w:spacing w:after="0"/>
              <w:rPr>
                <w:sz w:val="18"/>
                <w:szCs w:val="18"/>
                <w:color w:val="auto"/>
              </w:rPr>
            </w:pPr>
          </w:p>
        </w:tc>
      </w:tr>
      <w:tr>
        <w:trPr>
          <w:trHeight w:val="257"/>
        </w:trPr>
        <w:tc>
          <w:tcPr>
            <w:tcW w:w="660" w:type="dxa"/>
            <w:vAlign w:val="bottom"/>
          </w:tcPr>
          <w:p>
            <w:pPr>
              <w:spacing w:after="0"/>
              <w:rPr>
                <w:sz w:val="22"/>
                <w:szCs w:val="22"/>
                <w:color w:val="auto"/>
              </w:rPr>
            </w:pPr>
          </w:p>
        </w:tc>
        <w:tc>
          <w:tcPr>
            <w:tcW w:w="61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Distributions declared</w:t>
            </w:r>
            <w:r>
              <w:rPr>
                <w:rFonts w:ascii="Arial" w:cs="Arial" w:eastAsia="Arial" w:hAnsi="Arial"/>
                <w:sz w:val="29"/>
                <w:szCs w:val="29"/>
                <w:color w:val="auto"/>
                <w:vertAlign w:val="superscript"/>
              </w:rPr>
              <w:t>(1)</w:t>
            </w:r>
          </w:p>
        </w:tc>
        <w:tc>
          <w:tcPr>
            <w:tcW w:w="32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(0.90)</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(0.90)</w:t>
            </w:r>
          </w:p>
        </w:tc>
      </w:tr>
      <w:tr>
        <w:trPr>
          <w:trHeight w:val="216"/>
        </w:trPr>
        <w:tc>
          <w:tcPr>
            <w:tcW w:w="66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From net investment income</w:t>
            </w:r>
          </w:p>
        </w:tc>
        <w:tc>
          <w:tcPr>
            <w:tcW w:w="3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(0.90)</w:t>
            </w:r>
          </w:p>
        </w:tc>
      </w:tr>
      <w:tr>
        <w:trPr>
          <w:trHeight w:val="216"/>
        </w:trPr>
        <w:tc>
          <w:tcPr>
            <w:tcW w:w="660" w:type="dxa"/>
            <w:vAlign w:val="bottom"/>
          </w:tcPr>
          <w:p>
            <w:pPr>
              <w:spacing w:after="0"/>
              <w:rPr>
                <w:sz w:val="18"/>
                <w:szCs w:val="18"/>
                <w:color w:val="auto"/>
              </w:rPr>
            </w:pPr>
          </w:p>
        </w:tc>
        <w:tc>
          <w:tcPr>
            <w:tcW w:w="6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From net realized gain on investments</w:t>
            </w:r>
          </w:p>
        </w:tc>
        <w:tc>
          <w:tcPr>
            <w:tcW w:w="3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6120" w:type="dxa"/>
            <w:vAlign w:val="bottom"/>
          </w:tcPr>
          <w:p>
            <w:pPr>
              <w:ind w:left="160"/>
              <w:spacing w:after="0"/>
              <w:rPr>
                <w:sz w:val="20"/>
                <w:szCs w:val="20"/>
                <w:color w:val="auto"/>
              </w:rPr>
            </w:pPr>
            <w:r>
              <w:rPr>
                <w:rFonts w:ascii="Arial" w:cs="Arial" w:eastAsia="Arial" w:hAnsi="Arial"/>
                <w:sz w:val="18"/>
                <w:szCs w:val="18"/>
                <w:color w:val="auto"/>
              </w:rPr>
              <w:t>Return of capital</w:t>
            </w:r>
          </w:p>
        </w:tc>
        <w:tc>
          <w:tcPr>
            <w:tcW w:w="3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30"/>
        </w:trPr>
        <w:tc>
          <w:tcPr>
            <w:tcW w:w="660" w:type="dxa"/>
            <w:vAlign w:val="bottom"/>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r>
      <w:tr>
        <w:trPr>
          <w:trHeight w:val="263"/>
        </w:trPr>
        <w:tc>
          <w:tcPr>
            <w:tcW w:w="660" w:type="dxa"/>
            <w:vAlign w:val="bottom"/>
          </w:tcPr>
          <w:p>
            <w:pPr>
              <w:spacing w:after="0"/>
              <w:rPr>
                <w:sz w:val="22"/>
                <w:szCs w:val="22"/>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asset value at end of period</w:t>
            </w:r>
          </w:p>
        </w:tc>
        <w:tc>
          <w:tcPr>
            <w:tcW w:w="32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3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340" w:type="dxa"/>
            <w:vAlign w:val="bottom"/>
            <w:tcBorders>
              <w:bottom w:val="single" w:sz="8" w:color="CCEEFF"/>
            </w:tcBorders>
          </w:tcPr>
          <w:p>
            <w:pPr>
              <w:spacing w:after="0"/>
              <w:rPr>
                <w:sz w:val="22"/>
                <w:szCs w:val="22"/>
                <w:color w:val="auto"/>
              </w:rPr>
            </w:pPr>
          </w:p>
        </w:tc>
      </w:tr>
      <w:tr>
        <w:trPr>
          <w:trHeight w:val="197"/>
        </w:trPr>
        <w:tc>
          <w:tcPr>
            <w:tcW w:w="660" w:type="dxa"/>
            <w:vAlign w:val="bottom"/>
          </w:tcPr>
          <w:p>
            <w:pPr>
              <w:spacing w:after="0"/>
              <w:rPr>
                <w:sz w:val="17"/>
                <w:szCs w:val="17"/>
                <w:color w:val="auto"/>
              </w:rPr>
            </w:pPr>
          </w:p>
        </w:tc>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 market value, beginning of period</w:t>
            </w: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11.22</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10.53</w:t>
            </w:r>
          </w:p>
        </w:tc>
        <w:tc>
          <w:tcPr>
            <w:tcW w:w="340" w:type="dxa"/>
            <w:vAlign w:val="bottom"/>
            <w:shd w:val="clear" w:color="auto" w:fill="CCEEFF"/>
          </w:tcPr>
          <w:p>
            <w:pPr>
              <w:spacing w:after="0"/>
              <w:rPr>
                <w:sz w:val="17"/>
                <w:szCs w:val="17"/>
                <w:color w:val="auto"/>
              </w:rPr>
            </w:pPr>
          </w:p>
        </w:tc>
      </w:tr>
      <w:tr>
        <w:trPr>
          <w:trHeight w:val="216"/>
        </w:trPr>
        <w:tc>
          <w:tcPr>
            <w:tcW w:w="6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Per share market value, end of period</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11.41</w:t>
            </w:r>
          </w:p>
        </w:tc>
        <w:tc>
          <w:tcPr>
            <w:tcW w:w="5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11.11</w:t>
            </w:r>
          </w:p>
        </w:tc>
      </w:tr>
      <w:tr>
        <w:trPr>
          <w:trHeight w:val="257"/>
        </w:trPr>
        <w:tc>
          <w:tcPr>
            <w:tcW w:w="660" w:type="dxa"/>
            <w:vAlign w:val="bottom"/>
          </w:tcPr>
          <w:p>
            <w:pPr>
              <w:spacing w:after="0"/>
              <w:rPr>
                <w:sz w:val="22"/>
                <w:szCs w:val="22"/>
                <w:color w:val="auto"/>
              </w:rPr>
            </w:pPr>
          </w:p>
        </w:tc>
        <w:tc>
          <w:tcPr>
            <w:tcW w:w="61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Total return based on a market value</w:t>
            </w:r>
            <w:r>
              <w:rPr>
                <w:rFonts w:ascii="Arial" w:cs="Arial" w:eastAsia="Arial" w:hAnsi="Arial"/>
                <w:sz w:val="29"/>
                <w:szCs w:val="29"/>
                <w:color w:val="auto"/>
                <w:vertAlign w:val="superscript"/>
              </w:rPr>
              <w:t>(2)</w:t>
            </w:r>
          </w:p>
        </w:tc>
        <w:tc>
          <w:tcPr>
            <w:tcW w:w="32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w:t>
            </w:r>
          </w:p>
        </w:tc>
      </w:tr>
      <w:tr>
        <w:trPr>
          <w:trHeight w:val="216"/>
        </w:trPr>
        <w:tc>
          <w:tcPr>
            <w:tcW w:w="66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32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11,531,399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11,516,779</w:t>
            </w:r>
          </w:p>
        </w:tc>
      </w:tr>
      <w:tr>
        <w:trPr>
          <w:trHeight w:val="216"/>
        </w:trPr>
        <w:tc>
          <w:tcPr>
            <w:tcW w:w="66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net of waiver, to average net assets: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905" w:right="239" w:bottom="1440" w:gutter="0" w:footer="0" w:header="0"/>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Expenses without incentive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51764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17640" cy="171450"/>
                    </a:xfrm>
                    <a:prstGeom prst="rect">
                      <a:avLst/>
                    </a:prstGeom>
                    <a:noFill/>
                  </pic:spPr>
                </pic:pic>
              </a:graphicData>
            </a:graphic>
          </wp:anchor>
        </w:drawing>
      </w:r>
    </w:p>
    <w:p>
      <w:pPr>
        <w:spacing w:after="0" w:line="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Incentive fees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40640</wp:posOffset>
            </wp:positionV>
            <wp:extent cx="651764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investment income with incentive fees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5"/>
          <w:szCs w:val="15"/>
          <w:b w:val="1"/>
          <w:bCs w:val="1"/>
          <w:color w:val="auto"/>
        </w:rPr>
        <w:t>Ratios, without waiver, to average net assets:</w:t>
      </w:r>
    </w:p>
    <w:p>
      <w:pPr>
        <w:spacing w:after="0" w:line="20" w:lineRule="exact"/>
        <w:rPr>
          <w:sz w:val="20"/>
          <w:szCs w:val="20"/>
          <w:color w:val="auto"/>
        </w:rPr>
      </w:pPr>
      <w:r>
        <w:rPr>
          <w:sz w:val="20"/>
          <w:szCs w:val="20"/>
          <w:color w:val="auto"/>
        </w:rPr>
        <w:br w:type="column"/>
      </w:r>
    </w:p>
    <w:p>
      <w:pPr>
        <w:spacing w:after="0" w:line="224" w:lineRule="auto"/>
        <w:tabs>
          <w:tab w:leader="none" w:pos="2220" w:val="left"/>
        </w:tabs>
        <w:rPr>
          <w:sz w:val="20"/>
          <w:szCs w:val="20"/>
          <w:color w:val="auto"/>
        </w:rPr>
      </w:pPr>
      <w:r>
        <w:rPr>
          <w:rFonts w:ascii="Arial" w:cs="Arial" w:eastAsia="Arial" w:hAnsi="Arial"/>
          <w:sz w:val="18"/>
          <w:szCs w:val="18"/>
          <w:color w:val="auto"/>
        </w:rPr>
        <w:t>10.1%</w:t>
      </w:r>
      <w:r>
        <w:rPr>
          <w:rFonts w:ascii="Arial" w:cs="Arial" w:eastAsia="Arial" w:hAnsi="Arial"/>
          <w:sz w:val="29"/>
          <w:szCs w:val="29"/>
          <w:color w:val="auto"/>
          <w:vertAlign w:val="superscript"/>
        </w:rPr>
        <w:t>(3)</w:t>
      </w:r>
      <w:r>
        <w:rPr>
          <w:sz w:val="20"/>
          <w:szCs w:val="20"/>
          <w:color w:val="auto"/>
        </w:rPr>
        <w:tab/>
      </w:r>
      <w:r>
        <w:rPr>
          <w:rFonts w:ascii="Arial" w:cs="Arial" w:eastAsia="Arial" w:hAnsi="Arial"/>
          <w:sz w:val="15"/>
          <w:szCs w:val="15"/>
          <w:color w:val="auto"/>
        </w:rPr>
        <w:t>8.3%</w:t>
      </w:r>
      <w:r>
        <w:rPr>
          <w:rFonts w:ascii="Arial" w:cs="Arial" w:eastAsia="Arial" w:hAnsi="Arial"/>
          <w:sz w:val="24"/>
          <w:szCs w:val="24"/>
          <w:color w:val="auto"/>
          <w:vertAlign w:val="superscript"/>
        </w:rPr>
        <w:t>(3)</w:t>
      </w:r>
    </w:p>
    <w:p>
      <w:pPr>
        <w:ind w:left="100"/>
        <w:spacing w:after="0" w:line="235" w:lineRule="auto"/>
        <w:tabs>
          <w:tab w:leader="none" w:pos="2220" w:val="left"/>
        </w:tabs>
        <w:rPr>
          <w:sz w:val="20"/>
          <w:szCs w:val="20"/>
          <w:color w:val="auto"/>
        </w:rPr>
      </w:pPr>
      <w:r>
        <w:rPr>
          <w:rFonts w:ascii="Arial" w:cs="Arial" w:eastAsia="Arial" w:hAnsi="Arial"/>
          <w:sz w:val="18"/>
          <w:szCs w:val="18"/>
          <w:color w:val="auto"/>
        </w:rPr>
        <w:t>2.2%</w:t>
      </w:r>
      <w:r>
        <w:rPr>
          <w:rFonts w:ascii="Arial" w:cs="Arial" w:eastAsia="Arial" w:hAnsi="Arial"/>
          <w:sz w:val="30"/>
          <w:szCs w:val="30"/>
          <w:color w:val="auto"/>
          <w:vertAlign w:val="superscript"/>
        </w:rPr>
        <w:t>(3)</w:t>
      </w:r>
      <w:r>
        <w:rPr>
          <w:sz w:val="20"/>
          <w:szCs w:val="20"/>
          <w:color w:val="auto"/>
        </w:rPr>
        <w:tab/>
      </w:r>
      <w:r>
        <w:rPr>
          <w:rFonts w:ascii="Arial" w:cs="Arial" w:eastAsia="Arial" w:hAnsi="Arial"/>
          <w:sz w:val="15"/>
          <w:szCs w:val="15"/>
          <w:color w:val="auto"/>
        </w:rPr>
        <w:t>1.1%</w:t>
      </w:r>
      <w:r>
        <w:rPr>
          <w:rFonts w:ascii="Arial" w:cs="Arial" w:eastAsia="Arial" w:hAnsi="Arial"/>
          <w:sz w:val="24"/>
          <w:szCs w:val="24"/>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0</wp:posOffset>
            </wp:positionV>
            <wp:extent cx="24180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tabs>
          <w:tab w:leader="none" w:pos="2220" w:val="left"/>
        </w:tabs>
        <w:rPr>
          <w:sz w:val="20"/>
          <w:szCs w:val="20"/>
          <w:color w:val="auto"/>
        </w:rPr>
      </w:pPr>
      <w:r>
        <w:rPr>
          <w:rFonts w:ascii="Arial" w:cs="Arial" w:eastAsia="Arial" w:hAnsi="Arial"/>
          <w:sz w:val="18"/>
          <w:szCs w:val="18"/>
          <w:color w:val="auto"/>
        </w:rPr>
        <w:t>12.3%</w:t>
      </w:r>
      <w:r>
        <w:rPr>
          <w:rFonts w:ascii="Arial" w:cs="Arial" w:eastAsia="Arial" w:hAnsi="Arial"/>
          <w:sz w:val="30"/>
          <w:szCs w:val="30"/>
          <w:color w:val="auto"/>
          <w:vertAlign w:val="superscript"/>
        </w:rPr>
        <w:t>(3)</w:t>
      </w:r>
      <w:r>
        <w:rPr>
          <w:sz w:val="20"/>
          <w:szCs w:val="20"/>
          <w:color w:val="auto"/>
        </w:rPr>
        <w:tab/>
      </w:r>
      <w:r>
        <w:rPr>
          <w:rFonts w:ascii="Arial" w:cs="Arial" w:eastAsia="Arial" w:hAnsi="Arial"/>
          <w:sz w:val="15"/>
          <w:szCs w:val="15"/>
          <w:color w:val="auto"/>
        </w:rPr>
        <w:t>9.4%</w:t>
      </w:r>
      <w:r>
        <w:rPr>
          <w:rFonts w:ascii="Arial" w:cs="Arial" w:eastAsia="Arial" w:hAnsi="Arial"/>
          <w:sz w:val="24"/>
          <w:szCs w:val="24"/>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-8255</wp:posOffset>
            </wp:positionV>
            <wp:extent cx="24180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ind w:left="100"/>
        <w:spacing w:after="0"/>
        <w:tabs>
          <w:tab w:leader="none" w:pos="2220" w:val="left"/>
        </w:tabs>
        <w:rPr>
          <w:sz w:val="20"/>
          <w:szCs w:val="20"/>
          <w:color w:val="auto"/>
        </w:rPr>
      </w:pPr>
      <w:r>
        <w:rPr>
          <w:rFonts w:ascii="Arial" w:cs="Arial" w:eastAsia="Arial" w:hAnsi="Arial"/>
          <w:sz w:val="18"/>
          <w:szCs w:val="18"/>
          <w:color w:val="auto"/>
        </w:rPr>
        <w:t>9.8%</w:t>
      </w:r>
      <w:r>
        <w:rPr>
          <w:rFonts w:ascii="Arial" w:cs="Arial" w:eastAsia="Arial" w:hAnsi="Arial"/>
          <w:sz w:val="30"/>
          <w:szCs w:val="30"/>
          <w:color w:val="auto"/>
          <w:vertAlign w:val="superscript"/>
        </w:rPr>
        <w:t>(3)</w:t>
      </w:r>
      <w:r>
        <w:rPr>
          <w:sz w:val="20"/>
          <w:szCs w:val="20"/>
          <w:color w:val="auto"/>
        </w:rPr>
        <w:tab/>
      </w:r>
      <w:r>
        <w:rPr>
          <w:rFonts w:ascii="Arial" w:cs="Arial" w:eastAsia="Arial" w:hAnsi="Arial"/>
          <w:sz w:val="15"/>
          <w:szCs w:val="15"/>
          <w:color w:val="auto"/>
        </w:rPr>
        <w:t>9.6%</w:t>
      </w:r>
      <w:r>
        <w:rPr>
          <w:rFonts w:ascii="Arial" w:cs="Arial" w:eastAsia="Arial" w:hAnsi="Arial"/>
          <w:sz w:val="24"/>
          <w:szCs w:val="24"/>
          <w:color w:val="auto"/>
          <w:vertAlign w:val="superscript"/>
        </w:rPr>
        <w:t>(3)</w:t>
      </w:r>
    </w:p>
    <w:p>
      <w:pPr>
        <w:spacing w:after="0" w:line="83" w:lineRule="exact"/>
        <w:rPr>
          <w:sz w:val="20"/>
          <w:szCs w:val="20"/>
          <w:color w:val="auto"/>
        </w:rPr>
      </w:pPr>
    </w:p>
    <w:p>
      <w:pPr>
        <w:sectPr>
          <w:pgSz w:w="11900" w:h="16838" w:orient="portrait"/>
          <w:cols w:equalWidth="0" w:num="2">
            <w:col w:w="7400" w:space="720"/>
            <w:col w:w="3300"/>
          </w:cols>
          <w:pgMar w:left="240" w:top="905" w:right="239" w:bottom="1440" w:gutter="0" w:footer="0" w:header="0"/>
          <w:type w:val="continuous"/>
        </w:sectPr>
      </w:pPr>
    </w:p>
    <w:tbl>
      <w:tblPr>
        <w:tblLayout w:type="fixed"/>
        <w:tblInd w:w="660" w:type="dxa"/>
        <w:tblCellMar>
          <w:top w:w="0" w:type="dxa"/>
          <w:left w:w="0" w:type="dxa"/>
          <w:bottom w:w="0" w:type="dxa"/>
          <w:right w:w="0" w:type="dxa"/>
        </w:tblCellMar>
      </w:tblPr>
      <w:tr>
        <w:trPr>
          <w:trHeight w:val="300"/>
        </w:trPr>
        <w:tc>
          <w:tcPr>
            <w:tcW w:w="6120" w:type="dxa"/>
            <w:vAlign w:val="bottom"/>
            <w:shd w:val="clear" w:color="auto" w:fill="CCEEFF"/>
          </w:tcPr>
          <w:p>
            <w:pPr>
              <w:spacing w:after="0" w:line="299" w:lineRule="exact"/>
              <w:rPr>
                <w:sz w:val="20"/>
                <w:szCs w:val="20"/>
                <w:color w:val="auto"/>
              </w:rPr>
            </w:pPr>
            <w:r>
              <w:rPr>
                <w:rFonts w:ascii="Arial" w:cs="Arial" w:eastAsia="Arial" w:hAnsi="Arial"/>
                <w:sz w:val="18"/>
                <w:szCs w:val="18"/>
                <w:color w:val="auto"/>
              </w:rPr>
              <w:t>Expenses without incentive fees</w:t>
            </w:r>
            <w:r>
              <w:rPr>
                <w:rFonts w:ascii="Arial" w:cs="Arial" w:eastAsia="Arial" w:hAnsi="Arial"/>
                <w:sz w:val="30"/>
                <w:szCs w:val="30"/>
                <w:color w:val="auto"/>
                <w:vertAlign w:val="superscript"/>
              </w:rPr>
              <w:t>(4)</w:t>
            </w:r>
          </w:p>
        </w:tc>
        <w:tc>
          <w:tcPr>
            <w:tcW w:w="58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12"/>
              <w:spacing w:after="0" w:line="299" w:lineRule="exact"/>
              <w:rPr>
                <w:sz w:val="20"/>
                <w:szCs w:val="20"/>
                <w:color w:val="auto"/>
              </w:rPr>
            </w:pPr>
            <w:r>
              <w:rPr>
                <w:rFonts w:ascii="Arial" w:cs="Arial" w:eastAsia="Arial" w:hAnsi="Arial"/>
                <w:sz w:val="18"/>
                <w:szCs w:val="18"/>
                <w:color w:val="auto"/>
              </w:rPr>
              <w:t>10.1%</w:t>
            </w:r>
            <w:r>
              <w:rPr>
                <w:rFonts w:ascii="Arial" w:cs="Arial" w:eastAsia="Arial" w:hAnsi="Arial"/>
                <w:sz w:val="30"/>
                <w:szCs w:val="30"/>
                <w:color w:val="auto"/>
                <w:vertAlign w:val="superscript"/>
              </w:rPr>
              <w:t>(3)</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spacing w:after="0" w:line="299" w:lineRule="exact"/>
              <w:rPr>
                <w:sz w:val="20"/>
                <w:szCs w:val="20"/>
                <w:color w:val="auto"/>
              </w:rPr>
            </w:pPr>
            <w:r>
              <w:rPr>
                <w:rFonts w:ascii="Arial" w:cs="Arial" w:eastAsia="Arial" w:hAnsi="Arial"/>
                <w:sz w:val="18"/>
                <w:szCs w:val="18"/>
                <w:color w:val="auto"/>
              </w:rPr>
              <w:t>8.3%</w:t>
            </w:r>
            <w:r>
              <w:rPr>
                <w:rFonts w:ascii="Arial" w:cs="Arial" w:eastAsia="Arial" w:hAnsi="Arial"/>
                <w:sz w:val="30"/>
                <w:szCs w:val="30"/>
                <w:color w:val="auto"/>
                <w:vertAlign w:val="superscript"/>
              </w:rPr>
              <w:t>(3)</w:t>
            </w:r>
          </w:p>
        </w:tc>
        <w:tc>
          <w:tcPr>
            <w:tcW w:w="0" w:type="dxa"/>
            <w:vAlign w:val="bottom"/>
          </w:tcPr>
          <w:p>
            <w:pPr>
              <w:spacing w:after="0"/>
              <w:rPr>
                <w:sz w:val="1"/>
                <w:szCs w:val="1"/>
                <w:color w:val="auto"/>
              </w:rPr>
            </w:pPr>
          </w:p>
        </w:tc>
      </w:tr>
      <w:tr>
        <w:trPr>
          <w:trHeight w:val="270"/>
        </w:trPr>
        <w:tc>
          <w:tcPr>
            <w:tcW w:w="6120" w:type="dxa"/>
            <w:vAlign w:val="bottom"/>
          </w:tcPr>
          <w:p>
            <w:pPr>
              <w:spacing w:after="0" w:line="269" w:lineRule="exact"/>
              <w:rPr>
                <w:sz w:val="20"/>
                <w:szCs w:val="20"/>
                <w:color w:val="auto"/>
              </w:rPr>
            </w:pPr>
            <w:r>
              <w:rPr>
                <w:rFonts w:ascii="Arial" w:cs="Arial" w:eastAsia="Arial" w:hAnsi="Arial"/>
                <w:sz w:val="18"/>
                <w:szCs w:val="18"/>
                <w:color w:val="auto"/>
              </w:rPr>
              <w:t>Incentive fees</w:t>
            </w:r>
            <w:r>
              <w:rPr>
                <w:rFonts w:ascii="Arial" w:cs="Arial" w:eastAsia="Arial" w:hAnsi="Arial"/>
                <w:sz w:val="30"/>
                <w:szCs w:val="30"/>
                <w:color w:val="auto"/>
                <w:vertAlign w:val="superscript"/>
              </w:rPr>
              <w:t>(4)</w:t>
            </w:r>
          </w:p>
        </w:tc>
        <w:tc>
          <w:tcPr>
            <w:tcW w:w="580" w:type="dxa"/>
            <w:vAlign w:val="bottom"/>
          </w:tcPr>
          <w:p>
            <w:pPr>
              <w:spacing w:after="0"/>
              <w:rPr>
                <w:sz w:val="23"/>
                <w:szCs w:val="23"/>
                <w:color w:val="auto"/>
              </w:rPr>
            </w:pPr>
          </w:p>
        </w:tc>
        <w:tc>
          <w:tcPr>
            <w:tcW w:w="1480" w:type="dxa"/>
            <w:vAlign w:val="bottom"/>
            <w:gridSpan w:val="2"/>
          </w:tcPr>
          <w:p>
            <w:pPr>
              <w:jc w:val="right"/>
              <w:ind w:right="12"/>
              <w:spacing w:after="0" w:line="269" w:lineRule="exact"/>
              <w:rPr>
                <w:sz w:val="20"/>
                <w:szCs w:val="20"/>
                <w:color w:val="auto"/>
              </w:rPr>
            </w:pPr>
            <w:r>
              <w:rPr>
                <w:rFonts w:ascii="Arial" w:cs="Arial" w:eastAsia="Arial" w:hAnsi="Arial"/>
                <w:sz w:val="18"/>
                <w:szCs w:val="18"/>
                <w:color w:val="auto"/>
              </w:rPr>
              <w:t>2.8%</w:t>
            </w:r>
            <w:r>
              <w:rPr>
                <w:rFonts w:ascii="Arial" w:cs="Arial" w:eastAsia="Arial" w:hAnsi="Arial"/>
                <w:sz w:val="30"/>
                <w:szCs w:val="30"/>
                <w:color w:val="auto"/>
                <w:vertAlign w:val="superscript"/>
              </w:rPr>
              <w:t>(3)</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gridSpan w:val="2"/>
          </w:tcPr>
          <w:p>
            <w:pPr>
              <w:jc w:val="right"/>
              <w:spacing w:after="0" w:line="269" w:lineRule="exact"/>
              <w:rPr>
                <w:sz w:val="20"/>
                <w:szCs w:val="20"/>
                <w:color w:val="auto"/>
              </w:rPr>
            </w:pPr>
            <w:r>
              <w:rPr>
                <w:rFonts w:ascii="Arial" w:cs="Arial" w:eastAsia="Arial" w:hAnsi="Arial"/>
                <w:sz w:val="18"/>
                <w:szCs w:val="18"/>
                <w:color w:val="auto"/>
              </w:rPr>
              <w:t>1.1%</w:t>
            </w:r>
            <w:r>
              <w:rPr>
                <w:rFonts w:ascii="Arial" w:cs="Arial" w:eastAsia="Arial" w:hAnsi="Arial"/>
                <w:sz w:val="30"/>
                <w:szCs w:val="30"/>
                <w:color w:val="auto"/>
                <w:vertAlign w:val="superscript"/>
              </w:rPr>
              <w:t>(3)</w:t>
            </w:r>
          </w:p>
        </w:tc>
        <w:tc>
          <w:tcPr>
            <w:tcW w:w="0" w:type="dxa"/>
            <w:vAlign w:val="bottom"/>
          </w:tcPr>
          <w:p>
            <w:pPr>
              <w:spacing w:after="0"/>
              <w:rPr>
                <w:sz w:val="1"/>
                <w:szCs w:val="1"/>
                <w:color w:val="auto"/>
              </w:rPr>
            </w:pPr>
          </w:p>
        </w:tc>
      </w:tr>
      <w:tr>
        <w:trPr>
          <w:trHeight w:val="264"/>
        </w:trPr>
        <w:tc>
          <w:tcPr>
            <w:tcW w:w="6120" w:type="dxa"/>
            <w:vAlign w:val="bottom"/>
            <w:tcBorders>
              <w:top w:val="single" w:sz="8" w:color="CCEEFF"/>
              <w:bottom w:val="single" w:sz="8" w:color="CCEEFF"/>
            </w:tcBorders>
            <w:shd w:val="clear" w:color="auto" w:fill="CCEEFF"/>
          </w:tcPr>
          <w:p>
            <w:pPr>
              <w:spacing w:after="0" w:line="264" w:lineRule="exact"/>
              <w:rPr>
                <w:sz w:val="20"/>
                <w:szCs w:val="20"/>
                <w:color w:val="auto"/>
              </w:rPr>
            </w:pPr>
            <w:r>
              <w:rPr>
                <w:rFonts w:ascii="Arial" w:cs="Arial" w:eastAsia="Arial" w:hAnsi="Arial"/>
                <w:sz w:val="18"/>
                <w:szCs w:val="18"/>
                <w:color w:val="auto"/>
              </w:rPr>
              <w:t>Net expenses</w:t>
            </w:r>
            <w:r>
              <w:rPr>
                <w:rFonts w:ascii="Arial" w:cs="Arial" w:eastAsia="Arial" w:hAnsi="Arial"/>
                <w:sz w:val="30"/>
                <w:szCs w:val="30"/>
                <w:color w:val="auto"/>
                <w:vertAlign w:val="superscript"/>
              </w:rPr>
              <w:t>(4)</w:t>
            </w:r>
          </w:p>
        </w:tc>
        <w:tc>
          <w:tcPr>
            <w:tcW w:w="58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00" w:type="dxa"/>
            <w:vAlign w:val="bottom"/>
            <w:tcBorders>
              <w:top w:val="single" w:sz="8" w:color="CCEEFF"/>
              <w:bottom w:val="single" w:sz="8" w:color="CCEEFF"/>
            </w:tcBorders>
            <w:shd w:val="clear" w:color="auto" w:fill="CCEEFF"/>
          </w:tcPr>
          <w:p>
            <w:pPr>
              <w:jc w:val="right"/>
              <w:ind w:right="12"/>
              <w:spacing w:after="0" w:line="264" w:lineRule="exact"/>
              <w:rPr>
                <w:sz w:val="20"/>
                <w:szCs w:val="20"/>
                <w:color w:val="auto"/>
              </w:rPr>
            </w:pPr>
            <w:r>
              <w:rPr>
                <w:rFonts w:ascii="Arial" w:cs="Arial" w:eastAsia="Arial" w:hAnsi="Arial"/>
                <w:sz w:val="30"/>
                <w:szCs w:val="30"/>
                <w:color w:val="auto"/>
                <w:w w:val="85"/>
                <w:vertAlign w:val="subscript"/>
              </w:rPr>
              <w:t>%</w:t>
            </w:r>
            <w:r>
              <w:rPr>
                <w:rFonts w:ascii="Arial" w:cs="Arial" w:eastAsia="Arial" w:hAnsi="Arial"/>
                <w:sz w:val="14"/>
                <w:szCs w:val="14"/>
                <w:color w:val="auto"/>
                <w:w w:val="85"/>
              </w:rPr>
              <w:t>(3)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40" w:type="dxa"/>
            <w:vAlign w:val="bottom"/>
            <w:tcBorders>
              <w:top w:val="single" w:sz="8" w:color="CCEEFF"/>
              <w:bottom w:val="single" w:sz="8" w:color="CCEEFF"/>
            </w:tcBorders>
            <w:shd w:val="clear" w:color="auto" w:fill="CCEEFF"/>
          </w:tcPr>
          <w:p>
            <w:pPr>
              <w:jc w:val="right"/>
              <w:spacing w:after="0" w:line="264" w:lineRule="exact"/>
              <w:rPr>
                <w:sz w:val="20"/>
                <w:szCs w:val="20"/>
                <w:color w:val="auto"/>
              </w:rPr>
            </w:pPr>
            <w:r>
              <w:rPr>
                <w:rFonts w:ascii="Arial" w:cs="Arial" w:eastAsia="Arial" w:hAnsi="Arial"/>
                <w:sz w:val="30"/>
                <w:szCs w:val="30"/>
                <w:color w:val="auto"/>
                <w:w w:val="85"/>
                <w:vertAlign w:val="subscript"/>
              </w:rPr>
              <w:t>%</w:t>
            </w:r>
            <w:r>
              <w:rPr>
                <w:rFonts w:ascii="Arial" w:cs="Arial" w:eastAsia="Arial" w:hAnsi="Arial"/>
                <w:sz w:val="14"/>
                <w:szCs w:val="14"/>
                <w:color w:val="auto"/>
                <w:w w:val="85"/>
              </w:rPr>
              <w:t>(3)</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line="250" w:lineRule="exact"/>
              <w:rPr>
                <w:sz w:val="20"/>
                <w:szCs w:val="20"/>
                <w:color w:val="auto"/>
              </w:rPr>
            </w:pPr>
            <w:r>
              <w:rPr>
                <w:rFonts w:ascii="Arial" w:cs="Arial" w:eastAsia="Arial" w:hAnsi="Arial"/>
                <w:sz w:val="17"/>
                <w:szCs w:val="17"/>
                <w:color w:val="auto"/>
              </w:rPr>
              <w:t>Net investment income with incentive fees</w:t>
            </w:r>
            <w:r>
              <w:rPr>
                <w:rFonts w:ascii="Arial" w:cs="Arial" w:eastAsia="Arial" w:hAnsi="Arial"/>
                <w:sz w:val="28"/>
                <w:szCs w:val="28"/>
                <w:color w:val="auto"/>
                <w:vertAlign w:val="superscript"/>
              </w:rPr>
              <w:t>(4)</w:t>
            </w: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gridSpan w:val="2"/>
          </w:tcPr>
          <w:p>
            <w:pPr>
              <w:jc w:val="right"/>
              <w:ind w:right="12"/>
              <w:spacing w:after="0" w:line="210" w:lineRule="exact"/>
              <w:rPr>
                <w:sz w:val="20"/>
                <w:szCs w:val="20"/>
                <w:color w:val="auto"/>
              </w:rPr>
            </w:pPr>
            <w:r>
              <w:rPr>
                <w:rFonts w:ascii="Arial" w:cs="Arial" w:eastAsia="Arial" w:hAnsi="Arial"/>
                <w:sz w:val="15"/>
                <w:szCs w:val="15"/>
                <w:color w:val="auto"/>
              </w:rPr>
              <w:t>9.2%</w:t>
            </w:r>
            <w:r>
              <w:rPr>
                <w:rFonts w:ascii="Arial" w:cs="Arial" w:eastAsia="Arial" w:hAnsi="Arial"/>
                <w:sz w:val="24"/>
                <w:szCs w:val="24"/>
                <w:color w:val="auto"/>
                <w:vertAlign w:val="superscript"/>
              </w:rPr>
              <w:t>(3)</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gridSpan w:val="2"/>
          </w:tcPr>
          <w:p>
            <w:pPr>
              <w:jc w:val="right"/>
              <w:spacing w:after="0" w:line="210" w:lineRule="exact"/>
              <w:rPr>
                <w:sz w:val="20"/>
                <w:szCs w:val="20"/>
                <w:color w:val="auto"/>
              </w:rPr>
            </w:pPr>
            <w:r>
              <w:rPr>
                <w:rFonts w:ascii="Arial" w:cs="Arial" w:eastAsia="Arial" w:hAnsi="Arial"/>
                <w:sz w:val="15"/>
                <w:szCs w:val="15"/>
                <w:color w:val="auto"/>
              </w:rPr>
              <w:t>9.6%</w:t>
            </w:r>
            <w:r>
              <w:rPr>
                <w:rFonts w:ascii="Arial" w:cs="Arial" w:eastAsia="Arial" w:hAnsi="Arial"/>
                <w:sz w:val="24"/>
                <w:szCs w:val="24"/>
                <w:color w:val="auto"/>
                <w:vertAlign w:val="superscript"/>
              </w:rPr>
              <w:t>(3)</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assets at the end of the period</w:t>
            </w:r>
          </w:p>
        </w:tc>
        <w:tc>
          <w:tcPr>
            <w:tcW w:w="580" w:type="dxa"/>
            <w:vAlign w:val="bottom"/>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134,456</w:t>
            </w:r>
          </w:p>
        </w:tc>
        <w:tc>
          <w:tcPr>
            <w:tcW w:w="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135,996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Average net asset value</w:t>
            </w:r>
          </w:p>
        </w:tc>
        <w:tc>
          <w:tcPr>
            <w:tcW w:w="580" w:type="dxa"/>
            <w:vAlign w:val="bottom"/>
          </w:tcPr>
          <w:p>
            <w:pPr>
              <w:jc w:val="right"/>
              <w:ind w:right="42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332"/>
              <w:spacing w:after="0"/>
              <w:rPr>
                <w:sz w:val="20"/>
                <w:szCs w:val="20"/>
                <w:color w:val="auto"/>
              </w:rPr>
            </w:pPr>
            <w:r>
              <w:rPr>
                <w:rFonts w:ascii="Arial" w:cs="Arial" w:eastAsia="Arial" w:hAnsi="Arial"/>
                <w:sz w:val="18"/>
                <w:szCs w:val="18"/>
                <w:color w:val="auto"/>
              </w:rPr>
              <w:t>134,391</w:t>
            </w:r>
          </w:p>
        </w:tc>
        <w:tc>
          <w:tcPr>
            <w:tcW w:w="6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137,847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580" w:type="dxa"/>
            <w:vAlign w:val="bottom"/>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8.38</w:t>
            </w:r>
          </w:p>
        </w:tc>
        <w:tc>
          <w:tcPr>
            <w:tcW w:w="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580" w:type="dxa"/>
            <w:vAlign w:val="bottom"/>
          </w:tcPr>
          <w:p>
            <w:pPr>
              <w:spacing w:after="0"/>
              <w:rPr>
                <w:sz w:val="20"/>
                <w:szCs w:val="20"/>
                <w:color w:val="auto"/>
              </w:rPr>
            </w:pPr>
          </w:p>
        </w:tc>
        <w:tc>
          <w:tcPr>
            <w:tcW w:w="1480" w:type="dxa"/>
            <w:vAlign w:val="bottom"/>
            <w:gridSpan w:val="2"/>
          </w:tcPr>
          <w:p>
            <w:pPr>
              <w:jc w:val="right"/>
              <w:ind w:right="192"/>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20" w:type="dxa"/>
            <w:vAlign w:val="bottom"/>
            <w:gridSpan w:val="2"/>
          </w:tcPr>
          <w:p>
            <w:pPr>
              <w:jc w:val="right"/>
              <w:ind w:right="112"/>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128270</wp:posOffset>
            </wp:positionV>
            <wp:extent cx="17583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194" w:lineRule="exact"/>
        <w:rPr>
          <w:sz w:val="20"/>
          <w:szCs w:val="20"/>
          <w:color w:val="auto"/>
        </w:rPr>
      </w:pPr>
    </w:p>
    <w:p>
      <w:pPr>
        <w:jc w:val="both"/>
        <w:ind w:left="660" w:hanging="328"/>
        <w:spacing w:after="0" w:line="25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Distributions are determined based on taxable income calculated in accordance with income tax regulations, which may differ from amounts determined under GAAP due to (i) changes in unrealized appreciation and depreciation, (ii) temporary and permanent differences in income and expense recognition, and (iii) the amount of spillover income carried over from a given tax year for distribution in the following tax year. The final determination of taxable income for each tax year, as well as the tax attributes for distributions in such tax year, will be made after the close of the tax year.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ind w:left="460" w:hanging="452"/>
        <w:spacing w:after="0" w:line="25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total return equals the change in the ending market value over the beginning of period price per share plus distributions paid per share during the period, divided by the beginning price.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Annualized.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the nine months ended September 30, 2018, the Advisor waived $0.6 million of performance based incentive fee.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held a special meeting on October 11, 2018 to consider proposals to (1) approve the application to the Company of the reduced asset coverage requirements in Section 61(a)(2) of the 1940 Act, which would permit the Company to reduce the asset coverage requirements applicable to the Company from 200% to 150%, such that the Company would have a debt to equity ratio of a maximum of 2.0x as compared to a current maximum of 1.0x and (2) to approve a new Investment Management Agreement between the Company and the Company’s Advisor in which the base management fee is calculated at an annual rate of 2.00% of the Company’s gross assets (less cash and cash equivalents) including any assets acquired with the proceeds of leverage. From and after the first date on which the reduced asset coverage requirements in Section 61(a)(2) of the 1940 Act apply to the Company, the base management fee will be calculated at an annual rate of 2.00% of the Company’s gross assets (less cash and cash equivalents) including any assets acquired with the proceeds of leverage; provided, that, to the extent the Company’s gross assets (less cash and cash equivalents) exceed $250 million, the base management fee on the amount of such excess over $250 million will be calculated at an annual rate of 1.60% of the Company’s gross assets (less cash and cash equivalents) including any assets acquired with the proceeds of leverage. The base management fee is payable monthly in arrears and is prorated for any partial month.</w:t>
      </w:r>
    </w:p>
    <w:p>
      <w:pPr>
        <w:spacing w:after="0" w:line="1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special meeting was adjourned to October 30, 2018 during which the reduced asset coverage requirements and the new Investment Management Agreement were each approved by stockholders. The reduced asset coverage requirements and the new Investment Management Agreement take effect October 31, 2018.</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In this quarterly report on Form 10-Q, except where the context suggests otherwise, the terms “we,” “us,” “our” and “Horizon Technology Finance” refer to Horizon Technology Finance Corporation and its consolidated subsidiaries. The information contained in this section should be read in conjunction with our consolidated financial statements and related notes thereto appearing elsewhere in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quarterly report on Form 10-Q,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quarterly report on Form 10-Q involve risks and uncertainties, including statements as to:</w:t>
      </w:r>
    </w:p>
    <w:p>
      <w:pPr>
        <w:spacing w:after="0" w:line="15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future operating results, including the performance of our existing debt investments, warrants and other investments;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introduction, withdrawal, success and timing of business initiatives and strategies;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political, economic or industry conditions, the interest rate environment or financial and capital markets, which could result in changes in the value of our assets;</w:t>
      </w: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relative and absolute investment performance and operations of our investment advisor, Horizon Technology Finance Management LLC, or the Advisor;</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increased competition;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investments we intend to make and future acquisitions and divestitures;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unfavorable resolution of legal proceedings;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extent and timing of technological changes and the adequacy of intellectual property protection;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regulatory structure and tax status;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qualify and maintain qualification as a regulated investment company, or RIC, and as a business development company, or BDC;</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interest rate volatility on our results, particularly if we use leverage as part of our investment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legislative and regulatory actions and reforms and regulatory supervisory or enforcement actions of government agencies relating to us or our Advisor;</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the Small Business Credit Availability Act on our operations and the BDC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access capital and any future financings by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Advisor to attract and retain highly talented professionals;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changes to tax legislation and, generally, our tax position;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fund the unfunded commitments of Horizon Secured Loan Fund I, or HSLFI, to the extent approved by each member of HSLFI.</w:t>
      </w:r>
    </w:p>
    <w:p>
      <w:pPr>
        <w:spacing w:after="0" w:line="2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“Risk Factors” and elsewhere in our annual report on Form 10-K for the year ended December 31, 2017, and elsewhere in this quarterly report on Form 10-Q.</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quarterly report on Form 10-Q, whether as a result of new information, future events or otherwise, you are advised to consult any additional disclosures that we may make directly to you or through reports that we in the future may file with the U.S. Securities and Exchange Commission, or the SEC, including periodic reports on Form 10-Q and Form 10-K and current reports on Form 8-K.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a specialty finance company that lends to and invests in development-stage companies in the technology, life science, healthcare information and services and cleantech industries, which we refer to as our “Target Industries.” Our investment objective is to maximize our investment portfolio’s total return by generating current income from the debt investments we make and capital appreciation from the warrants we receive when making such debt investments. We are focused on making secured debt investments, which we refer to collectively as “Venture Loans,” to venture capital backed companies in our Target Industries, which we refer to as “Venture Lending.” We also selectively provide Venture Loans to publicly traded companies in our Target Industries. Our debt investments are typically secured by first liens or first liens behind a secured revolving line of credit, or Senior Term Loans. As of September 30, 2018, 98.4%, or $211.7 million, of our debt investment portfolio at fair value consisted of Senior Term Loans. Venture Lending is typically characterized by (1) the making of a secured debt investment after a venture capital or equity investment in the portfolio company has been made, which investment provides a source of cash to fund the portfolio company’s debt service obligations under the Venture Loan, (2) the senior priority of the Venture Loan which requires repayment of the Venture Loan prior to the equity investors realizing a return on their capital, (3) the relatively rapid amortization of the Venture Loan and (4) the lender’s receipt of warrants or other success fees with the making of the Venture Loan.</w:t>
      </w:r>
    </w:p>
    <w:p>
      <w:pPr>
        <w:spacing w:after="0" w:line="17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are an externally managed, closed-end, non-diversified management investment company that has elected to be regulated as a BDC under the Investment Company Act of 1940, as amended, or the 1940 Act. In addition, for U.S. federal income tax purposes, we have elected to be treated as a RIC under Subchapter M of the Internal Revenue Code of 1986, as amended, or the Code. As a BDC, we are required to comply with regulatory requirements, including limitations on our use of debt. We are permitted to, and expect to, finance our investments through borrowings. However, as a BDC, we are only generally allowed to borrow amounts such that our asset coverage, as defined in the 1940 Act, equals at least 200% through October 30, 2018 and 150% thereafter, subject to certain disclosure requirements. The amount of leverage that we employ depends on our assessment of market conditions and other factors at the time of any proposed borrowing. As a RIC, we generally are not subject to corporate-level income taxes on our investment company taxable income, determined without regard to any deductions for dividends paid, and our net capital gain that we distribute as dividends for U.S. federal income tax purposes to our stockholders as long as we meet certain source-of-income, distribution, asset diversification and other requirements.</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Compass Horizon Funding Company LLC, or Compass Horizon, our predecessor company, commenced operations in March 2008. We were formed in March 2010 for the purpose of acquiring Compass Horizon and continuing its business as a public entity.</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investment activities, and our day-to-day operations, are managed by our Advisor and supervised by our board of directors, or the Board, of which a majority of the members are independent of us. Under an amended and restated investment management agreement, or the Investment Management Agreement, we have agreed to pay our Advisor a base management fee and an incentive fee for its advisory services to us. We have also entered into an administration agreement, or the Administration Agreement, with our Advisor under which we have agreed to reimburse our Advisor for our allocable portion of overhead and other expenses incurred by our Advisor in performing its obligations under the Administration Agreement.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r>
              <w:rPr>
                <w:rFonts w:ascii="Arial" w:cs="Arial" w:eastAsia="Arial" w:hAnsi="Arial"/>
                <w:sz w:val="18"/>
                <w:szCs w:val="18"/>
                <w:b w:val="1"/>
                <w:bCs w:val="1"/>
                <w:color w:val="auto"/>
              </w:rPr>
              <w:t>Portfolio composition and investment activity</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9040" w:type="dxa"/>
            <w:vAlign w:val="bottom"/>
            <w:gridSpan w:val="9"/>
          </w:tcPr>
          <w:p>
            <w:pPr>
              <w:ind w:left="340"/>
              <w:spacing w:after="0"/>
              <w:rPr>
                <w:sz w:val="20"/>
                <w:szCs w:val="20"/>
                <w:color w:val="auto"/>
              </w:rPr>
            </w:pPr>
            <w:r>
              <w:rPr>
                <w:rFonts w:ascii="Arial" w:cs="Arial" w:eastAsia="Arial" w:hAnsi="Arial"/>
                <w:sz w:val="18"/>
                <w:szCs w:val="18"/>
                <w:color w:val="auto"/>
                <w:w w:val="96"/>
              </w:rPr>
              <w:t>The following table shows our portfolio by type of investment as of September 30, 2018 and December 31, 2017: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4660" w:type="dxa"/>
            <w:vAlign w:val="bottom"/>
          </w:tcPr>
          <w:p>
            <w:pPr>
              <w:spacing w:after="0"/>
              <w:rPr>
                <w:sz w:val="24"/>
                <w:szCs w:val="24"/>
                <w:color w:val="auto"/>
              </w:rPr>
            </w:pPr>
          </w:p>
        </w:tc>
        <w:tc>
          <w:tcPr>
            <w:tcW w:w="3440" w:type="dxa"/>
            <w:vAlign w:val="bottom"/>
            <w:gridSpan w:val="7"/>
          </w:tcPr>
          <w:p>
            <w:pPr>
              <w:ind w:left="920"/>
              <w:spacing w:after="0"/>
              <w:rPr>
                <w:sz w:val="20"/>
                <w:szCs w:val="20"/>
                <w:color w:val="auto"/>
              </w:rPr>
            </w:pPr>
            <w:r>
              <w:rPr>
                <w:rFonts w:ascii="Arial" w:cs="Arial" w:eastAsia="Arial" w:hAnsi="Arial"/>
                <w:sz w:val="18"/>
                <w:szCs w:val="18"/>
                <w:b w:val="1"/>
                <w:bCs w:val="1"/>
                <w:color w:val="auto"/>
              </w:rPr>
              <w:t>September 30, 2018</w:t>
            </w:r>
          </w:p>
        </w:tc>
        <w:tc>
          <w:tcPr>
            <w:tcW w:w="940" w:type="dxa"/>
            <w:vAlign w:val="bottom"/>
          </w:tcPr>
          <w:p>
            <w:pPr>
              <w:spacing w:after="0"/>
              <w:rPr>
                <w:sz w:val="24"/>
                <w:szCs w:val="24"/>
                <w:color w:val="auto"/>
              </w:rPr>
            </w:pPr>
          </w:p>
        </w:tc>
        <w:tc>
          <w:tcPr>
            <w:tcW w:w="2380" w:type="dxa"/>
            <w:vAlign w:val="bottom"/>
            <w:gridSpan w:val="7"/>
          </w:tcPr>
          <w:p>
            <w:pPr>
              <w:jc w:val="right"/>
              <w:ind w:right="940"/>
              <w:spacing w:after="0"/>
              <w:rPr>
                <w:sz w:val="20"/>
                <w:szCs w:val="20"/>
                <w:color w:val="auto"/>
              </w:rPr>
            </w:pPr>
            <w:r>
              <w:rPr>
                <w:rFonts w:ascii="Arial" w:cs="Arial" w:eastAsia="Arial" w:hAnsi="Arial"/>
                <w:sz w:val="18"/>
                <w:szCs w:val="18"/>
                <w:b w:val="1"/>
                <w:bCs w:val="1"/>
                <w:color w:val="auto"/>
                <w:w w:val="87"/>
              </w:rPr>
              <w:t>December 31, 2017</w:t>
            </w:r>
          </w:p>
        </w:tc>
      </w:tr>
      <w:tr>
        <w:trPr>
          <w:trHeight w:val="191"/>
        </w:trPr>
        <w:tc>
          <w:tcPr>
            <w:tcW w:w="466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50"/>
              <w:spacing w:after="0" w:line="191" w:lineRule="exact"/>
              <w:rPr>
                <w:sz w:val="20"/>
                <w:szCs w:val="20"/>
                <w:color w:val="auto"/>
              </w:rPr>
            </w:pPr>
            <w:r>
              <w:rPr>
                <w:rFonts w:ascii="Arial" w:cs="Arial" w:eastAsia="Arial" w:hAnsi="Arial"/>
                <w:sz w:val="18"/>
                <w:szCs w:val="18"/>
                <w:b w:val="1"/>
                <w:bCs w:val="1"/>
                <w:color w:val="auto"/>
                <w:w w:val="86"/>
              </w:rPr>
              <w:t>Percentage</w:t>
            </w:r>
          </w:p>
        </w:tc>
        <w:tc>
          <w:tcPr>
            <w:tcW w:w="1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right="180"/>
              <w:spacing w:after="0" w:line="191" w:lineRule="exact"/>
              <w:rPr>
                <w:sz w:val="20"/>
                <w:szCs w:val="20"/>
                <w:color w:val="auto"/>
              </w:rPr>
            </w:pPr>
            <w:r>
              <w:rPr>
                <w:rFonts w:ascii="Arial" w:cs="Arial" w:eastAsia="Arial" w:hAnsi="Arial"/>
                <w:sz w:val="18"/>
                <w:szCs w:val="18"/>
                <w:b w:val="1"/>
                <w:bCs w:val="1"/>
                <w:color w:val="auto"/>
                <w:w w:val="86"/>
              </w:rPr>
              <w:t>Percentage</w:t>
            </w:r>
          </w:p>
        </w:tc>
      </w:tr>
      <w:tr>
        <w:trPr>
          <w:trHeight w:val="216"/>
        </w:trPr>
        <w:tc>
          <w:tcPr>
            <w:tcW w:w="466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Fair</w:t>
            </w:r>
          </w:p>
        </w:tc>
        <w:tc>
          <w:tcPr>
            <w:tcW w:w="11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of Total</w:t>
            </w:r>
          </w:p>
        </w:tc>
        <w:tc>
          <w:tcPr>
            <w:tcW w:w="940" w:type="dxa"/>
            <w:vAlign w:val="bottom"/>
          </w:tcPr>
          <w:p>
            <w:pPr>
              <w:ind w:left="100"/>
              <w:spacing w:after="0"/>
              <w:rPr>
                <w:sz w:val="20"/>
                <w:szCs w:val="20"/>
                <w:color w:val="auto"/>
              </w:rPr>
            </w:pPr>
            <w:r>
              <w:rPr>
                <w:rFonts w:ascii="Arial" w:cs="Arial" w:eastAsia="Arial" w:hAnsi="Arial"/>
                <w:sz w:val="18"/>
                <w:szCs w:val="18"/>
                <w:b w:val="1"/>
                <w:bCs w:val="1"/>
                <w:color w:val="auto"/>
                <w:w w:val="91"/>
              </w:rPr>
              <w:t>Number of</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6"/>
              </w:rPr>
              <w:t>Fair</w:t>
            </w: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9"/>
              </w:rPr>
              <w:t>of Total</w:t>
            </w:r>
          </w:p>
        </w:tc>
      </w:tr>
      <w:tr>
        <w:trPr>
          <w:trHeight w:val="234"/>
        </w:trPr>
        <w:tc>
          <w:tcPr>
            <w:tcW w:w="4660" w:type="dxa"/>
            <w:vAlign w:val="bottom"/>
          </w:tcPr>
          <w:p>
            <w:pPr>
              <w:spacing w:after="0"/>
              <w:rPr>
                <w:sz w:val="20"/>
                <w:szCs w:val="20"/>
                <w:color w:val="auto"/>
              </w:rPr>
            </w:pPr>
          </w:p>
        </w:tc>
        <w:tc>
          <w:tcPr>
            <w:tcW w:w="11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Investments</w:t>
            </w:r>
          </w:p>
        </w:tc>
        <w:tc>
          <w:tcPr>
            <w:tcW w:w="16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Value</w:t>
            </w:r>
          </w:p>
        </w:tc>
        <w:tc>
          <w:tcPr>
            <w:tcW w:w="11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Portfolio</w:t>
            </w:r>
          </w:p>
        </w:tc>
        <w:tc>
          <w:tcPr>
            <w:tcW w:w="1300" w:type="dxa"/>
            <w:vAlign w:val="bottom"/>
            <w:gridSpan w:val="3"/>
          </w:tcPr>
          <w:p>
            <w:pPr>
              <w:jc w:val="right"/>
              <w:ind w:right="245"/>
              <w:spacing w:after="0"/>
              <w:rPr>
                <w:sz w:val="20"/>
                <w:szCs w:val="20"/>
                <w:color w:val="auto"/>
              </w:rPr>
            </w:pPr>
            <w:r>
              <w:rPr>
                <w:rFonts w:ascii="Arial" w:cs="Arial" w:eastAsia="Arial" w:hAnsi="Arial"/>
                <w:sz w:val="18"/>
                <w:szCs w:val="18"/>
                <w:b w:val="1"/>
                <w:bCs w:val="1"/>
                <w:color w:val="auto"/>
                <w:w w:val="91"/>
              </w:rPr>
              <w:t>Investments</w:t>
            </w:r>
          </w:p>
        </w:tc>
        <w:tc>
          <w:tcPr>
            <w:tcW w:w="9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Value</w:t>
            </w: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Portfolio</w:t>
            </w:r>
          </w:p>
        </w:tc>
      </w:tr>
      <w:tr>
        <w:trPr>
          <w:trHeight w:val="210"/>
        </w:trPr>
        <w:tc>
          <w:tcPr>
            <w:tcW w:w="46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w w:val="99"/>
              </w:rPr>
              <w:t>(Dollars in thousands)</w:t>
            </w: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215,144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203,793</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91.8%</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Warrants</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69</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10,426</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9,090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1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79"/>
              </w:rPr>
              <w:t>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Equity</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79"/>
              </w:rPr>
              <w:t>9</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2,114</w:t>
            </w: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1,516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r>
      <w:tr>
        <w:trPr>
          <w:trHeight w:val="23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 in HSLFI</w:t>
            </w:r>
          </w:p>
        </w:tc>
        <w:tc>
          <w:tcPr>
            <w:tcW w:w="11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79"/>
              </w:rPr>
              <w:t>1</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466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239,757</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222,099</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4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total portfolio investment activity as of and for the three and nine months ended September 30,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4"/>
              </w:rPr>
              <w:t>For the Three Months Ended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4"/>
              </w:rPr>
              <w:t>For the Nine Months Ended</w:t>
            </w:r>
          </w:p>
        </w:tc>
      </w:tr>
      <w:tr>
        <w:trPr>
          <w:trHeight w:val="234"/>
        </w:trPr>
        <w:tc>
          <w:tcPr>
            <w:tcW w:w="5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2017</w:t>
            </w:r>
          </w:p>
        </w:tc>
        <w:tc>
          <w:tcPr>
            <w:tcW w:w="100" w:type="dxa"/>
            <w:vAlign w:val="bottom"/>
          </w:tcPr>
          <w:p>
            <w:pPr>
              <w:spacing w:after="0"/>
              <w:rPr>
                <w:sz w:val="19"/>
                <w:szCs w:val="19"/>
                <w:color w:val="auto"/>
              </w:rPr>
            </w:pPr>
          </w:p>
        </w:tc>
      </w:tr>
      <w:tr>
        <w:trPr>
          <w:trHeight w:val="210"/>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0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Beginning portfolio</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226,467</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179,084</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222,099</w:t>
            </w:r>
          </w:p>
        </w:tc>
        <w:tc>
          <w:tcPr>
            <w:tcW w:w="5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194,003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New debt investments</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24,200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18,321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64,725</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66,311</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Less refinanced debt investments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(2,479)</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new debt investments</w:t>
            </w: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18,321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62,246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66,311</w:t>
            </w:r>
          </w:p>
        </w:tc>
        <w:tc>
          <w:tcPr>
            <w:tcW w:w="100" w:type="dxa"/>
            <w:vAlign w:val="bottom"/>
            <w:tcBorders>
              <w:bottom w:val="single" w:sz="8" w:color="CCEEFF"/>
            </w:tcBorders>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controlled affiliate investments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(5,591)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(7,202)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(19,568)</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(27,536)</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Early pay-offs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(26,935)</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(52,117)</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Accretion of debt investment fees</w:t>
            </w:r>
          </w:p>
        </w:tc>
        <w:tc>
          <w:tcPr>
            <w:tcW w:w="1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1,605</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1,397</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New debt investment fees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(1,884)</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New equity</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1,090</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Warrants received in settlement of fee income</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161</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Proceeds from sale of investments</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(3,360)</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(1,572)</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(11,098)</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791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8,276</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portfolio</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239,757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176,704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239,757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receive payments on our debt investments based on scheduled amortization of the outstanding balances. In addition, we receive repayments of some of our debt investments prior to their scheduled maturity date. The frequency or volume of these repayments may fluctuate significantly from period to period.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ind w:left="340"/>
        <w:spacing w:after="0"/>
        <w:rPr>
          <w:sz w:val="20"/>
          <w:szCs w:val="20"/>
          <w:color w:val="auto"/>
        </w:rPr>
      </w:pPr>
      <w:r>
        <w:rPr>
          <w:rFonts w:ascii="Arial" w:cs="Arial" w:eastAsia="Arial" w:hAnsi="Arial"/>
          <w:sz w:val="18"/>
          <w:szCs w:val="18"/>
          <w:color w:val="auto"/>
        </w:rPr>
        <w:t>The following table shows our debt investments by industry sector as of September 30, 2018 and December 31,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4"/>
          </w:tcPr>
          <w:p>
            <w:pPr>
              <w:jc w:val="right"/>
              <w:ind w:right="730"/>
              <w:spacing w:after="0"/>
              <w:rPr>
                <w:sz w:val="20"/>
                <w:szCs w:val="20"/>
                <w:color w:val="auto"/>
              </w:rPr>
            </w:pPr>
            <w:r>
              <w:rPr>
                <w:rFonts w:ascii="Arial" w:cs="Arial" w:eastAsia="Arial" w:hAnsi="Arial"/>
                <w:sz w:val="18"/>
                <w:szCs w:val="18"/>
                <w:b w:val="1"/>
                <w:bCs w:val="1"/>
                <w:color w:val="auto"/>
              </w:rPr>
              <w:t>September 30, 2018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 2017</w:t>
            </w:r>
          </w:p>
        </w:tc>
      </w:tr>
      <w:tr>
        <w:trPr>
          <w:trHeight w:val="191"/>
        </w:trPr>
        <w:tc>
          <w:tcPr>
            <w:tcW w:w="4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94"/>
              </w:rPr>
              <w:t>Debt</w:t>
            </w: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89"/>
              </w:rPr>
              <w:t>Debt</w:t>
            </w: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6"/>
                <w:szCs w:val="16"/>
                <w:color w:val="auto"/>
              </w:rPr>
            </w:pPr>
          </w:p>
        </w:tc>
      </w:tr>
      <w:tr>
        <w:trPr>
          <w:trHeight w:val="216"/>
        </w:trPr>
        <w:tc>
          <w:tcPr>
            <w:tcW w:w="4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Investments at</w:t>
            </w:r>
          </w:p>
        </w:tc>
        <w:tc>
          <w:tcPr>
            <w:tcW w:w="146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of Total</w:t>
            </w:r>
          </w:p>
        </w:tc>
        <w:tc>
          <w:tcPr>
            <w:tcW w:w="6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Investments at</w:t>
            </w:r>
          </w:p>
        </w:tc>
        <w:tc>
          <w:tcPr>
            <w:tcW w:w="140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89"/>
              </w:rPr>
              <w:t>of Total</w:t>
            </w:r>
          </w:p>
        </w:tc>
      </w:tr>
      <w:tr>
        <w:trPr>
          <w:trHeight w:val="234"/>
        </w:trPr>
        <w:tc>
          <w:tcPr>
            <w:tcW w:w="4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91"/>
              </w:rPr>
              <w:t>Portfolio</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40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1"/>
              </w:rPr>
              <w:t>Portfolio</w:t>
            </w:r>
          </w:p>
        </w:tc>
      </w:tr>
      <w:tr>
        <w:trPr>
          <w:trHeight w:val="210"/>
        </w:trPr>
        <w:tc>
          <w:tcPr>
            <w:tcW w:w="4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Borders>
              <w:top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rPr>
              <w:t>(Dollars in thousands)</w:t>
            </w: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Life Science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Biotechnology</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27,413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15,015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Drug Delivery</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1,484</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6,830</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3.4</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Medical Device</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42,345</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36,173</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17.7</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Communications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26,604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19,549</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9.6</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Consumer-Related</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10,918</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Internet and Media</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37,371</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38,899</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19.1</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Materials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8,005</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9,324</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4.6</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Power Management</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682</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1,234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0.6</w:t>
            </w:r>
          </w:p>
        </w:tc>
      </w:tr>
      <w:tr>
        <w:trPr>
          <w:trHeight w:val="216"/>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Semiconductors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3,396</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3,345</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Software</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44,414</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53,994</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26.5</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Healthcare Information and Services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Software</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23,430</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8,512</w:t>
            </w:r>
          </w:p>
        </w:tc>
        <w:tc>
          <w:tcPr>
            <w:tcW w:w="1400" w:type="dxa"/>
            <w:vAlign w:val="bottom"/>
            <w:gridSpan w:val="2"/>
          </w:tcPr>
          <w:p>
            <w:pPr>
              <w:jc w:val="right"/>
              <w:ind w:right="70"/>
              <w:spacing w:after="0"/>
              <w:rPr>
                <w:sz w:val="20"/>
                <w:szCs w:val="20"/>
                <w:color w:val="auto"/>
              </w:rPr>
            </w:pPr>
            <w:r>
              <w:rPr>
                <w:rFonts w:ascii="Arial" w:cs="Arial" w:eastAsia="Arial" w:hAnsi="Arial"/>
                <w:sz w:val="18"/>
                <w:szCs w:val="18"/>
                <w:color w:val="auto"/>
              </w:rPr>
              <w:t>4.2</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4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largest debt investments in our portfolio may vary from period to period as new debt investments are originated and existing debt investments are repaid. Our five largest debt investments represented 32% and 29% of total debt investments outstanding as of September 30, 2018 and December 31, 2017, respectively. No single debt investment represented more than 10% of our total debt investments as of September 30, 2018 and 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investment asset quality</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use an internal credit rating system which rates each debt investment on a scale of 4 to 1, with 4 being the highest credit quality rating and 3 being the rating for a standard level of risk. A rating of 2 represents an increased level of risk and, while no loss is currently anticipated for a 2-rated debt investment, there is potential for future loss of principal. A rating of 1 represents a deteriorating credit quality and a high degree of risk of loss of principal. Our internal credit rating system is not a national credit rating system. As of September 30, 2018 and December 31, 2017, our debt investments had a weighted average credit rating of 3.0. The following table shows the classification of our debt investment portfolio by credit rating as of September 30, 2018 and December 31, 2017: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6"/>
          </w:tcPr>
          <w:p>
            <w:pPr>
              <w:ind w:left="80"/>
              <w:spacing w:after="0"/>
              <w:rPr>
                <w:sz w:val="20"/>
                <w:szCs w:val="20"/>
                <w:color w:val="auto"/>
              </w:rPr>
            </w:pPr>
            <w:r>
              <w:rPr>
                <w:rFonts w:ascii="Arial" w:cs="Arial" w:eastAsia="Arial" w:hAnsi="Arial"/>
                <w:sz w:val="18"/>
                <w:szCs w:val="18"/>
                <w:b w:val="1"/>
                <w:bCs w:val="1"/>
                <w:color w:val="auto"/>
              </w:rPr>
              <w:t>September 30, 2018</w:t>
            </w:r>
          </w:p>
        </w:tc>
        <w:tc>
          <w:tcPr>
            <w:tcW w:w="1020" w:type="dxa"/>
            <w:vAlign w:val="bottom"/>
          </w:tcPr>
          <w:p>
            <w:pPr>
              <w:spacing w:after="0"/>
              <w:rPr>
                <w:sz w:val="20"/>
                <w:szCs w:val="20"/>
                <w:color w:val="auto"/>
              </w:rPr>
            </w:pPr>
          </w:p>
        </w:tc>
        <w:tc>
          <w:tcPr>
            <w:tcW w:w="2520" w:type="dxa"/>
            <w:vAlign w:val="bottom"/>
            <w:gridSpan w:val="7"/>
          </w:tcPr>
          <w:p>
            <w:pPr>
              <w:jc w:val="right"/>
              <w:ind w:right="1040"/>
              <w:spacing w:after="0"/>
              <w:rPr>
                <w:sz w:val="20"/>
                <w:szCs w:val="20"/>
                <w:color w:val="auto"/>
              </w:rPr>
            </w:pPr>
            <w:r>
              <w:rPr>
                <w:rFonts w:ascii="Arial" w:cs="Arial" w:eastAsia="Arial" w:hAnsi="Arial"/>
                <w:sz w:val="18"/>
                <w:szCs w:val="18"/>
                <w:b w:val="1"/>
                <w:bCs w:val="1"/>
                <w:color w:val="auto"/>
                <w:w w:val="90"/>
              </w:rPr>
              <w:t>December 31, 2017</w:t>
            </w:r>
          </w:p>
        </w:tc>
      </w:tr>
      <w:tr>
        <w:trPr>
          <w:trHeight w:val="191"/>
        </w:trPr>
        <w:tc>
          <w:tcPr>
            <w:tcW w:w="36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Debt</w:t>
            </w: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600"/>
              <w:spacing w:after="0" w:line="191" w:lineRule="exact"/>
              <w:rPr>
                <w:sz w:val="20"/>
                <w:szCs w:val="20"/>
                <w:color w:val="auto"/>
              </w:rPr>
            </w:pPr>
            <w:r>
              <w:rPr>
                <w:rFonts w:ascii="Arial" w:cs="Arial" w:eastAsia="Arial" w:hAnsi="Arial"/>
                <w:sz w:val="18"/>
                <w:szCs w:val="18"/>
                <w:b w:val="1"/>
                <w:bCs w:val="1"/>
                <w:color w:val="auto"/>
              </w:rPr>
              <w:t>Debt</w:t>
            </w:r>
          </w:p>
        </w:tc>
        <w:tc>
          <w:tcPr>
            <w:tcW w:w="1080" w:type="dxa"/>
            <w:vAlign w:val="bottom"/>
            <w:tcBorders>
              <w:top w:val="single" w:sz="8" w:color="auto"/>
            </w:tcBorders>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86"/>
              </w:rPr>
              <w:t>Percentage</w:t>
            </w:r>
          </w:p>
        </w:tc>
      </w:tr>
      <w:tr>
        <w:trPr>
          <w:trHeight w:val="216"/>
        </w:trPr>
        <w:tc>
          <w:tcPr>
            <w:tcW w:w="364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Number of</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6"/>
              </w:rPr>
              <w:t>Investments at</w:t>
            </w:r>
          </w:p>
        </w:tc>
        <w:tc>
          <w:tcPr>
            <w:tcW w:w="100" w:type="dxa"/>
            <w:vAlign w:val="bottom"/>
          </w:tcPr>
          <w:p>
            <w:pPr>
              <w:spacing w:after="0"/>
              <w:rPr>
                <w:sz w:val="18"/>
                <w:szCs w:val="18"/>
                <w:color w:val="auto"/>
              </w:rPr>
            </w:pPr>
          </w:p>
        </w:tc>
        <w:tc>
          <w:tcPr>
            <w:tcW w:w="18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6"/>
              </w:rPr>
              <w:t>Percentage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Investments at</w:t>
            </w: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of Debt</w:t>
            </w:r>
          </w:p>
        </w:tc>
      </w:tr>
      <w:tr>
        <w:trPr>
          <w:trHeight w:val="234"/>
        </w:trPr>
        <w:tc>
          <w:tcPr>
            <w:tcW w:w="3640" w:type="dxa"/>
            <w:vAlign w:val="bottom"/>
          </w:tcPr>
          <w:p>
            <w:pPr>
              <w:spacing w:after="0"/>
              <w:rPr>
                <w:sz w:val="20"/>
                <w:szCs w:val="20"/>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Investments</w:t>
            </w: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Fair Value</w:t>
            </w:r>
          </w:p>
        </w:tc>
        <w:tc>
          <w:tcPr>
            <w:tcW w:w="19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9"/>
              </w:rPr>
              <w:t>of Debt Investments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Investments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Fair Value</w:t>
            </w: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Investments</w:t>
            </w:r>
          </w:p>
        </w:tc>
      </w:tr>
      <w:tr>
        <w:trPr>
          <w:trHeight w:val="210"/>
        </w:trPr>
        <w:tc>
          <w:tcPr>
            <w:tcW w:w="36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20" w:type="dxa"/>
            <w:vAlign w:val="bottom"/>
            <w:tcBorders>
              <w:top w:val="single" w:sz="8" w:color="auto"/>
            </w:tcBorders>
            <w:gridSpan w:val="4"/>
          </w:tcPr>
          <w:p>
            <w:pPr>
              <w:ind w:left="520"/>
              <w:spacing w:after="0"/>
              <w:rPr>
                <w:sz w:val="20"/>
                <w:szCs w:val="20"/>
                <w:color w:val="auto"/>
              </w:rPr>
            </w:pPr>
            <w:r>
              <w:rPr>
                <w:rFonts w:ascii="Arial" w:cs="Arial" w:eastAsia="Arial" w:hAnsi="Arial"/>
                <w:sz w:val="18"/>
                <w:szCs w:val="18"/>
                <w:b w:val="1"/>
                <w:bCs w:val="1"/>
                <w:color w:val="auto"/>
              </w:rPr>
              <w:t>(Dollars in thousands)</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Credit Rating</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640" w:type="dxa"/>
            <w:vAlign w:val="bottom"/>
          </w:tcPr>
          <w:p>
            <w:pPr>
              <w:jc w:val="right"/>
              <w:ind w:right="3210"/>
              <w:spacing w:after="0"/>
              <w:rPr>
                <w:sz w:val="20"/>
                <w:szCs w:val="20"/>
                <w:color w:val="auto"/>
              </w:rPr>
            </w:pPr>
            <w:r>
              <w:rPr>
                <w:rFonts w:ascii="Arial" w:cs="Arial" w:eastAsia="Arial" w:hAnsi="Arial"/>
                <w:sz w:val="18"/>
                <w:szCs w:val="18"/>
                <w:color w:val="auto"/>
              </w:rPr>
              <w:t>4</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30,646</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18,701</w:t>
            </w: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9.2%</w:t>
            </w:r>
          </w:p>
        </w:tc>
      </w:tr>
      <w:tr>
        <w:trPr>
          <w:trHeight w:val="216"/>
        </w:trPr>
        <w:tc>
          <w:tcPr>
            <w:tcW w:w="3640" w:type="dxa"/>
            <w:vAlign w:val="bottom"/>
            <w:shd w:val="clear" w:color="auto" w:fill="CCEEFF"/>
          </w:tcPr>
          <w:p>
            <w:pPr>
              <w:jc w:val="right"/>
              <w:ind w:right="3210"/>
              <w:spacing w:after="0"/>
              <w:rPr>
                <w:sz w:val="20"/>
                <w:szCs w:val="20"/>
                <w:color w:val="auto"/>
              </w:rPr>
            </w:pPr>
            <w:r>
              <w:rPr>
                <w:rFonts w:ascii="Arial" w:cs="Arial" w:eastAsia="Arial" w:hAnsi="Arial"/>
                <w:sz w:val="18"/>
                <w:szCs w:val="18"/>
                <w:color w:val="auto"/>
              </w:rPr>
              <w:t>3</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163,753</w:t>
            </w:r>
          </w:p>
        </w:tc>
        <w:tc>
          <w:tcPr>
            <w:tcW w:w="180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176,560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40" w:type="dxa"/>
            <w:vAlign w:val="bottom"/>
            <w:shd w:val="clear" w:color="auto" w:fill="CCEEFF"/>
          </w:tcPr>
          <w:p>
            <w:pPr>
              <w:spacing w:after="0"/>
              <w:rPr>
                <w:sz w:val="18"/>
                <w:szCs w:val="18"/>
                <w:color w:val="auto"/>
              </w:rPr>
            </w:pPr>
          </w:p>
        </w:tc>
      </w:tr>
      <w:tr>
        <w:trPr>
          <w:trHeight w:val="216"/>
        </w:trPr>
        <w:tc>
          <w:tcPr>
            <w:tcW w:w="3640" w:type="dxa"/>
            <w:vAlign w:val="bottom"/>
          </w:tcPr>
          <w:p>
            <w:pPr>
              <w:jc w:val="right"/>
              <w:ind w:right="3210"/>
              <w:spacing w:after="0"/>
              <w:rPr>
                <w:sz w:val="20"/>
                <w:szCs w:val="20"/>
                <w:color w:val="auto"/>
              </w:rPr>
            </w:pPr>
            <w:r>
              <w:rPr>
                <w:rFonts w:ascii="Arial" w:cs="Arial" w:eastAsia="Arial" w:hAnsi="Arial"/>
                <w:sz w:val="18"/>
                <w:szCs w:val="18"/>
                <w:color w:val="auto"/>
              </w:rPr>
              <w:t>2</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20,745</w:t>
            </w:r>
          </w:p>
        </w:tc>
        <w:tc>
          <w:tcPr>
            <w:tcW w:w="1800" w:type="dxa"/>
            <w:vAlign w:val="bottom"/>
            <w:gridSpan w:val="3"/>
          </w:tcPr>
          <w:p>
            <w:pPr>
              <w:jc w:val="right"/>
              <w:ind w:right="7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5,632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r>
      <w:tr>
        <w:trPr>
          <w:trHeight w:val="230"/>
        </w:trPr>
        <w:tc>
          <w:tcPr>
            <w:tcW w:w="3640" w:type="dxa"/>
            <w:vAlign w:val="bottom"/>
            <w:shd w:val="clear" w:color="auto" w:fill="CCEEFF"/>
          </w:tcPr>
          <w:p>
            <w:pPr>
              <w:jc w:val="right"/>
              <w:ind w:right="3210"/>
              <w:spacing w:after="0"/>
              <w:rPr>
                <w:sz w:val="20"/>
                <w:szCs w:val="20"/>
                <w:color w:val="auto"/>
              </w:rPr>
            </w:pPr>
            <w:r>
              <w:rPr>
                <w:rFonts w:ascii="Arial" w:cs="Arial" w:eastAsia="Arial" w:hAnsi="Arial"/>
                <w:sz w:val="18"/>
                <w:szCs w:val="18"/>
                <w:color w:val="auto"/>
              </w:rPr>
              <w:t>1</w:t>
            </w:r>
          </w:p>
        </w:tc>
        <w:tc>
          <w:tcPr>
            <w:tcW w:w="11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33</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215,144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203,793</w:t>
            </w:r>
          </w:p>
        </w:tc>
        <w:tc>
          <w:tcPr>
            <w:tcW w:w="2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36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2018, there were no debt investments with an internal credit rating of 1. As of December 31, 2017, there was one debt investment with an internal credit rating of 1, with a cost of $3.0 million and a fair value of $2.9 million.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Horizon Secured Loan Fund I LLC</w:t>
      </w:r>
    </w:p>
    <w:p>
      <w:pPr>
        <w:spacing w:after="0" w:line="229" w:lineRule="exact"/>
        <w:rPr>
          <w:sz w:val="20"/>
          <w:szCs w:val="20"/>
          <w:color w:val="auto"/>
        </w:rPr>
      </w:pPr>
    </w:p>
    <w:p>
      <w:pPr>
        <w:jc w:val="both"/>
        <w:ind w:firstLine="492"/>
        <w:spacing w:after="0" w:line="273" w:lineRule="auto"/>
        <w:rPr>
          <w:sz w:val="20"/>
          <w:szCs w:val="20"/>
          <w:color w:val="auto"/>
        </w:rPr>
      </w:pPr>
      <w:r>
        <w:rPr>
          <w:rFonts w:ascii="Arial" w:cs="Arial" w:eastAsia="Arial" w:hAnsi="Arial"/>
          <w:sz w:val="17"/>
          <w:szCs w:val="17"/>
          <w:color w:val="auto"/>
        </w:rPr>
        <w:t>On June, 1 2018, we and Arena Sunset SPV, LLC (“Arena”) formed a joint venture, HSLFI, to make investments, either directly or indirectly through subsidiaries, primarily in the form of secured loans to development-stage companies in the technology, life science, healthcare information and services and cleantech industries. HSLFI was formed as a Delaware limited liability company and is not consolidated by either us or Arena for financial reporting purposes. Investments held by HSLFI are measured at fair value. As of September 30, 2018, HSLFI had total assets of $9.8 million. HSLFI’s portfolio consisted of debt investments in one portfolio company as of September 30, 2018. As of September 30, 2018, HSLFI had no investments on non-accrual status. HSLFI invests in portfolio companies in the same industries in which we may directly invest.</w:t>
      </w:r>
    </w:p>
    <w:p>
      <w:pPr>
        <w:spacing w:after="0" w:line="178"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color w:val="auto"/>
        </w:rPr>
        <w:t>We provide capital (in the form of cash or securities in portfolio companies) to HSLFI in exchange for limited liability company equity interests in HSLFI. As of September 30, 2018, we and Arena each owned 50.0% of the equity interests of HSLFI. Our investment in HSLFI consisted of an equity contribution of $4.3 million as of September 30, 2018. As of September 30, 2018, we had commitments to fund equity interests in HSLFI of $25.0 million, of which $20.7 was unfunded.</w:t>
      </w:r>
    </w:p>
    <w:p>
      <w:pPr>
        <w:spacing w:after="0" w:line="187" w:lineRule="exact"/>
        <w:rPr>
          <w:sz w:val="20"/>
          <w:szCs w:val="20"/>
          <w:color w:val="auto"/>
        </w:rPr>
      </w:pPr>
    </w:p>
    <w:p>
      <w:pPr>
        <w:jc w:val="both"/>
        <w:ind w:firstLine="492"/>
        <w:spacing w:after="0" w:line="276" w:lineRule="auto"/>
        <w:rPr>
          <w:sz w:val="20"/>
          <w:szCs w:val="20"/>
          <w:color w:val="auto"/>
        </w:rPr>
      </w:pPr>
      <w:r>
        <w:rPr>
          <w:rFonts w:ascii="Arial" w:cs="Arial" w:eastAsia="Arial" w:hAnsi="Arial"/>
          <w:sz w:val="17"/>
          <w:szCs w:val="17"/>
          <w:color w:val="auto"/>
        </w:rPr>
        <w:t>We and Arena each appointed two members to HSLFI’s four-person board of managers. All material decisions with respect to HSLFI, including those involving its investment portfolio, require unanimous approval of a quorum of the board of managers. Quorum is defined as (i) the presence of two members of the board of managers; provided that at least one individual is present that was elected, designated or appointed by each member; (ii) the presence of three members of the board of managers, provided that the individual that was elected, designated or appointed by the member with only one individual present will be entitled to cast two votes on each matter; or (iii) the presence of all four members of the board of managers.</w:t>
      </w:r>
    </w:p>
    <w:p>
      <w:pPr>
        <w:spacing w:after="0" w:line="17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Horizon Funding I, LLC (“HFI”) was formed as a Delaware limited liability company on June 1, 2018, with HSLFI as its sole equity member. HFI is a special purpose bankruptcy-remote entity and is a separate legal entity from HSLFI. Any assets conveyed to HFI are not available to creditors of HSLFI or any other entity other than HFI’s lenders.</w:t>
      </w:r>
    </w:p>
    <w:p>
      <w:pPr>
        <w:spacing w:after="0" w:line="181"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In addition, on June 1, 2018, HSLFI entered into a sale and servicing agreement with HFI, as Issuer, and us, as Servicer, pursuant to which HSLFI will sell or contribute to HFI certain secured loans made to certain portfolio companies. HFI entered into a Note Funding Agreement with several entities owned or affiliated with New York Life Insurance Company (“Noteholders”) for an aggregate purchase price of up to $100.0 million, with an accordion feature of up to $200.0 million at the mutual discretion and agreement of HSLFI and the Noteholders. The Note Funding Agreement has an investment period that ends on June 1, 2020, if not extended, followed by a five year amortization period and a scheduled final payment date of June 10, 2025, subject to any extension of the investment period. Any notes issued by HFI will be collateralized by all investments held by HFI and permit an advance rate of up to 67% of the aggregate principal amount of eligible debt investments. The interest rate is based on the three year USD mid-market swap rate plus a margin of between 2.75% and 3.25% depending on the rating of the notes at the time the amount is borrowed. There were no advances made by the Noteholders as of September 30, 2018.</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6700" w:type="dxa"/>
            <w:vAlign w:val="bottom"/>
          </w:tcPr>
          <w:p>
            <w:pPr>
              <w:ind w:left="200"/>
              <w:spacing w:after="0"/>
              <w:rPr>
                <w:sz w:val="20"/>
                <w:szCs w:val="20"/>
                <w:color w:val="auto"/>
              </w:rPr>
            </w:pPr>
            <w:r>
              <w:rPr>
                <w:rFonts w:ascii="Arial" w:cs="Arial" w:eastAsia="Arial" w:hAnsi="Arial"/>
                <w:sz w:val="18"/>
                <w:szCs w:val="18"/>
                <w:color w:val="auto"/>
              </w:rPr>
              <w:t>The following table shows a summary of HSLFI’s investment portfolio:</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6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For the period</w:t>
            </w:r>
          </w:p>
        </w:tc>
      </w:tr>
      <w:tr>
        <w:trPr>
          <w:trHeight w:val="216"/>
        </w:trPr>
        <w:tc>
          <w:tcPr>
            <w:tcW w:w="6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For the three</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June 1, 2018</w:t>
            </w:r>
          </w:p>
        </w:tc>
      </w:tr>
      <w:tr>
        <w:trPr>
          <w:trHeight w:val="216"/>
        </w:trPr>
        <w:tc>
          <w:tcPr>
            <w:tcW w:w="6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7"/>
              </w:rPr>
              <w:t>months ended,</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through</w:t>
            </w:r>
          </w:p>
        </w:tc>
      </w:tr>
      <w:tr>
        <w:trPr>
          <w:trHeight w:val="216"/>
        </w:trPr>
        <w:tc>
          <w:tcPr>
            <w:tcW w:w="6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9"/>
              </w:rPr>
              <w:t>September 30,</w:t>
            </w:r>
          </w:p>
        </w:tc>
        <w:tc>
          <w:tcPr>
            <w:tcW w:w="14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67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Pr>
          <w:p>
            <w:pPr>
              <w:spacing w:after="0"/>
              <w:rPr>
                <w:sz w:val="20"/>
                <w:szCs w:val="20"/>
                <w:color w:val="auto"/>
              </w:rPr>
            </w:pPr>
          </w:p>
        </w:tc>
      </w:tr>
      <w:tr>
        <w:trPr>
          <w:trHeight w:val="210"/>
        </w:trPr>
        <w:tc>
          <w:tcPr>
            <w:tcW w:w="67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(Dollars in thousands)</w:t>
            </w:r>
          </w:p>
        </w:tc>
        <w:tc>
          <w:tcPr>
            <w:tcW w:w="16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8,147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8,147</w:t>
            </w:r>
          </w:p>
        </w:tc>
        <w:tc>
          <w:tcPr>
            <w:tcW w:w="160" w:type="dxa"/>
            <w:vAlign w:val="bottom"/>
            <w:shd w:val="clear" w:color="auto" w:fill="CCEEFF"/>
          </w:tcPr>
          <w:p>
            <w:pPr>
              <w:spacing w:after="0"/>
              <w:rPr>
                <w:sz w:val="18"/>
                <w:szCs w:val="18"/>
                <w:color w:val="auto"/>
              </w:rPr>
            </w:pPr>
          </w:p>
        </w:tc>
      </w:tr>
      <w:tr>
        <w:trPr>
          <w:trHeight w:val="257"/>
        </w:trPr>
        <w:tc>
          <w:tcPr>
            <w:tcW w:w="6700" w:type="dxa"/>
            <w:vAlign w:val="bottom"/>
          </w:tcPr>
          <w:p>
            <w:pPr>
              <w:spacing w:after="0" w:line="256" w:lineRule="exact"/>
              <w:rPr>
                <w:sz w:val="20"/>
                <w:szCs w:val="20"/>
                <w:color w:val="auto"/>
              </w:rPr>
            </w:pPr>
            <w:r>
              <w:rPr>
                <w:rFonts w:ascii="Arial" w:cs="Arial" w:eastAsia="Arial" w:hAnsi="Arial"/>
                <w:sz w:val="18"/>
                <w:szCs w:val="18"/>
                <w:color w:val="auto"/>
              </w:rPr>
              <w:t>Dollar-weighted annualized yield on average debt investments</w:t>
            </w:r>
            <w:r>
              <w:rPr>
                <w:rFonts w:ascii="Arial" w:cs="Arial" w:eastAsia="Arial" w:hAnsi="Arial"/>
                <w:sz w:val="29"/>
                <w:szCs w:val="29"/>
                <w:color w:val="auto"/>
                <w:vertAlign w:val="superscript"/>
              </w:rPr>
              <w:t>(1)</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22"/>
                <w:szCs w:val="22"/>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in HSLFI</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Largest portfolio company investment at fair value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8,147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8,147</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4" w:lineRule="exact"/>
        <w:rPr>
          <w:sz w:val="20"/>
          <w:szCs w:val="20"/>
          <w:color w:val="auto"/>
        </w:rPr>
      </w:pPr>
    </w:p>
    <w:p>
      <w:pPr>
        <w:jc w:val="both"/>
        <w:ind w:left="340" w:hanging="332"/>
        <w:spacing w:after="0" w:line="259"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HSLFI calculates the yield on dollar-weighted average debt investments for any period measured as (1) total investment income during the period divided by (2) the average of the fair value of debt investments outstanding on (a) the last day of the calendar month immediately preceding the first day of the period and (b) the last day of each calendar month during the period. The yield on dollar-weighted average debt investments represents the portfolio yield and does not reflect expenses.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ind w:left="500"/>
        <w:spacing w:after="0"/>
        <w:rPr>
          <w:sz w:val="20"/>
          <w:szCs w:val="20"/>
          <w:color w:val="auto"/>
        </w:rPr>
      </w:pPr>
      <w:r>
        <w:rPr>
          <w:rFonts w:ascii="Arial" w:cs="Arial" w:eastAsia="Arial" w:hAnsi="Arial"/>
          <w:sz w:val="18"/>
          <w:szCs w:val="18"/>
          <w:color w:val="auto"/>
        </w:rPr>
        <w:t>The following table shows HSLFI’s individual investments as of September 30,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Cost of</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71"/>
        </w:trPr>
        <w:tc>
          <w:tcPr>
            <w:tcW w:w="3340" w:type="dxa"/>
            <w:vAlign w:val="bottom"/>
            <w:gridSpan w:val="3"/>
          </w:tcPr>
          <w:p>
            <w:pPr>
              <w:spacing w:after="0" w:line="271" w:lineRule="exact"/>
              <w:rPr>
                <w:sz w:val="20"/>
                <w:szCs w:val="20"/>
                <w:color w:val="auto"/>
              </w:rPr>
            </w:pPr>
            <w:r>
              <w:rPr>
                <w:rFonts w:ascii="Arial" w:cs="Arial" w:eastAsia="Arial" w:hAnsi="Arial"/>
                <w:sz w:val="18"/>
                <w:szCs w:val="18"/>
                <w:b w:val="1"/>
                <w:bCs w:val="1"/>
                <w:color w:val="auto"/>
              </w:rPr>
              <w:t xml:space="preserve">Portfolio Company </w:t>
            </w:r>
            <w:r>
              <w:rPr>
                <w:rFonts w:ascii="Arial" w:cs="Arial" w:eastAsia="Arial" w:hAnsi="Arial"/>
                <w:sz w:val="30"/>
                <w:szCs w:val="30"/>
                <w:b w:val="1"/>
                <w:bCs w:val="1"/>
                <w:color w:val="auto"/>
                <w:vertAlign w:val="superscript"/>
              </w:rPr>
              <w:t>(1)</w:t>
            </w:r>
          </w:p>
        </w:tc>
        <w:tc>
          <w:tcPr>
            <w:tcW w:w="1120" w:type="dxa"/>
            <w:vAlign w:val="bottom"/>
            <w:gridSpan w:val="2"/>
          </w:tcPr>
          <w:p>
            <w:pPr>
              <w:ind w:left="260"/>
              <w:spacing w:after="0"/>
              <w:rPr>
                <w:sz w:val="20"/>
                <w:szCs w:val="20"/>
                <w:color w:val="auto"/>
              </w:rPr>
            </w:pPr>
            <w:r>
              <w:rPr>
                <w:rFonts w:ascii="Arial" w:cs="Arial" w:eastAsia="Arial" w:hAnsi="Arial"/>
                <w:sz w:val="18"/>
                <w:szCs w:val="18"/>
                <w:b w:val="1"/>
                <w:bCs w:val="1"/>
                <w:color w:val="auto"/>
              </w:rPr>
              <w:t>Sector</w:t>
            </w:r>
          </w:p>
        </w:tc>
        <w:tc>
          <w:tcPr>
            <w:tcW w:w="3420" w:type="dxa"/>
            <w:vAlign w:val="bottom"/>
          </w:tcPr>
          <w:p>
            <w:pPr>
              <w:jc w:val="center"/>
              <w:spacing w:after="0" w:line="271" w:lineRule="exact"/>
              <w:rPr>
                <w:sz w:val="20"/>
                <w:szCs w:val="20"/>
                <w:color w:val="auto"/>
              </w:rPr>
            </w:pPr>
            <w:r>
              <w:rPr>
                <w:rFonts w:ascii="Arial" w:cs="Arial" w:eastAsia="Arial" w:hAnsi="Arial"/>
                <w:sz w:val="18"/>
                <w:szCs w:val="18"/>
                <w:b w:val="1"/>
                <w:bCs w:val="1"/>
                <w:color w:val="auto"/>
                <w:w w:val="84"/>
              </w:rPr>
              <w:t xml:space="preserve">Type of Investment </w:t>
            </w:r>
            <w:r>
              <w:rPr>
                <w:rFonts w:ascii="Arial" w:cs="Arial" w:eastAsia="Arial" w:hAnsi="Arial"/>
                <w:sz w:val="30"/>
                <w:szCs w:val="30"/>
                <w:b w:val="1"/>
                <w:bCs w:val="1"/>
                <w:color w:val="auto"/>
                <w:w w:val="84"/>
                <w:vertAlign w:val="superscript"/>
              </w:rPr>
              <w:t>(2)(3)(4)</w:t>
            </w:r>
          </w:p>
        </w:tc>
        <w:tc>
          <w:tcPr>
            <w:tcW w:w="100" w:type="dxa"/>
            <w:vAlign w:val="bottom"/>
          </w:tcPr>
          <w:p>
            <w:pPr>
              <w:spacing w:after="0"/>
              <w:rPr>
                <w:sz w:val="23"/>
                <w:szCs w:val="23"/>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4"/>
              </w:rPr>
              <w:t>Amount</w:t>
            </w:r>
          </w:p>
        </w:tc>
        <w:tc>
          <w:tcPr>
            <w:tcW w:w="1320" w:type="dxa"/>
            <w:vAlign w:val="bottom"/>
            <w:gridSpan w:val="4"/>
          </w:tcPr>
          <w:p>
            <w:pPr>
              <w:ind w:left="100"/>
              <w:spacing w:after="0" w:line="271" w:lineRule="exact"/>
              <w:rPr>
                <w:sz w:val="20"/>
                <w:szCs w:val="20"/>
                <w:color w:val="auto"/>
              </w:rPr>
            </w:pPr>
            <w:r>
              <w:rPr>
                <w:rFonts w:ascii="Arial" w:cs="Arial" w:eastAsia="Arial" w:hAnsi="Arial"/>
                <w:sz w:val="18"/>
                <w:szCs w:val="18"/>
                <w:b w:val="1"/>
                <w:bCs w:val="1"/>
                <w:color w:val="auto"/>
                <w:w w:val="92"/>
              </w:rPr>
              <w:t>Investments</w:t>
            </w:r>
            <w:r>
              <w:rPr>
                <w:rFonts w:ascii="Arial" w:cs="Arial" w:eastAsia="Arial" w:hAnsi="Arial"/>
                <w:sz w:val="30"/>
                <w:szCs w:val="30"/>
                <w:b w:val="1"/>
                <w:bCs w:val="1"/>
                <w:color w:val="auto"/>
                <w:w w:val="92"/>
                <w:vertAlign w:val="superscript"/>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center"/>
              <w:ind w:right="240"/>
              <w:spacing w:after="0" w:line="271" w:lineRule="exact"/>
              <w:rPr>
                <w:sz w:val="20"/>
                <w:szCs w:val="20"/>
                <w:color w:val="auto"/>
              </w:rPr>
            </w:pPr>
            <w:r>
              <w:rPr>
                <w:rFonts w:ascii="Arial" w:cs="Arial" w:eastAsia="Arial" w:hAnsi="Arial"/>
                <w:sz w:val="18"/>
                <w:szCs w:val="18"/>
                <w:b w:val="1"/>
                <w:bCs w:val="1"/>
                <w:color w:val="auto"/>
                <w:w w:val="85"/>
              </w:rPr>
              <w:t xml:space="preserve">Value </w:t>
            </w:r>
            <w:r>
              <w:rPr>
                <w:rFonts w:ascii="Arial" w:cs="Arial" w:eastAsia="Arial" w:hAnsi="Arial"/>
                <w:sz w:val="30"/>
                <w:szCs w:val="30"/>
                <w:b w:val="1"/>
                <w:bCs w:val="1"/>
                <w:color w:val="auto"/>
                <w:w w:val="85"/>
                <w:vertAlign w:val="superscript"/>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Debt Investments — Technology</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New Signature US, Inc. (7)</w:t>
            </w:r>
          </w:p>
        </w:tc>
        <w:tc>
          <w:tcPr>
            <w:tcW w:w="1120" w:type="dxa"/>
            <w:vAlign w:val="bottom"/>
            <w:gridSpan w:val="2"/>
          </w:tcPr>
          <w:p>
            <w:pPr>
              <w:spacing w:after="0" w:line="201" w:lineRule="exact"/>
              <w:rPr>
                <w:sz w:val="20"/>
                <w:szCs w:val="20"/>
                <w:color w:val="auto"/>
              </w:rPr>
            </w:pPr>
            <w:r>
              <w:rPr>
                <w:rFonts w:ascii="Arial" w:cs="Arial" w:eastAsia="Arial" w:hAnsi="Arial"/>
                <w:sz w:val="18"/>
                <w:szCs w:val="18"/>
                <w:color w:val="auto"/>
              </w:rPr>
              <w:t>Software</w:t>
            </w: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Term Loan (10.60% cash (Libor + 8.50%;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Floor 10.50%), 3.50% ETP, Due 7/1/21)</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8,250</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8,089</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Debt Investments — Technology</w:t>
            </w: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Warrant Investments — Technology</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BSI Platform Holdings, LLC (7)</w:t>
            </w:r>
          </w:p>
        </w:tc>
        <w:tc>
          <w:tcPr>
            <w:tcW w:w="112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3420" w:type="dxa"/>
            <w:vAlign w:val="bottom"/>
          </w:tcPr>
          <w:p>
            <w:pPr>
              <w:spacing w:after="0"/>
              <w:rPr>
                <w:sz w:val="20"/>
                <w:szCs w:val="20"/>
                <w:color w:val="auto"/>
              </w:rPr>
            </w:pPr>
            <w:r>
              <w:rPr>
                <w:rFonts w:ascii="Arial" w:cs="Arial" w:eastAsia="Arial" w:hAnsi="Arial"/>
                <w:sz w:val="18"/>
                <w:szCs w:val="18"/>
                <w:color w:val="auto"/>
              </w:rPr>
              <w:t>412,500 Preferred Stock Warrants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9"/>
              </w:rPr>
              <w:t>Total Warrant Investments — Technology</w:t>
            </w: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 Assets</w:t>
            </w: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8,146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660" w:hanging="652"/>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investments of HSLFI are in entities which are organized under the laws of the United States and have a principal place of business in the United States.</w:t>
      </w:r>
    </w:p>
    <w:p>
      <w:pPr>
        <w:spacing w:after="0" w:line="170"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interest is payable in cash due monthly in arrears, unless otherwise indicated, and applies only to HSLFI’s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the London InterBank Offered Rate, or LIBOR, are based on one-month LIBOR. For each debt investment, the current interest rate in effect as of September 30, 2018 is provided.</w:t>
      </w:r>
    </w:p>
    <w:p>
      <w:pPr>
        <w:spacing w:after="0" w:line="188"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Warrants are non-income producing.</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debt investments, represents principal balance less unearned income.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fair value of the investment was valued using significant unobservable inputs.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Signature US, Inc. is a subsidiary of BSI Platform Holdings, LLC.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HSLFI’s unfunded commitments by portfolio company as of September 30,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rPr>
              <w:t>September 30, 2018</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66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2"/>
              </w:rPr>
              <w:t>Fair Value of</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Unfunded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Principal</w:t>
            </w:r>
          </w:p>
        </w:tc>
        <w:tc>
          <w:tcPr>
            <w:tcW w:w="12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Commitment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86"/>
              </w:rPr>
              <w:t>Balance</w:t>
            </w:r>
          </w:p>
        </w:tc>
        <w:tc>
          <w:tcPr>
            <w:tcW w:w="9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6"/>
              </w:rPr>
              <w:t>Liability</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New Signature US, Inc.</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3,000</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Total</w:t>
            </w:r>
          </w:p>
        </w:tc>
        <w:tc>
          <w:tcPr>
            <w:tcW w:w="4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360" w:type="dxa"/>
            <w:vAlign w:val="bottom"/>
            <w:vMerge w:val="restart"/>
          </w:tcPr>
          <w:p>
            <w:pPr>
              <w:jc w:val="right"/>
              <w:ind w:right="2450"/>
              <w:spacing w:after="0"/>
              <w:rPr>
                <w:sz w:val="20"/>
                <w:szCs w:val="20"/>
                <w:color w:val="auto"/>
              </w:rPr>
            </w:pPr>
            <w:r>
              <w:rPr>
                <w:rFonts w:ascii="Arial" w:cs="Arial" w:eastAsia="Arial" w:hAnsi="Arial"/>
                <w:sz w:val="18"/>
                <w:szCs w:val="18"/>
                <w:color w:val="auto"/>
              </w:rPr>
              <w:t>47</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6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48" w:name="page49"/>
    <w:bookmarkEnd w:id="48"/>
    <w:p>
      <w:pPr>
        <w:ind w:firstLine="324"/>
        <w:spacing w:after="0" w:line="277" w:lineRule="auto"/>
        <w:rPr>
          <w:sz w:val="20"/>
          <w:szCs w:val="20"/>
          <w:color w:val="auto"/>
        </w:rPr>
      </w:pPr>
      <w:r>
        <w:rPr>
          <w:rFonts w:ascii="Arial" w:cs="Arial" w:eastAsia="Arial" w:hAnsi="Arial"/>
          <w:sz w:val="18"/>
          <w:szCs w:val="18"/>
          <w:color w:val="auto"/>
        </w:rPr>
        <w:t>The following tables show certain summarized financial information for HSLFI as of September 30, 2018, for the three months ended September 30, 2018 and for the period June 1, 2018 through September 30,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9"/>
              </w:rPr>
              <w:t>2018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5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Statement of Assets and Liabilities Information</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Total investments at fair value (cost of $8,146)</w:t>
            </w:r>
          </w:p>
        </w:tc>
        <w:tc>
          <w:tcPr>
            <w:tcW w:w="100" w:type="dxa"/>
            <w:vAlign w:val="bottom"/>
          </w:tcPr>
          <w:p>
            <w:pPr>
              <w:spacing w:after="0"/>
              <w:rPr>
                <w:sz w:val="18"/>
                <w:szCs w:val="18"/>
                <w:color w:val="auto"/>
              </w:rPr>
            </w:pPr>
          </w:p>
        </w:tc>
        <w:tc>
          <w:tcPr>
            <w:tcW w:w="17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8,147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w:t>
            </w:r>
          </w:p>
        </w:tc>
        <w:tc>
          <w:tcPr>
            <w:tcW w:w="80" w:type="dxa"/>
            <w:vAlign w:val="bottom"/>
            <w:tcBorders>
              <w:bottom w:val="single" w:sz="8" w:color="CCEEFF"/>
            </w:tcBorders>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 w:type="dxa"/>
            <w:vAlign w:val="bottom"/>
            <w:vMerge w:val="restart"/>
          </w:tcPr>
          <w:p>
            <w:pPr>
              <w:spacing w:after="0"/>
              <w:rPr>
                <w:sz w:val="17"/>
                <w:szCs w:val="17"/>
                <w:color w:val="auto"/>
              </w:rPr>
            </w:pPr>
          </w:p>
        </w:tc>
        <w:tc>
          <w:tcPr>
            <w:tcW w:w="6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vMerge w:val="continue"/>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80" w:type="dxa"/>
            <w:vAlign w:val="bottom"/>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80" w:type="dxa"/>
            <w:vAlign w:val="bottom"/>
            <w:tcBorders>
              <w:bottom w:val="single" w:sz="8" w:color="CCEEFF"/>
            </w:tcBorders>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vMerge w:val="continue"/>
          </w:tcPr>
          <w:p>
            <w:pPr>
              <w:spacing w:after="0"/>
              <w:rPr>
                <w:sz w:val="19"/>
                <w:szCs w:val="19"/>
                <w:color w:val="auto"/>
              </w:rPr>
            </w:pPr>
          </w:p>
        </w:tc>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Members’ equity</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8,719</w:t>
            </w:r>
          </w:p>
        </w:tc>
        <w:tc>
          <w:tcPr>
            <w:tcW w:w="80" w:type="dxa"/>
            <w:vAlign w:val="bottom"/>
            <w:tcBorders>
              <w:bottom w:val="single" w:sz="8" w:color="CCEEFF"/>
            </w:tcBorders>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members’ equity</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80" w:type="dxa"/>
            <w:vAlign w:val="bottom"/>
            <w:tcBorders>
              <w:bottom w:val="single" w:sz="8" w:color="CCEEFF"/>
            </w:tcBorders>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88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2"/>
              </w:rPr>
              <w:t>For the period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2"/>
              </w:rPr>
              <w:t>For the three</w:t>
            </w:r>
          </w:p>
        </w:tc>
        <w:tc>
          <w:tcPr>
            <w:tcW w:w="154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9"/>
              </w:rPr>
              <w:t>June 1, 2018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89"/>
              </w:rPr>
              <w:t>months ended,</w:t>
            </w:r>
          </w:p>
        </w:tc>
        <w:tc>
          <w:tcPr>
            <w:tcW w:w="154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8"/>
              </w:rPr>
              <w:t>through</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89"/>
              </w:rPr>
              <w:t>September 30, 2018</w:t>
            </w:r>
          </w:p>
        </w:tc>
        <w:tc>
          <w:tcPr>
            <w:tcW w:w="19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September 30, 2018</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60" w:type="dxa"/>
            <w:vAlign w:val="bottom"/>
            <w:tcBorders>
              <w:top w:val="single" w:sz="8" w:color="auto"/>
            </w:tcBorders>
            <w:gridSpan w:val="5"/>
          </w:tcPr>
          <w:p>
            <w:pPr>
              <w:ind w:left="118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Selected Statements of Operations Information</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Interest income on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100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255</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100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165</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100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166</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BDC and a RIC, we are subject to certain constraints on our operations, including limitations imposed by the 1940 Act and the Code. The consolidated results of operations described below may not be indicative of the results we report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the three months ended September 30, 2018 and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consolidated results of operations for the three months ended September 30, 2018 and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1"/>
              </w:rPr>
              <w:t>For the Three Months Ended</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7,797</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expenses</w:t>
            </w:r>
          </w:p>
        </w:tc>
        <w:tc>
          <w:tcPr>
            <w:tcW w:w="3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4,841</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100" w:type="dxa"/>
            <w:vAlign w:val="bottom"/>
            <w:tcBorders>
              <w:bottom w:val="single" w:sz="8" w:color="CCEEFF"/>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Performance based incentive fee waived</w:t>
            </w:r>
          </w:p>
        </w:tc>
        <w:tc>
          <w:tcPr>
            <w:tcW w:w="3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expenses</w:t>
            </w:r>
          </w:p>
        </w:tc>
        <w:tc>
          <w:tcPr>
            <w:tcW w:w="3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2,977</w:t>
            </w:r>
          </w:p>
        </w:tc>
        <w:tc>
          <w:tcPr>
            <w:tcW w:w="100" w:type="dxa"/>
            <w:vAlign w:val="bottom"/>
            <w:tcBorders>
              <w:bottom w:val="single" w:sz="8" w:color="CCEEFF"/>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3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w w:val="99"/>
              </w:rPr>
              <w:t>Net unrealized appreciation (depreciation) on investments</w:t>
            </w:r>
          </w:p>
        </w:tc>
        <w:tc>
          <w:tcPr>
            <w:tcW w:w="3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3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4,259</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2,709</w:t>
            </w:r>
          </w:p>
        </w:tc>
        <w:tc>
          <w:tcPr>
            <w:tcW w:w="100" w:type="dxa"/>
            <w:vAlign w:val="bottom"/>
            <w:tcBorders>
              <w:bottom w:val="single" w:sz="8" w:color="CCEEFF"/>
            </w:tcBorders>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46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Average debt investments, at fair value</w:t>
            </w:r>
          </w:p>
        </w:tc>
        <w:tc>
          <w:tcPr>
            <w:tcW w:w="3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207,942</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163,797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20" w:type="dxa"/>
            <w:vAlign w:val="bottom"/>
            <w:vMerge w:val="restart"/>
          </w:tcPr>
          <w:p>
            <w:pPr>
              <w:spacing w:after="0"/>
              <w:rPr>
                <w:sz w:val="20"/>
                <w:szCs w:val="20"/>
                <w:color w:val="auto"/>
              </w:rPr>
            </w:pPr>
            <w:r>
              <w:rPr>
                <w:rFonts w:ascii="Arial" w:cs="Arial" w:eastAsia="Arial" w:hAnsi="Arial"/>
                <w:sz w:val="18"/>
                <w:szCs w:val="18"/>
                <w:color w:val="auto"/>
              </w:rPr>
              <w:t>Average borrowings outstanding</w:t>
            </w:r>
          </w:p>
        </w:tc>
        <w:tc>
          <w:tcPr>
            <w:tcW w:w="3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4620" w:type="dxa"/>
            <w:vAlign w:val="bottom"/>
            <w:vMerge w:val="continue"/>
          </w:tcPr>
          <w:p>
            <w:pPr>
              <w:spacing w:after="0"/>
              <w:rPr>
                <w:sz w:val="17"/>
                <w:szCs w:val="17"/>
                <w:color w:val="auto"/>
              </w:rPr>
            </w:pPr>
          </w:p>
        </w:tc>
        <w:tc>
          <w:tcPr>
            <w:tcW w:w="310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105,636</w:t>
            </w:r>
          </w:p>
        </w:tc>
        <w:tc>
          <w:tcPr>
            <w:tcW w:w="12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60,261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100" w:type="dxa"/>
            <w:vAlign w:val="bottom"/>
            <w:vMerge w:val="restart"/>
          </w:tcPr>
          <w:p>
            <w:pPr>
              <w:jc w:val="right"/>
              <w:ind w:right="239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80" w:type="dxa"/>
            <w:vAlign w:val="bottom"/>
            <w:tcBorders>
              <w:bottom w:val="single" w:sz="8" w:color="auto"/>
            </w:tcBorders>
          </w:tcPr>
          <w:p>
            <w:pPr>
              <w:spacing w:after="0"/>
              <w:rPr>
                <w:sz w:val="21"/>
                <w:szCs w:val="21"/>
                <w:color w:val="auto"/>
              </w:rPr>
            </w:pPr>
          </w:p>
        </w:tc>
        <w:tc>
          <w:tcPr>
            <w:tcW w:w="462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49" w:name="page50"/>
    <w:bookmarkEnd w:id="49"/>
    <w:p>
      <w:pPr>
        <w:jc w:val="both"/>
        <w:ind w:firstLine="324"/>
        <w:spacing w:after="0" w:line="264" w:lineRule="auto"/>
        <w:rPr>
          <w:sz w:val="20"/>
          <w:szCs w:val="20"/>
          <w:color w:val="auto"/>
        </w:rPr>
      </w:pPr>
      <w:r>
        <w:rPr>
          <w:rFonts w:ascii="Arial" w:cs="Arial" w:eastAsia="Arial" w:hAnsi="Arial"/>
          <w:sz w:val="18"/>
          <w:szCs w:val="18"/>
          <w:color w:val="auto"/>
        </w:rPr>
        <w:t>Net increase in net assets resulting from operations can vary substantially from period to period for various reasons, including the recognition of realized gains and losses and unrealized appreciation and depreciation on investments. As a result, quarterly comparisons of net increase in net assets resulting from operations may not be meaningful.</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Total investment income increased by $1.0 million, or 15.1%, to $7.8 million for the three months ended September 30, 2018 as compared to the three months ended September 30, 2017. For the three months ended September 30, 2018, total investment income consisted primarily of $7.3 million in interest income from investments, which included $1.3 million in income from the accretion of origination fees and end-of-term payments, or ETPs, and $0.4 million in fee income. Interest income on debt investments increased by $1.0 million, or 16.7%, for the three months ended September 30, 2018 compared to the three months ended September 30, 2017. Interest income on debt investments increased primarily due to an increase of $44.1 million, or 27.0%, in the average size of our debt investment portfolio which was partially offset by a decrease in accelerated ETPs related to prepayments for the three months ended September 30, 2018 as compared to the three months ended September 30, 2017. Fee income, which includes success fee and prepayment fee income on debt investments, decreased by $0.1 million, or 19.3%, to $0.4 million for the three months ended September 30, 2018 compared to the three months ended September 30, 2017 primarily due to a decrease in fees earned on lower principal prepayments received.</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three months ended September 30, 2018 and 2017, our dollar-weighted annualized yield on average debt investments (excluding any yield from warrants, equity, other investments and HSLFI) was 14.8% and 16.5%, respectively. We calculate the dollar-weighted yield on average debt investments for any period as (1) total investment income (excluding income from HSLFI) during the period divided by (2) the average of the fair value of debt investments outstanding on (a) the last day of the calendar month immediately preceding the first day of the period and (b) the last day of each calendar month during the period. The dollar-weighted annualized yield on average debt investments is higher than what investors will realize because it does not reflect our expenses or any sales load paid by investors.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three months ended September 30, 2018 and 2017, our investment portfolio (including any yield from warrants, equity and other investments but excluding any yield from HSLFI) had an overall total yield of 13.6% and 15.2%, respectively. We calculate the dollar-weighted yield on average investments for any period as (1) total investment income (excluding income from HSLFI) during the period divided by (2) the average of the fair value of investments outstanding (excluding HSLFI) on (a) the last day of the calendar month immediately preceding the first day of the period and (b) the last day of each calendar month during the period. The dollar-weighted annualized yield on average investments is higher than what investors will realize because it does not reflect our expenses or any sales load paid by investors.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Investment income, consisting of interest income and fees on debt investments, can fluctuate significantly upon repayment of large debt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from the five largest debt investments in the aggregate accounted for 31% and 26% of investment income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 respectively.</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expenses increased by $1.4 million, or 47.6%, to $4.4 million for the three months ended September 30, 2018 as compared to the three months ended September 30, 2017. Total expenses for each period consisted of interest expense, base management fee, incentive and administrative fees, professional fees and general and administrative expenses.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expense increased by $0.5 million, or 47.5%, to $1.7 million for the three months ended September 30, 2018 as compared to the three months ended September 30, 2017. Interest expense, which includes the amortization of debt issuance costs, increased primarily due to an increase in average borrowings of $45.4 million, or 75.3%, for the three months ended September 30, 2018 as compared to the three months ended September 30, 2017, which was partially offset by a decrease in our effective cost of debt.</w:t>
      </w:r>
    </w:p>
    <w:p>
      <w:pPr>
        <w:spacing w:after="0" w:line="18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Base management fee expense increased by $0.3 million, or 30.0%, to $1.2 million for the three months ended September 30, 2018 as compared to the three months ended September 30, 2017. Base management fee increased primarily due to an increase of $44.1 million, or 27.0%, in the average size of our investment portfolio for the three months ended September 30, 2018 as compared to the three months ended September 30, 2017.</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both"/>
        <w:ind w:firstLine="324"/>
        <w:spacing w:after="0" w:line="257" w:lineRule="auto"/>
        <w:rPr>
          <w:sz w:val="20"/>
          <w:szCs w:val="20"/>
          <w:color w:val="auto"/>
        </w:rPr>
      </w:pPr>
      <w:r>
        <w:rPr>
          <w:rFonts w:ascii="Arial" w:cs="Arial" w:eastAsia="Arial" w:hAnsi="Arial"/>
          <w:sz w:val="18"/>
          <w:szCs w:val="18"/>
          <w:color w:val="auto"/>
        </w:rPr>
        <w:t>On March 6, 2018, our Advisor irrevocably waived the receipt of incentive fees related to the amounts previously deferred that it may be entitled to receive under the Investment Management Agreement for the period commencing on January 1, 2018 and ending on December 31, 2018. Such waived incentive fees will not be subject to recoupment. During the three months ended September 30, 2018, our Advisor waived performance based incentive fees of $0.4 million which our Advisor would have otherwise earned. This resulted in $0.4 million of reduced expense and additional net investment income for the three months ended September 30, 2018.</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Performance based incentive fee expense, net of the waiver above, increased by $0.6 million, or 229.8%, to $0.9 million for the three months ended September 30, 2018 as compared to the three months ended September 30, 2017 due to an increase in the cap on incentive fees, or the Incentive Fee Cap, calculated based on the incentive fee cap and deferral mechanism in our Investment Management Agreement. The effect of the increase in the Incentive Fee Cap resulted in $0.6 million of reduced expense and additional net investment income for the three months ended September 30, 2017. The incentive fee on pre-incentive fee net investment income was subject to the Incentive Fee Cap for the three months ended September 30, 2017 due to the cumulative incentive fees paid exceeding 20% of cumulative pre-incentive fee net return since July 1, 2014.</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Administrative fee expense, professional fees and general and administrative remained flat at $0.7 million for the three months ended September 30, 2018 compared to the three months ended September 30, 2017.</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Net realized gains and losses and net unrealized appreciation and depreciation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Realized gains or losses on investments are measured by the difference between the net proceeds from the repayment or sale and the cost basis of our investments without regard to unrealized appreciation or depreciation previously recognized. Realized gains or losses on investments include investments charged off during the period, net of recoveries. The net change in unrealized appreciation or depreciation on investments primarily reflects the change in portfolio investment fair values during the reporting period, including the reversal of previously recorded unrealized appreciation or depreciation when gains or losses are realized.</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 months ended September 30, 2018, we realized net gains totaling $0.1 million primarily due to the termination of warrants upon the sale of two portfolio companies. During the three months ended September 30, 2017, we realized net losses totaling $0.4 million primarily due to the write off of warrants in two portfolio companies.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 months ended September 30, 2018, net unrealized appreciation on investments totaled $0.8 million which was primarily due to unrealized appreciation on our warrant investments. During the three months ended September 30, 2017, net unrealized depreciation on investments totaled $0.7 million which was primarily due to the unrealized depreciation on one debt investment.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Comparison of the nine months ended September 30, 2018 and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consolidated results of operations for the nine months ended September 30, 2018 and 2017:</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2"/>
              </w:rPr>
              <w:t>For the Nine Months Ended</w:t>
            </w:r>
          </w:p>
        </w:tc>
        <w:tc>
          <w:tcPr>
            <w:tcW w:w="0" w:type="dxa"/>
            <w:vAlign w:val="bottom"/>
          </w:tcPr>
          <w:p>
            <w:pPr>
              <w:spacing w:after="0"/>
              <w:rPr>
                <w:sz w:val="1"/>
                <w:szCs w:val="1"/>
                <w:color w:val="auto"/>
              </w:rPr>
            </w:pPr>
          </w:p>
        </w:tc>
      </w:tr>
      <w:tr>
        <w:trPr>
          <w:trHeight w:val="234"/>
        </w:trPr>
        <w:tc>
          <w:tcPr>
            <w:tcW w:w="5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expenses</w:t>
            </w:r>
          </w:p>
        </w:tc>
        <w:tc>
          <w:tcPr>
            <w:tcW w:w="17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12,988</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Performance based incentive fee waived</w:t>
            </w:r>
          </w:p>
        </w:tc>
        <w:tc>
          <w:tcPr>
            <w:tcW w:w="1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expenses</w:t>
            </w:r>
          </w:p>
        </w:tc>
        <w:tc>
          <w:tcPr>
            <w:tcW w:w="17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7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20"/>
                <w:szCs w:val="20"/>
                <w:color w:val="auto"/>
              </w:rPr>
            </w:pPr>
            <w:r>
              <w:rPr>
                <w:rFonts w:ascii="Arial" w:cs="Arial" w:eastAsia="Arial" w:hAnsi="Arial"/>
                <w:sz w:val="18"/>
                <w:szCs w:val="18"/>
                <w:color w:val="auto"/>
              </w:rPr>
              <w:t>Net realized loss on investments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7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7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9,792</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9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Average debt investments, at fair value</w:t>
            </w:r>
          </w:p>
        </w:tc>
        <w:tc>
          <w:tcPr>
            <w:tcW w:w="1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200,131</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168,187</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Average borrowings outstanding</w:t>
            </w:r>
          </w:p>
        </w:tc>
        <w:tc>
          <w:tcPr>
            <w:tcW w:w="17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vMerge w:val="continue"/>
          </w:tcPr>
          <w:p>
            <w:pPr>
              <w:spacing w:after="0"/>
              <w:rPr>
                <w:sz w:val="17"/>
                <w:szCs w:val="17"/>
                <w:color w:val="auto"/>
              </w:rPr>
            </w:pPr>
          </w:p>
        </w:tc>
        <w:tc>
          <w:tcPr>
            <w:tcW w:w="17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96,598</w:t>
            </w:r>
          </w:p>
        </w:tc>
        <w:tc>
          <w:tcPr>
            <w:tcW w:w="2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67,674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increase in net assets resulting from operations can vary substantially from period to period for various reasons, including the recognition of realized gains and losses and unrealized appreciation and depreciation on investments. As a result, quarterly comparisons of net increase in net assets resulting from operations may not be meaningful.</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Total investment income increased by $2.7 million, or 13.6%, to $22.3 million for the nine months ended September 30, 2018 as compared to the nine months ended September 30, 2017. For the nine months ended September 30, 2018, total investment income consisted primarily of $20.9 million in interest income from investments, which included $3.9 million in income from the accretion of origination fees and ETPs and $1.3 million in fee income. Interest income on debt investments increased by $3.0 million, or 16.6%, for the nine months ended September 30, 2018 compared to the nine months ended September 30, 2017. Interest income on debt investments increased primarily due to an increase of $31.9 million, or 19.0%, in the average size of our debt investment portfolio which was partially offset by a decrease in accelerated ETPs related to prepayments for the nine months ended September 30, 2018 as compared to the nine months ended September 30, 2017. Fee income, which includes success fee and prepayment fee income on debt investments, decreased by $0.4 million, or 22.9%, to $1.3 million primarily due to a decrease in fees earned on lower principal prepayments received during the nine months ended September 30, 2018 compared to the nine months ended September 30, 2017.</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nine months ended September 30, 2018 and 2017, our dollar-weighted annualized yield on average debt investments (excluding any yield from warrants, equity, other investments and HSLFI) was 14.8% and 15.5%, respectively. We calculate the dollar-weighted yield on average debt investments for any period as (1) total investment income (excluding income from HSLFI) during the period divided by (2) the average of the fair value of debt investments outstanding on (a) the last day of the calendar month immediately preceding the first day of the period and (b) the last day of each calendar month during the period. The dollar-weighted annualized yield on average debt investments is higher than what investors will realize because it does not reflect our expenses or any sales load paid by investors.</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nine months ended September 30, 2018 and 2017, our investment portfolio (including any yield from warrants, equity and other investments but excluding any yield from HSLFI) had an overall total yield of 13.5% and 14.5%, respectively. We calculate the dollar-weighted yield on average investments for any period as (1) total investment income (excluding income from HSLFI) during the period divided by (2) the average of the fair value of investments outstanding (excluding HSLFI) on (a) the last day of the calendar month immediately preceding the first day of the period and (b) the last day of each calendar month during the period. The dollar-weighted annualized yield on average investments is higher than what investors will realize because it does not reflect our expenses or any sales load paid by investors.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ind w:left="340"/>
        <w:spacing w:after="0"/>
        <w:rPr>
          <w:sz w:val="20"/>
          <w:szCs w:val="20"/>
          <w:color w:val="auto"/>
        </w:rPr>
      </w:pPr>
      <w:r>
        <w:rPr>
          <w:rFonts w:ascii="Arial" w:cs="Arial" w:eastAsia="Arial" w:hAnsi="Arial"/>
          <w:sz w:val="16"/>
          <w:szCs w:val="16"/>
          <w:color w:val="auto"/>
        </w:rPr>
        <w:t>Investment income, consisting of interest income and fees on debt investments, can fluctuate significantly upon repayment of large debt investments.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from the five largest debt investments in the aggregate accounted for 31% and 22% of investment income for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 respectively.</w:t>
      </w:r>
    </w:p>
    <w:p>
      <w:pPr>
        <w:spacing w:after="0" w:line="21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expenses increased by $2.7 million, or 27.7%, to $12.4 million for the nine months ended September 30, 2018 as compared to the nine months ended September 30, 2017. Total expenses for each period consisted of interest expense, base management fee, incentive and administrative fees, professional fees and general and administrative expenses.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expense increased by $1.1 million, or 30.4%, to $4.6 million for the nine months ended September 30, 2018 as compared to the nine months ended September 30, 2017. Interest expense, which includes the amortization of debt issuance costs, increased primarily due to an increase in average borrowings of $28.9 million, or 42.7%, for the nine months ended September 30, 2018 as compared to the nine months ended September 30, 2017, which was partially offset by a decrease in our effective cost of debt.</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Base management fee expense increased by $0.6 million, or 22.1%, to $3.4 million for the nine months ended September 30, 2018 as compared to the nine months ended September 30, 2017. Base management fee increased primarily due to an increase of $31.9 million, or 19.0%, in the average size of our investment portfolio for the nine months ended September 30, 2018 as compared to the nine months ended September 30, 2017.</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6, 2018, our Advisor irrevocably waived the receipt of incentive fees related to the amounts previously deferred that it may be entitled to receive under the Investment Management Agreement for the period commencing on January 1, 2018 and ending on December 31, 2018. Such waived incentive fees will not be subject to recoupment. During the nine months ended September 30, 2018, our Advisor waived performance based incentive fees of $0.6 million which our Advisor would have otherwise earned. This resulted in $0.6 million of reduced expense and additional net investment income for the nine months ended September 30, 2018.</w:t>
      </w:r>
    </w:p>
    <w:p>
      <w:pPr>
        <w:spacing w:after="0" w:line="18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Performance based incentive fee expense, net of waiver, increased by $1.1 million, or 102.7%, to $2.2 million for the nine months ended September 30, 2018 as compared to the nine months ended September 30, 2017 due to an increase in the Incentive Fee Cap calculated based on the incentive fee cap and deferral mechanism in our Investment Management Agreement. The effect of the Incentive Fee Cap resulted in $0.2 million and $1.3 million, respectively, of reduced expense and additional net investment income for the nine months ended September 30, 2018 and 2017. The incentive fee on pre-incentive fee net investment income was subject to the Incentive Fee Cap for the nine months ended September 30, 2018 and 2017 due to the cumulative incentive fees paid exceeding 20% of cumulative pre-incentive fee net return during the applicable quarter and the 11 preceding full calendar quarters.</w:t>
      </w:r>
    </w:p>
    <w:p>
      <w:pPr>
        <w:spacing w:after="0" w:line="16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Administrative fee expense, professional fees and general and administrative remained flat for the nine months ended September 30, 2018 compared to the nine months ended September 30, 2017.</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Net realized gains and losses and net unrealized appreciation and depreciation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Realized gains or losses on investments are measured by the difference between the net proceeds from the repayment or sale and the cost basis of our investments without regard to unrealized appreciation or depreciation previously recognized. Realized gains or losses on investments include investments charged off during the period, net of recoveries. The net change in unrealized appreciation or depreciation on investments primarily reflects the change in portfolio investment fair values during the reporting period, including the reversal of previously recorded unrealized appreciation or depreciation when gains or losses are realized.</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nine months ended September 30, 2018, we realized net losses totaling $0.2 million primarily due to the write off of warrants in nine portfolio companies partially offset by realized gains on the termination of warrants upon the sale of two portfolio companies. During the nine months ended September 30, 2017, we realized net losses totaling $11.1 million primarily due to the resolution of two debt investments partially offset by realized gains on the sale of equity received upon the exercise of warrants.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both"/>
        <w:ind w:firstLine="324"/>
        <w:spacing w:after="0" w:line="257" w:lineRule="auto"/>
        <w:rPr>
          <w:sz w:val="20"/>
          <w:szCs w:val="20"/>
          <w:color w:val="auto"/>
        </w:rPr>
      </w:pPr>
      <w:r>
        <w:rPr>
          <w:rFonts w:ascii="Arial" w:cs="Arial" w:eastAsia="Arial" w:hAnsi="Arial"/>
          <w:sz w:val="18"/>
          <w:szCs w:val="18"/>
          <w:color w:val="auto"/>
        </w:rPr>
        <w:t>During the nine months ended September 30, 2018, net unrealized appreciation on investments totaled $0.1 million which was primarily due to the unrealized appreciation on one warrant investment partially offset by the depreciation on one public equity investment and two public warrant investments. During the nine months ended September 30, 2017, net unrealized appreciation on investments totaled $8.3 million which was primarily due to the reversal of previously recorded unrealized depreciation on two debt investments that were settled during the period, partially offset by the unrealized depreciation on two debt investments.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September 30, 2018 and December 31, 2017, we had cash of $5.9 million and $6.6 million, respectively. Cash is available to fund new investments, reduce borrowings, pay expenses, repurchase common stock and pay distributions. Our primary sources of capital have been from our public and private equity offerings, use of our revolving credit facilities and issuance of our public debt offerings.</w:t>
      </w:r>
    </w:p>
    <w:p>
      <w:pPr>
        <w:spacing w:after="0" w:line="18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April 27, 2018, our Board extended a previously authorized stock repurchase program which allows us to repurchase up to $5.0 million of our common stock at prices below our net asset value per share as reported in our most recent consolidated financial statements. Under the repurchase program, we may, but are not obligated to, repurchase shares of our outstanding common stock in the open market or in privately negotiated transactions from time to time. Any repurchases by us will comply with the requirements of Rule 10b-18 under the Securities Exchange Act of 1934, as amended, or the Exchange Act, and any applicable requirements of the 1940 Act. Unless extended by our Board, the repurchase program will terminate on the earlier of June 30, 2019 or the repurchase of $5.0 million of our common stock. During the three and nine months ended September 30, 2018, we did not make any repurchases of our common stock. During the three and nine months ended September 30, 2017, we repurchased 5,923 shares of our common stock at an average price of $9.97 on the open market at a total cost of $0.1 million. From the inception of the stock repurchase program through September 30, 2018, we repurchased 167,465 shares of our common stock at an average price of $11.22 on the open market at a total cost of $1.9 million.</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September 30, 2018 and December 31, 2017, the outstanding principal balance under our revolving credit facility, or the Key Facility, with KeyBank National Association was $76.0 million and $58.0 million, respectively. As of September 30, 2018 and December 31, 2017, we had borrowing capacity under the Key Facility of $24.0 million and $37.0 million, respectively. At September 30, 2018 and December 31, 2017, $14.2 million and $23.6 million, respectively, was available, subject to existing terms and advance rates.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activities used cash of $7.7 million for the nine months ended September 30, 2018, and our financing activities provided cash of $7.0 million for the same period. Our operating activities used cash primarily to purchase investments in portfolio companies partially offset by principal payments received on our debt investments. Our financing activities provided cash primarily from advances on our Key Facility, partially offset by cash used to repay our Key Facility and pay distributions to our stockholders.</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operating activities provided cash of $27.1 million for the nine months ended September 30, 2017, and our financing activities used cash of $41.9 million for the same period. Our operating activities provided cash primarily from principal payments received on our debt investments, partially offset by investments made in portfolio companies. Our financing activities used cash primarily to repay the Key Facility and pay distributions to our stockholders.</w:t>
      </w:r>
    </w:p>
    <w:p>
      <w:pPr>
        <w:spacing w:after="0" w:line="14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primary use of available funds is to make debt investments in portfolio companies and for general corporate purposes. We expect to raise additional equity and debt capital opportunistically as needed and, subject to market conditions, to support our future growth to the extent permitted by the 1940 Act.</w:t>
      </w:r>
    </w:p>
    <w:p>
      <w:pPr>
        <w:spacing w:after="0" w:line="124"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order to remain subject to taxation as a RIC, we intend to distribute to our stockholders all or substantially all of our investment company taxable income. In addition, as a BDC, we are currently required to maintain asset coverage of at least 200%. This requirement limits the amount that we may borrow.</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March 23, 2018, President Trump signed into law the Small Business Credit Availability Act as part of an omnibus spending bill, which, among other things, amends the 1940 Act to reduce the minimum required asset coverage applicable to BDCs under the 1940 Act from 200% to 150% if certain approval and disclosure requirements are met. Before such reduced asset coverage requirement can apply to us, such reduced asset coverage requirement must be approved by either (a) a “required majority” (as defined in Section 57(o) of the 1940 Act) of our Board, in which case such reduced asset coverage requirement would take effect on the first anniversary of the date of such Board approval, or (b) a majority of votes cast by our stockholders at a special or annual meeting at which a quorum is present, in which case such reduced asset coverage requirement shall take effect on the day after such approval. On June 7, 2018, a “required majority” of our Board approved the reduced asset coverage requirements and separately recommended that our stockholders approve the reduced asset coverage requirements at a special meeting of our stockholders. We held a special meeting on October 30, 2018 to consider a proposal to permit the reduced asset coverage requirements during which the reduced asset coverage requirements were approved by stockholders. The reduced asset coverage requirements take effect October 31, 2018.</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ind w:firstLine="324"/>
        <w:spacing w:after="0" w:line="277" w:lineRule="auto"/>
        <w:rPr>
          <w:sz w:val="20"/>
          <w:szCs w:val="20"/>
          <w:color w:val="auto"/>
        </w:rPr>
      </w:pPr>
      <w:r>
        <w:rPr>
          <w:rFonts w:ascii="Arial" w:cs="Arial" w:eastAsia="Arial" w:hAnsi="Arial"/>
          <w:sz w:val="18"/>
          <w:szCs w:val="18"/>
          <w:color w:val="auto"/>
        </w:rPr>
        <w:t>We believe that our current cash, cash generated from operations, and funds available from our Key Facility will be sufficient to meet our working capital and capital expenditure commitments for at least the next 12 months.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Current borrowings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borrowings as of September 30, 2018 and December 31,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September 30, 2018</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8"/>
          </w:tcPr>
          <w:p>
            <w:pPr>
              <w:jc w:val="center"/>
              <w:ind w:left="550"/>
              <w:spacing w:after="0"/>
              <w:rPr>
                <w:sz w:val="20"/>
                <w:szCs w:val="20"/>
                <w:color w:val="auto"/>
              </w:rPr>
            </w:pPr>
            <w:r>
              <w:rPr>
                <w:rFonts w:ascii="Arial" w:cs="Arial" w:eastAsia="Arial" w:hAnsi="Arial"/>
                <w:sz w:val="18"/>
                <w:szCs w:val="18"/>
                <w:b w:val="1"/>
                <w:bCs w:val="1"/>
                <w:color w:val="auto"/>
                <w:w w:val="90"/>
              </w:rPr>
              <w:t>December 31, 2017</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400"/>
              <w:spacing w:after="0" w:line="191" w:lineRule="exact"/>
              <w:rPr>
                <w:sz w:val="20"/>
                <w:szCs w:val="20"/>
                <w:color w:val="auto"/>
              </w:rPr>
            </w:pPr>
            <w:r>
              <w:rPr>
                <w:rFonts w:ascii="Arial" w:cs="Arial" w:eastAsia="Arial" w:hAnsi="Arial"/>
                <w:sz w:val="18"/>
                <w:szCs w:val="18"/>
                <w:b w:val="1"/>
                <w:bCs w:val="1"/>
                <w:color w:val="auto"/>
                <w:w w:val="86"/>
              </w:rPr>
              <w:t>Balance</w:t>
            </w:r>
          </w:p>
        </w:tc>
        <w:tc>
          <w:tcPr>
            <w:tcW w:w="160" w:type="dxa"/>
            <w:vAlign w:val="bottom"/>
          </w:tcPr>
          <w:p>
            <w:pPr>
              <w:spacing w:after="0"/>
              <w:rPr>
                <w:sz w:val="16"/>
                <w:szCs w:val="16"/>
                <w:color w:val="auto"/>
              </w:rPr>
            </w:pPr>
          </w:p>
        </w:tc>
        <w:tc>
          <w:tcPr>
            <w:tcW w:w="88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6"/>
              </w:rPr>
              <w:t>Unused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ind w:left="120"/>
              <w:spacing w:after="0" w:line="191"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6"/>
              </w:rPr>
              <w:t>Balance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3"/>
              </w:rPr>
              <w:t>Unused</w:t>
            </w:r>
          </w:p>
        </w:tc>
        <w:tc>
          <w:tcPr>
            <w:tcW w:w="100" w:type="dxa"/>
            <w:vAlign w:val="bottom"/>
          </w:tcPr>
          <w:p>
            <w:pPr>
              <w:spacing w:after="0"/>
              <w:rPr>
                <w:sz w:val="16"/>
                <w:szCs w:val="16"/>
                <w:color w:val="auto"/>
              </w:rPr>
            </w:pPr>
          </w:p>
        </w:tc>
      </w:tr>
      <w:tr>
        <w:trPr>
          <w:trHeight w:val="234"/>
        </w:trPr>
        <w:tc>
          <w:tcPr>
            <w:tcW w:w="3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w w:val="92"/>
              </w:rPr>
              <w:t>Commitment</w:t>
            </w:r>
          </w:p>
        </w:tc>
        <w:tc>
          <w:tcPr>
            <w:tcW w:w="240" w:type="dxa"/>
            <w:vAlign w:val="bottom"/>
          </w:tcPr>
          <w:p>
            <w:pPr>
              <w:spacing w:after="0"/>
              <w:rPr>
                <w:sz w:val="20"/>
                <w:szCs w:val="20"/>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Outstanding</w:t>
            </w:r>
          </w:p>
        </w:tc>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Commitment</w:t>
            </w:r>
          </w:p>
        </w:tc>
        <w:tc>
          <w:tcPr>
            <w:tcW w:w="122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Commitment</w:t>
            </w:r>
          </w:p>
        </w:tc>
        <w:tc>
          <w:tcPr>
            <w:tcW w:w="120" w:type="dxa"/>
            <w:vAlign w:val="bottom"/>
          </w:tcPr>
          <w:p>
            <w:pPr>
              <w:spacing w:after="0"/>
              <w:rPr>
                <w:sz w:val="20"/>
                <w:szCs w:val="20"/>
                <w:color w:val="auto"/>
              </w:rPr>
            </w:pPr>
          </w:p>
        </w:tc>
        <w:tc>
          <w:tcPr>
            <w:tcW w:w="11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Outstanding</w:t>
            </w:r>
          </w:p>
        </w:tc>
        <w:tc>
          <w:tcPr>
            <w:tcW w:w="1200" w:type="dxa"/>
            <w:vAlign w:val="bottom"/>
            <w:gridSpan w:val="4"/>
          </w:tcPr>
          <w:p>
            <w:pPr>
              <w:ind w:left="80"/>
              <w:spacing w:after="0"/>
              <w:rPr>
                <w:sz w:val="20"/>
                <w:szCs w:val="20"/>
                <w:color w:val="auto"/>
              </w:rPr>
            </w:pPr>
            <w:r>
              <w:rPr>
                <w:rFonts w:ascii="Arial" w:cs="Arial" w:eastAsia="Arial" w:hAnsi="Arial"/>
                <w:sz w:val="18"/>
                <w:szCs w:val="18"/>
                <w:b w:val="1"/>
                <w:bCs w:val="1"/>
                <w:color w:val="auto"/>
                <w:w w:val="99"/>
              </w:rPr>
              <w:t>Commitment</w:t>
            </w:r>
          </w:p>
        </w:tc>
      </w:tr>
      <w:tr>
        <w:trPr>
          <w:trHeight w:val="210"/>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Key Facility</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76,000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24,000</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58,000</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37,000</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2022 Notes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37,375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37,375</w:t>
            </w: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37,375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37,375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before debt issuance costs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137,375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113,375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95,375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182"/>
        </w:trPr>
        <w:tc>
          <w:tcPr>
            <w:tcW w:w="3900" w:type="dxa"/>
            <w:vAlign w:val="bottom"/>
          </w:tcPr>
          <w:p>
            <w:pPr>
              <w:spacing w:after="0" w:line="182" w:lineRule="exact"/>
              <w:rPr>
                <w:sz w:val="20"/>
                <w:szCs w:val="20"/>
                <w:color w:val="auto"/>
              </w:rPr>
            </w:pPr>
            <w:r>
              <w:rPr>
                <w:rFonts w:ascii="Arial" w:cs="Arial" w:eastAsia="Arial" w:hAnsi="Arial"/>
                <w:sz w:val="18"/>
                <w:szCs w:val="18"/>
                <w:color w:val="auto"/>
                <w:w w:val="92"/>
              </w:rPr>
              <w:t>Unamortized debt issuance costs attributable to term</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4"/>
        </w:trPr>
        <w:tc>
          <w:tcPr>
            <w:tcW w:w="3900" w:type="dxa"/>
            <w:vAlign w:val="bottom"/>
          </w:tcPr>
          <w:p>
            <w:pPr>
              <w:spacing w:after="0"/>
              <w:rPr>
                <w:sz w:val="20"/>
                <w:szCs w:val="20"/>
                <w:color w:val="auto"/>
              </w:rPr>
            </w:pPr>
            <w:r>
              <w:rPr>
                <w:rFonts w:ascii="Arial" w:cs="Arial" w:eastAsia="Arial" w:hAnsi="Arial"/>
                <w:sz w:val="18"/>
                <w:szCs w:val="18"/>
                <w:color w:val="auto"/>
              </w:rPr>
              <w:t>borrowings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(1,091)</w:t>
            </w:r>
          </w:p>
        </w:tc>
        <w:tc>
          <w:tcPr>
            <w:tcW w:w="16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borrowings outstanding, net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137,375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112,284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94,075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entered into the Key Facility effective November 4, 2013. The interest rate on the Key Facility is based upon the one-month LIBOR plus a spread of 3.25%, with a LIBOR floor of 0.75%. The LIBOR rate was 2.26% and 1.56% as of September 30, 2018 and December 31, 2017, respectively. The interest rates in effect were 5.35% and 4.61% as of September 30, 2018 and December 31, 2017, respectively. The Key Facility requires the payment of an unused line fee in an amount equal to 0.50% of any unborrowed amount available under the facility annually.</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Key Facility has an accordion feature which allows for an increase in the total loan commitment to $150 million. The Key Facility is collateralized by debt investments held by Horizon Credit II LLC, or Credit II, and permits an advance rate of up to fifty percent (50%) of eligible debt investments held by Credit II. The Key Facility contains covenants that, among other things, require us to maintain a minimum net worth, to restrict the debt investments securing the Key Facility to certain criteria for qualified debt investments and to comply with portfolio company concentration limits as defined in the related loan agreement. The period during which we may request advances under the Key Facility, or the Revolving Period, extends through April 6, 2021. After the Revolving Period, we may not request new advances, and we must repay the outstanding advances under the Key Facility as of such date, at such times and in such amounts as are necessary to maintain compliance with the terms and conditions of the Key Facility, particularly the condition that the principal balance of the Key Facility not exceed fifty percent (50%) of the aggregate principal balance of our eligible debt investments to our portfolio companies. The maturity of the Key Facility, the date on which all outstanding advances under the Key Facility are due and payable, is on April 6, 2023.</w:t>
      </w:r>
    </w:p>
    <w:p>
      <w:pPr>
        <w:spacing w:after="0" w:line="16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March 23, 2012, we issued and sold an aggregate principal amount of $30.0 million of our 7.375% notes due 2019, or the 2019 Notes, and on April 18, 2012, pursuant to the underwriters’ 30-day option to purchase additional notes, we sold an additional $3.0 million of the 2019 Notes. The 2019 Notes had a stated maturity of March 15, 2019 and were redeemable in whole or in part at our option at any time or from time to time at a redemption price of $25 per security plus accrued and unpaid interest. The 2019 Notes bore interest at a rate of 7.375% per year payable quarterly on March 15, June 15, September 15 and December 15 of each year. The 2019 Notes were our direct, unsecured obligations and (1) ranked equally in right of payment with our future unsecured indebtedness; (2) were senior in right of payment to any of our future indebtedness that expressly provided it was subordinated to the 2019 Notes; (3) were effectively subordinated to all of our existing and future secured indebtedness (including indebtedness that was initially unsecured to which we subsequently granted security), to the extent of the value of the assets securing such indebtedness and (4) were structurally subordinated to all existing and future indebtedness and other obligations of any of our subsidiaries. On October 30, 2017, or the Redemption Date, we redeemed all of the issued and outstanding 2019 Notes in an aggregate principal amount of $33.0 million and paid accrued interest of $0.3 million. The 2019 Notes were delisted effective on the Redemption Date.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jc w:val="both"/>
        <w:ind w:firstLine="324"/>
        <w:spacing w:after="0" w:line="288" w:lineRule="auto"/>
        <w:rPr>
          <w:sz w:val="20"/>
          <w:szCs w:val="20"/>
          <w:color w:val="auto"/>
        </w:rPr>
      </w:pPr>
      <w:r>
        <w:rPr>
          <w:rFonts w:ascii="Arial" w:cs="Arial" w:eastAsia="Arial" w:hAnsi="Arial"/>
          <w:sz w:val="16"/>
          <w:szCs w:val="16"/>
          <w:color w:val="auto"/>
        </w:rPr>
        <w:t>On September 29, 2017, we issued and sold an aggregate principal amount of $32.5 million of our 6.25% notes due 2022, or the 2022 Notes, and on October 11, 2017, pursuant to the underwriters’ 30-day option to purchase additional notes, we sold an additional $4.9 million of the 2022 Notes. The 2022 Notes have a stated maturity of September 15, 2022 and may be redeemed in whole or in part at our option at any time or from time to time on or after September 15, 2019 at a redemption price of $25 per security plus accrued and unpaid interest. The 2022 Notes bear interest at a rate of 6.25% per year payable quarterly on March 15, June 15, September 15 and December 15 of each year. The 2022 Notes are our direct, unsecured obligations and (1) rank equally in right of payment with our current and future unsecured indebtedness; (2) are senior in right of payment to any of our future indebtedness that expressly provides it is subordinated to the 2022 Notes; (3) are effectively subordinated to all of our existing and future secured indebtedness (including indebtedness that is initially unsecured to which we subsequently grant security), to the extent of the value of the assets securing such indebtedness and (4) are structurally subordinated to all existing and future indebtedness and other obligations of any of our subsidiaries. As of September 30, 2018, we were in material compliance with the terms of the 2022 Notes. The 2022 Notes are listed on the New York Stock Exchange under the symbol “HTFA”.</w:t>
      </w:r>
    </w:p>
    <w:p>
      <w:pPr>
        <w:spacing w:after="0" w:line="16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2018 and December 31, 2017, other assets were $1.7 million and $1.5 million, respectively, which is primarily comprised of debt issuance costs and prepaid expenses.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Contractual obligations and off-balance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significant contractual payment obligations and off-balance sheet arrangements as of September 30,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8"/>
          </w:tcPr>
          <w:p>
            <w:pPr>
              <w:jc w:val="center"/>
              <w:ind w:left="510"/>
              <w:spacing w:after="0"/>
              <w:rPr>
                <w:sz w:val="20"/>
                <w:szCs w:val="20"/>
                <w:color w:val="auto"/>
              </w:rPr>
            </w:pPr>
            <w:r>
              <w:rPr>
                <w:rFonts w:ascii="Arial" w:cs="Arial" w:eastAsia="Arial" w:hAnsi="Arial"/>
                <w:sz w:val="18"/>
                <w:szCs w:val="18"/>
                <w:b w:val="1"/>
                <w:bCs w:val="1"/>
                <w:color w:val="auto"/>
                <w:w w:val="89"/>
              </w:rPr>
              <w:t>Payments due by period</w:t>
            </w: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6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85"/>
              </w:rPr>
              <w:t>Less than</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89"/>
              </w:rPr>
              <w:t>1 – 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rPr>
              <w:t>3 – 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4"/>
              </w:rPr>
              <w:t>After 5</w:t>
            </w:r>
          </w:p>
        </w:tc>
        <w:tc>
          <w:tcPr>
            <w:tcW w:w="100" w:type="dxa"/>
            <w:vAlign w:val="bottom"/>
          </w:tcPr>
          <w:p>
            <w:pPr>
              <w:spacing w:after="0"/>
              <w:rPr>
                <w:sz w:val="16"/>
                <w:szCs w:val="16"/>
                <w:color w:val="auto"/>
              </w:rPr>
            </w:pPr>
          </w:p>
        </w:tc>
      </w:tr>
      <w:tr>
        <w:trPr>
          <w:trHeight w:val="234"/>
        </w:trPr>
        <w:tc>
          <w:tcPr>
            <w:tcW w:w="3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1 year</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Years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Years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years</w:t>
            </w:r>
          </w:p>
        </w:tc>
      </w:tr>
      <w:tr>
        <w:trPr>
          <w:trHeight w:val="210"/>
        </w:trPr>
        <w:tc>
          <w:tcPr>
            <w:tcW w:w="3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(In thousands)</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18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113,375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9,541</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59,032</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44,802</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70"/>
        </w:trPr>
        <w:tc>
          <w:tcPr>
            <w:tcW w:w="3600" w:type="dxa"/>
            <w:vAlign w:val="bottom"/>
          </w:tcPr>
          <w:p>
            <w:pPr>
              <w:spacing w:after="0" w:line="269" w:lineRule="exact"/>
              <w:rPr>
                <w:sz w:val="20"/>
                <w:szCs w:val="20"/>
                <w:color w:val="auto"/>
              </w:rPr>
            </w:pPr>
            <w:r>
              <w:rPr>
                <w:rFonts w:ascii="Arial" w:cs="Arial" w:eastAsia="Arial" w:hAnsi="Arial"/>
                <w:sz w:val="18"/>
                <w:szCs w:val="18"/>
                <w:color w:val="auto"/>
              </w:rPr>
              <w:t>Unfunded commitments</w:t>
            </w:r>
            <w:r>
              <w:rPr>
                <w:rFonts w:ascii="Arial" w:cs="Arial" w:eastAsia="Arial" w:hAnsi="Arial"/>
                <w:sz w:val="30"/>
                <w:szCs w:val="30"/>
                <w:color w:val="auto"/>
                <w:vertAlign w:val="superscript"/>
              </w:rPr>
              <w:t>(1)</w:t>
            </w:r>
          </w:p>
        </w:tc>
        <w:tc>
          <w:tcPr>
            <w:tcW w:w="1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31,000</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r>
      <w:tr>
        <w:trPr>
          <w:trHeight w:val="223"/>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148,375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40,541</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(1)  Includes our portion of HSLFI’s commitment.</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the normal course of business, we are party to financial instruments with off-balance sheet risk. These consist primarily of unfunded commitments to extend credit, in the form of loans, to our portfolio companies. Unfunded commitments to provide funds to portfolio companies are not reflected on our balance sheet. Our unfunded commitments may be significant from time to time. As of September 30, 2018, we had unfunded commitments of $35.0 million. These commitments are subject to the same underwriting and ongoing portfolio maintenance requirements as are the financial instruments that we hold on our balance sheet. In addition, these commitments are often subject to financial or non-financial milestones and other conditions to borrowing that must be achieved before the commitment can be drawn. Since these commitments may expire without being drawn upon, the total commitment amount does not necessarily represent future cash requirements. We regularly monitor our unfunded commitments and anticipated refinancings, maturities and capital raising, to ensure that we have sufficient liquidity to fund such unfunded commitments. As of September 30, 2018, we reasonably believed that our assets would provide adequate financial resources to satisfy all of our unfunded commitments.</w:t>
      </w:r>
    </w:p>
    <w:p>
      <w:pPr>
        <w:spacing w:after="0" w:line="18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to the Key Facility, we have certain commitments pursuant to our Investment Management Agreement entered into with our Advisor. We have agreed to pay a fee for investment advisory and management services consisting of two components (1) a base management fee equal to a percentage of the value of our gross assets less cash or cash equivalents, and (2) a two-part incentive fee. We have also entered into a contract with our Advisor to serve as our administrator. Payments under the Administration Agreement are equal to an amount based upon our allocable portion of our Advisor’s overhead in performing its obligations under the agreement, including rent, fees and other expenses inclusive of our allocable portion of the compensation of our Chief Financial Officer and Chief Compliance Officer and their respective staffs. See Note 3 to our consolidated financial statements for additional information regarding our Investment Management Agreement and our Administration Agreement.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ind w:left="14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order to qualify and be subject to tax as a RIC, we must meet certain source-of-income, asset diversification and annual distribution requirements. Generally, in order to qualify as a RIC, we must derive at least 90% of our gross income for each tax year from dividends, interest, payments with respect to certain securities, loans, gains from the sale or other disposition of stock, securities or foreign currencies, or other income derived with respect to its business of investing in stock or other securities. We must also meet certain asset diversification requirements at the end of each quarter of each tax year. Failure to meet these diversification requirements on the last day of a quarter may result in us having to dispose of certain investments quickly in order to prevent the loss of RIC status. Any such dispositions could be made at disadvantageous prices or times, and may cause us to incur substantial losses.</w:t>
      </w:r>
    </w:p>
    <w:p>
      <w:pPr>
        <w:spacing w:after="0" w:line="16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addition, in order to be subject to tax as a RIC and to avoid the imposition of corporate-level tax on the income and gains we distribute to our stockholders in respect of any tax year, we are required under the Code to distribute as dividends to our stockholders out of assets legally available for distribution each tax year an amount generally at least equal to 90% of the sum of our net ordinary income and net short-term capital gains in excess of net long-term capital losses, if any. Additionally, in order to avoid the imposition of a U.S. federal excise tax, we are required to distribute, in respect of each calendar year, dividends to our stockholders of an amount at least equal to the sum of 98% of our calendar year net ordinary income (taking into account certain deferrals and elections); 98.2% of our capital gain net income (adjusted for certain ordinary losses) for the one year period ending on October 31 of such calendar year; and any net ordinary income and capital gain net income for preceding calendar years that were not distributed during such calendar years and on which we previously did not incur any U.S. federal income tax. If we fail to qualify as a RIC for any reason and become subject to corporate tax, the resulting corporate taxes could substantially reduce our net assets, the amount of income available for distribution and the amount of our distributions. Such a failure would have a material adverse effect on us and our stockholders. In addition, we could be required to recognize unrealized gains, incur substantial taxes and interest and make substantial distributions in order to re-qualify as a RIC. We cannot assure stockholders that they will receive any distributions.</w:t>
      </w:r>
    </w:p>
    <w:p>
      <w:pPr>
        <w:spacing w:after="0" w:line="1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To the extent our taxable earnings in a tax year fall below the total amount of our distributions made to stockholders in respect of such tax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review any written disclosure accompanying a distribution payment carefully and should not assume that the source of any distribution is our ordinary income or gains.</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adopted an “opt out” dividend reinvestment plan, or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stockholders participating in our DRIP will not receive any corresponding cash distributions with which to pay any such applicable taxes. If our common stock is trading above net asset value, a stockholder receiving distributions in the form of additional shares of our common stock will be treated as receiving a distribution of an amount equal to the fair market value of such shares of our common stock. We may use newly issued shares to implement the DRIP, or we may purchase shares in the open market in connection with our obligations under the DRIP.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entered into the Investment Management Agreement with the Advisor. The Advisor is registered as an investment adviser under the Investment Advisers Act of 1940, as amended. Our investment activities are managed by the Advisor and supervised by the Board, the majority of whom are independent directors. Under the Investment Management Agreement, we have agreed to pay the Advisor a base management fee as well as an incentive fee. During the three months ended September 30, 2018 and 2017, we paid the Advisor $2.0 million and $1.2 million, respectively, pursuant to the Investment Management Agreement. During the nine months ended September 30, 2018 and 2017, we paid the Advisor $5.6 million and $3.9 million, respectively, pursuant to the Investment Management Agreement.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jc w:val="both"/>
        <w:ind w:firstLine="324"/>
        <w:spacing w:after="0" w:line="264" w:lineRule="auto"/>
        <w:rPr>
          <w:sz w:val="20"/>
          <w:szCs w:val="20"/>
          <w:color w:val="auto"/>
        </w:rPr>
      </w:pPr>
      <w:r>
        <w:rPr>
          <w:rFonts w:ascii="Arial" w:cs="Arial" w:eastAsia="Arial" w:hAnsi="Arial"/>
          <w:sz w:val="18"/>
          <w:szCs w:val="18"/>
          <w:color w:val="auto"/>
        </w:rPr>
        <w:t>Our Advisor is 60% owned by HTF Holdings LLC, which is 100% owned by Horizon Technology Finance, LLC. By virtue of their ownership interest in Horizon Technology Finance, LLC, our Chief Executive Officer, Robert D. Pomeroy, Jr. and our President, Gerald A. Michaud, may be deemed to control our Advisor.</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also entered into the Administration Agreement with the Advisor. Under the Administration Agreement, we have agreed to reimburse the Advisor for our allocable portion of overhead and other expenses incurred by the Advisor in performing its obligations under the Administration Agreement, including rent and our allocable portion of the costs of compensation and related expenses of our Chief Financial Officer and Chief Compliance Officer and their respective staffs. In addition, pursuant to the terms of the Administration Agreement the Advisor provides us with the office facilities and administrative services necessary to conduct our day-to-day operations. During the three months ended September 30, 2018 and 2017, we paid the Advisor $0.2 million pursuant to the Administration Agreement. During the nine months ended September 30, 2018 and 2017, we paid the Advisor $0.5 million and $0.6 million, respectively, pursuant to the Administration Agreement.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predecessor of the Advisor has granted the Company a non-exclusive, royalty-free license to use the name “Horizon Technology Finance.”</w:t>
      </w:r>
    </w:p>
    <w:p>
      <w:pPr>
        <w:spacing w:after="0" w:line="237" w:lineRule="exact"/>
        <w:rPr>
          <w:sz w:val="20"/>
          <w:szCs w:val="20"/>
          <w:color w:val="auto"/>
        </w:rPr>
      </w:pPr>
    </w:p>
    <w:p>
      <w:pPr>
        <w:jc w:val="both"/>
        <w:ind w:left="60" w:firstLine="270"/>
        <w:spacing w:after="0" w:line="279" w:lineRule="auto"/>
        <w:rPr>
          <w:sz w:val="20"/>
          <w:szCs w:val="20"/>
          <w:color w:val="auto"/>
        </w:rPr>
      </w:pPr>
      <w:r>
        <w:rPr>
          <w:rFonts w:ascii="Arial" w:cs="Arial" w:eastAsia="Arial" w:hAnsi="Arial"/>
          <w:sz w:val="17"/>
          <w:szCs w:val="17"/>
          <w:color w:val="auto"/>
        </w:rPr>
        <w:t>We believe that we derive substantial benefits from our relationship with our Advisor. Our Advisor may manage other investment vehicles, or Advisor Funds, with the same investment strategy as us. The Advisor may provide us an opportunity to co-invest with the Advisor Funds. Under the 1940 Act, absent receipt of exemptive relief from the SEC, we and our affiliates are precluded from co-investing in negotiated investments. On November 27, 2017, we were granted exemptive relief from the SEC which permits us to co-invest with Advisor Funds, subject to certain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discussion of our financial condition and results of operation is based upon our financial statements, which have been prepared in accordance with U.S. generally accepted accounting principles. The preparation of these consolidated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significant accounting policies in the notes to our consolidated financial statements.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identified the following items as critical accounting policies.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Investments are recorded at fair value. Our Board determines the fair value of our portfolio investments. We apply fair value to substantially all of our investments in accordance with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of the Financial Accounting Standards Board’s, or FASB’s, Accounting Standards Codification as amended, or ASC, which establishes a framework used to measure fair value and requires disclosures for fair value measurements. We have categorized our investments carried at fair value, based on the priority of the valuation technique, into a three-level fair value hierarchy. Fair value is a market-based measure considered from the perspective of the market participant who holds the financial instrument rather than an entity specific measure. Therefore, when market assumptions are not readily available, our own assumptions are set to reflect those that management believes market participants would use in pricing the financial instrument at the measurement date.</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The three categories within the hierarchy are as follows:</w:t>
      </w:r>
    </w:p>
    <w:p>
      <w:pPr>
        <w:spacing w:after="0" w:line="183"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and liabilities.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both"/>
        <w:ind w:left="1100" w:hanging="769"/>
        <w:spacing w:after="0" w:line="264" w:lineRule="auto"/>
        <w:tabs>
          <w:tab w:leader="none" w:pos="108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in active markets, quoted prices in markets that are not active and model-based valuation techniques for which all significant inputs are observable or can be corroborated by observable market data for substantially the full term of the assets or liabilities.</w:t>
      </w:r>
    </w:p>
    <w:p>
      <w:pPr>
        <w:spacing w:after="0" w:line="181" w:lineRule="exact"/>
        <w:rPr>
          <w:sz w:val="20"/>
          <w:szCs w:val="20"/>
          <w:color w:val="auto"/>
        </w:rPr>
      </w:pPr>
    </w:p>
    <w:p>
      <w:pPr>
        <w:jc w:val="both"/>
        <w:ind w:left="1100" w:hanging="769"/>
        <w:spacing w:after="0" w:line="312" w:lineRule="auto"/>
        <w:tabs>
          <w:tab w:leader="none" w:pos="108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5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Board determines the fair value of investments in good faith, based on the input of management, the audit committee and independent valuation firms that have been engaged at the direction of our Board to assist in the valuation of each portfolio investment without a readily available market quotation at least once during a trailing twelve-month period under our valuation policy and a consistently applied valuation process. The Board conducts this valuation process at the end of each fiscal quarter, with 25% (based on fair value) of our valuation of portfolio companies that do not have a readily available market quotations subject to review by an independent valuation firm.</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recognition</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we otherwise do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For the three and nine months ended September 30, 2018, we did not recognize any interest income from debt investments on non-accrual status. For the three and nine months ended September 30, 2017, we recognized $0.1 million in interest income from debt investments on non-accrual status.</w:t>
      </w:r>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receive a variety of fees from borrowers in the ordinary course of conducting our business, including advisory fees, commitment fees, amendment fees, non-utilization fees, success fees and prepayment fees. In a limited number of cases, we may also receive a non-refundable deposit earned upon the termination of a transaction. Debt investment origination fees, net of certain direct origination costs, are deferred, and along with unearned income, are amortized as a level yield adjustment over the respective term of the debt investment. All other income is recorded into income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debt investment agreements also require the borrower to make an ETP that is accrued into income over the life of the debt investment to the extent such amounts are expected to be collected. We will generally cease accruing the income if there is insufficient value to support the accrual or if we do not expect the borrower to be able to pay all principal and interest due.</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connection with substantially all lending arrangements, we receive warrants to purchase shares of stock from the borrower. We record the warrants as assets at estimated fair value on the grant date using the Black-Scholes valuation model. We consider the warrants as loan fees and record them as unearned income on the grant date. The unearned income is recognized as interest income over the contractual life of the related debt investment in accordance with our income recognition policy. Subsequent to origination, the warrants are also measured at fair value using the Black-Scholes valuation model. Any adjustment to fair value is recorded through earnings as net unrealized gain or loss on investments. Gains and losses from the disposition of the warrants or stock acquired from the exercise of warrants are recognized as realized gains and losses on investments.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Distributions from HSLFI are evaluated at the time of distribution to determine if the distribution should be recorded as dividend income or a return of capital. Generally, we will not record distributions from HSLFI as dividend income unless there are sufficient accumulated tax-basis earnings and profit in HSLFI prior to distribution. Distributions that are classified as a return of capital are recorded as a reduction in the cost basis of the investment. For the three months ended September 30, 2018 and the period June 1, 2018 (the commencement of HSLFI’s operations) through September 30, 2018, HSLFI distributed $0.1 million as dividend income to us.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jc w:val="both"/>
        <w:ind w:firstLine="324"/>
        <w:spacing w:after="0" w:line="257" w:lineRule="auto"/>
        <w:rPr>
          <w:sz w:val="20"/>
          <w:szCs w:val="20"/>
          <w:color w:val="auto"/>
        </w:rPr>
      </w:pPr>
      <w:r>
        <w:rPr>
          <w:rFonts w:ascii="Arial" w:cs="Arial" w:eastAsia="Arial" w:hAnsi="Arial"/>
          <w:sz w:val="18"/>
          <w:szCs w:val="18"/>
          <w:color w:val="auto"/>
        </w:rPr>
        <w:t>Realized gains or losses on the sale of investments, or upon the determination that an investment balance, or portion thereof, is not recoverable, are calculated using the specific identification method. We measure realized gains or losses by calculating the difference between the net proceeds from the repayment or sale and the amortized cost basis of the investment. Net change in unrealized appreciation or depreciation reflects the change in the fair values of our portfolio investments during the reporting period, including any reversal of previously recorded unrealized appreciation or depreciation, when gains or losses are realized.</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elected to be treated as a RIC under Subchapter M of the Code and operate in a manner so as to qualify for the tax treatment applicable to RICs. In order to qualify as a RIC and to avoid the imposition of corporate-level U.S. federal income tax on the amounts we distribute to our stockholders, among other things, we are required to meet certain source of income and asset diversification requirements, and we must timely distribute dividends to our stockholders out of assets legally available for distribution each tax year of an amount generally at least equal to 90% of our investment company taxable income, as defined by the Code and determined without regard to any deduction for dividends paid. We, among other things, have made and intend to continue to make the requisite distributions to our stockholders, which will generally relieve us from incurring any material liability for U.S. federal income taxes.</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Depending on the level of taxable income earned in a tax year, we may choose to carry forward taxable income in excess of current year distributions into the next tax year and incur a 4% excise tax on such income, as required. To the extent that we determine that our estimated current year annual taxable income will be in excess of estimated current year distributions, we will accrue excise tax, if any, on estimated excess taxable income as taxable income is earned.</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evaluate tax positions taken in the course of preparing our tax returns to determine whether the tax positions are “more-likely-than-not” to be sustained by the applicable tax authority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 modified by ASC Topic 946,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 </w:t>
      </w:r>
      <w:r>
        <w:rPr>
          <w:rFonts w:ascii="Arial" w:cs="Arial" w:eastAsia="Arial" w:hAnsi="Arial"/>
          <w:sz w:val="18"/>
          <w:szCs w:val="18"/>
          <w:i w:val="1"/>
          <w:iCs w:val="1"/>
          <w:color w:val="auto"/>
        </w:rPr>
        <w:t>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Companies</w:t>
      </w:r>
      <w:r>
        <w:rPr>
          <w:rFonts w:ascii="Arial" w:cs="Arial" w:eastAsia="Arial" w:hAnsi="Arial"/>
          <w:sz w:val="18"/>
          <w:szCs w:val="18"/>
          <w:color w:val="auto"/>
        </w:rPr>
        <w:t>. Tax benefits of positions not deemed to meet the more-likely-than-not threshold, or uncertain tax positions, are recorded as a tax expense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year. It is our policy to recognize accrued interest and penalties related to uncertain tax benefits in income tax expense. We had no material uncertain tax positions at September 30, 2018 and December 31,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2014, the FASB issued Accounting Standards Update 2014-09, Revenue from Contracts with Customers (Topic 606), or ASU 2014-09, which amends existing revenue recognition guidance to depict the transfer of promised goods or services to customers in an amount that reflects the consideration to which the entity expects to be entitled in exchange for those goods or services. ASU 2014-09 is effective for annual and interim periods beginning after December 15, 2017. As required, we adopted ASU 2014-09 effective January 1, 2018, and such adoption did not have an impact on our consolidated financial statements and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w:t>
      </w:r>
    </w:p>
    <w:p>
      <w:pPr>
        <w:spacing w:after="0" w:line="22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held a special meeting on October 11, 2018 to consider proposals to (1) approve the application to us of the reduced asset coverage requirements in Section 61(a)(2) of the 1940 Act, which would permit us to reduce the asset coverage requirements applicable to us from 200% to 150%, such that we would have a debt to equity ratio of a maximum of 2.0x as compared to a current maximum of 1.0x and (2) to approve a new Investment Management Agreement between the us and our Advisor in which the base management fee is calculated at an annual rate of 2.00% of our gross assets (less cash and cash equivalents) including any assets acquired with the proceeds of leverage. From and after the first date on which the reduced asset coverage requirements in Section 61(a)</w:t>
      </w:r>
    </w:p>
    <w:p>
      <w:pPr>
        <w:spacing w:after="0" w:line="2" w:lineRule="exact"/>
        <w:rPr>
          <w:sz w:val="20"/>
          <w:szCs w:val="20"/>
          <w:color w:val="auto"/>
        </w:rPr>
      </w:pPr>
    </w:p>
    <w:p>
      <w:pPr>
        <w:jc w:val="both"/>
        <w:ind w:firstLine="8"/>
        <w:spacing w:after="0" w:line="253" w:lineRule="auto"/>
        <w:tabs>
          <w:tab w:leader="none" w:pos="2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 the 1940 Act apply to us, the base management fee will be calculated at an annual rate of 2.00% of our gross assets (less cash and cash equivalents) including any assets acquired with the proceeds of leverage; provided, that, to the extent our gross assets (less cash and cash equivalents) exceed $250 million, the base management fee on the amount of such excess over $250 million will be calculated at an annual rate of 1.60% of our gross assets (less cash and cash equivalents) including any assets acquired with the proceeds of leverage. The base management fee is payable monthly in arrears and is prorated for any partial month.</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jc w:val="both"/>
        <w:ind w:firstLine="324"/>
        <w:spacing w:after="0" w:line="264" w:lineRule="auto"/>
        <w:rPr>
          <w:sz w:val="20"/>
          <w:szCs w:val="20"/>
          <w:color w:val="auto"/>
        </w:rPr>
      </w:pPr>
      <w:r>
        <w:rPr>
          <w:rFonts w:ascii="Arial" w:cs="Arial" w:eastAsia="Arial" w:hAnsi="Arial"/>
          <w:sz w:val="18"/>
          <w:szCs w:val="18"/>
          <w:color w:val="auto"/>
        </w:rPr>
        <w:t>The special meeting was adjourned to October 30, 2018 during which the reduced asset coverage requirements and the new Investment Management Agreement were each approved by stockholders. The reduced asset coverage requirements and the new Investment Management Agreement take effect October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subject to financial market risks, including changes in interest rates. During the periods covered by our financial statements, the interest rates on the debt investments within our portfolio were primarily at floating rates. We expect that our debt investments in the future will primarily have floating interest rates. As of September 30, 2018 and December 31, 2017, 99% of the outstanding principal amount of our debt investments bore interest at floating rates. The initial commitments to lend to our portfolio companies are usually based on a floating LIBOR index.</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Based on our September 30, 2018 consolidated statement of assets and liabilities (without adjustment for potential changes in the credit market, credit quality, size and composition of assets on the consolidated statement of assets and liabilities or other business developments that could affect net income) and the base index rates at September 30, 2018, the following table shows the annual impact on the change in net assets resulting from operations of changes in interest rates, which assumes no changes in our investments and borrowings:</w:t>
      </w:r>
    </w:p>
    <w:p>
      <w:pPr>
        <w:spacing w:after="0" w:line="183" w:lineRule="exact"/>
        <w:rPr>
          <w:sz w:val="20"/>
          <w:szCs w:val="20"/>
          <w:color w:val="auto"/>
        </w:rPr>
      </w:pPr>
    </w:p>
    <w:tbl>
      <w:tblPr>
        <w:tblLayout w:type="fixed"/>
        <w:tblInd w:w="86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Interest</w:t>
            </w:r>
          </w:p>
        </w:tc>
        <w:tc>
          <w:tcPr>
            <w:tcW w:w="260" w:type="dxa"/>
            <w:vAlign w:val="bottom"/>
          </w:tcPr>
          <w:p>
            <w:pPr>
              <w:spacing w:after="0"/>
              <w:rPr>
                <w:sz w:val="19"/>
                <w:szCs w:val="19"/>
                <w:color w:val="auto"/>
              </w:rPr>
            </w:pPr>
          </w:p>
        </w:tc>
        <w:tc>
          <w:tcPr>
            <w:tcW w:w="118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Interest</w:t>
            </w:r>
          </w:p>
        </w:tc>
        <w:tc>
          <w:tcPr>
            <w:tcW w:w="18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Change in</w:t>
            </w:r>
          </w:p>
        </w:tc>
      </w:tr>
      <w:tr>
        <w:trPr>
          <w:trHeight w:val="270"/>
        </w:trPr>
        <w:tc>
          <w:tcPr>
            <w:tcW w:w="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b w:val="1"/>
                <w:bCs w:val="1"/>
                <w:color w:val="auto"/>
              </w:rPr>
              <w:t>Income</w:t>
            </w:r>
          </w:p>
        </w:tc>
        <w:tc>
          <w:tcPr>
            <w:tcW w:w="260" w:type="dxa"/>
            <w:vAlign w:val="bottom"/>
          </w:tcPr>
          <w:p>
            <w:pPr>
              <w:spacing w:after="0"/>
              <w:rPr>
                <w:sz w:val="23"/>
                <w:szCs w:val="23"/>
                <w:color w:val="auto"/>
              </w:rPr>
            </w:pPr>
          </w:p>
        </w:tc>
        <w:tc>
          <w:tcPr>
            <w:tcW w:w="1180" w:type="dxa"/>
            <w:vAlign w:val="bottom"/>
          </w:tcPr>
          <w:p>
            <w:pPr>
              <w:jc w:val="center"/>
              <w:ind w:right="210"/>
              <w:spacing w:after="0"/>
              <w:rPr>
                <w:sz w:val="20"/>
                <w:szCs w:val="20"/>
                <w:color w:val="auto"/>
              </w:rPr>
            </w:pPr>
            <w:r>
              <w:rPr>
                <w:rFonts w:ascii="Arial" w:cs="Arial" w:eastAsia="Arial" w:hAnsi="Arial"/>
                <w:sz w:val="18"/>
                <w:szCs w:val="18"/>
                <w:b w:val="1"/>
                <w:bCs w:val="1"/>
                <w:color w:val="auto"/>
                <w:w w:val="86"/>
              </w:rPr>
              <w:t>Expense</w:t>
            </w:r>
          </w:p>
        </w:tc>
        <w:tc>
          <w:tcPr>
            <w:tcW w:w="180" w:type="dxa"/>
            <w:vAlign w:val="bottom"/>
          </w:tcPr>
          <w:p>
            <w:pPr>
              <w:spacing w:after="0"/>
              <w:rPr>
                <w:sz w:val="23"/>
                <w:szCs w:val="23"/>
                <w:color w:val="auto"/>
              </w:rPr>
            </w:pPr>
          </w:p>
        </w:tc>
        <w:tc>
          <w:tcPr>
            <w:tcW w:w="1240" w:type="dxa"/>
            <w:vAlign w:val="bottom"/>
            <w:gridSpan w:val="2"/>
          </w:tcPr>
          <w:p>
            <w:pPr>
              <w:jc w:val="right"/>
              <w:ind w:right="240"/>
              <w:spacing w:after="0" w:line="269" w:lineRule="exact"/>
              <w:rPr>
                <w:sz w:val="20"/>
                <w:szCs w:val="20"/>
                <w:color w:val="auto"/>
              </w:rPr>
            </w:pPr>
            <w:r>
              <w:rPr>
                <w:rFonts w:ascii="Arial" w:cs="Arial" w:eastAsia="Arial" w:hAnsi="Arial"/>
                <w:sz w:val="18"/>
                <w:szCs w:val="18"/>
                <w:b w:val="1"/>
                <w:bCs w:val="1"/>
                <w:color w:val="auto"/>
                <w:w w:val="83"/>
              </w:rPr>
              <w:t>Net Assets</w:t>
            </w:r>
            <w:r>
              <w:rPr>
                <w:rFonts w:ascii="Arial" w:cs="Arial" w:eastAsia="Arial" w:hAnsi="Arial"/>
                <w:sz w:val="30"/>
                <w:szCs w:val="30"/>
                <w:b w:val="1"/>
                <w:bCs w:val="1"/>
                <w:color w:val="auto"/>
                <w:w w:val="83"/>
                <w:vertAlign w:val="superscript"/>
              </w:rPr>
              <w:t>(1)</w:t>
            </w: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Change in basis points</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32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6,588</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Up 200 basis points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4,394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1,541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2,853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2,199</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Down 300 basis points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(2,079)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(1,036)</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(1,012)</w:t>
            </w: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Down 100 basis points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(1,615)</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(771)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(844)</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Excludes the impact of incentive fees based on pre-incentive fee net investment income.</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While our 2022 Notes bear interest at a fixed rate, our Key Facility has a floating interest rate provision, subject to a floor of 0.75% per annum, based on a LIBOR index which resets monthly, and any other credit facilities into which we enter in the future may have floating interest rate provisions. We have used hedging instruments in the past to protect us against interest rate fluctuations, and we may use them in the future. Such instruments may include caps, swaps, futures, options and forward contracts. While hedging activities may insulate us against adverse changes in interest rates, they may also limit our ability to participate in the benefits of lower interest rates with respect to the investments in our portfolio with fixed interest rates.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we currently fund, and expect to continue to fund, our investments with borrowings, our net income is dependent upon the difference between the rate at which we borrow funds and the rate at which we invest the funds borrowed. Accordingly, there can be no assurance that a significant change in market interest rates will not have a material adverse effect on our net income. In periods of rising interest rates, our cost of funds could increase, which would reduce our net investment income.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September 30, 2018, we, including our Chief Executive Officer and Chief Financial Officer, evaluated the effectiveness of the design and operation of our disclosure controls and procedures (as defined in Rule 13a-15(e) under the Exchange Act). Based on that evaluation, our management, including our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ind w:left="200"/>
        <w:spacing w:after="0"/>
        <w:rPr>
          <w:sz w:val="20"/>
          <w:szCs w:val="20"/>
          <w:color w:val="auto"/>
        </w:rPr>
      </w:pPr>
      <w:r>
        <w:rPr>
          <w:rFonts w:ascii="Arial" w:cs="Arial" w:eastAsia="Arial" w:hAnsi="Arial"/>
          <w:sz w:val="18"/>
          <w:szCs w:val="18"/>
          <w:b w:val="1"/>
          <w:bCs w:val="1"/>
          <w:i w:val="1"/>
          <w:iCs w:val="1"/>
          <w:color w:val="auto"/>
        </w:rPr>
        <w:t>(b) Changes in internal controls over financial reporting.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have been no material changes in our internal control over financial reporting (as defined in Rules 13a-15(f) and 15d-15(f) under the Exchange Act) during our most recently completed fiscal quarter, that have materially affected, or are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Neither we nor our Advisor is currently subject to any material legal proceedings, nor, to our knowledge, is any material legal proceeding threatened against us or against our Advisor.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addition to other information set forth in this report, you should carefully consider the factors set forth below and in “Item 1A Risk Factors” in our annual report on Form 10-K for the year ended December 31, 2017, which could materially affect our business, financial condition and/or operating results. Additional risks and uncertainties not currently known to us or that we currently deem to be immaterial also may materially affect our business, financial condition and/or operating results. Other than the item set forth below, there have been no material changes during the nine months ended September 30, 2018 to the risk factors set forth in “Item 1A. Risk Factors” of our annual report on Form 10-K for the year ended December 31,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on amounts invested and may increase the risk of investing in us.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Leverage is generally considered a speculative investment technique, and we intend to continue to borrow money as part of our business plan. The use of leverage magnifies the potential for gain or loss on amounts invested and, therefore, increases the risks associated with investing in us. See “Management’s Discussion and Analysis of Financial Condition and Results of Operation — Liquidity and capital resources.” Lenders of senior debt securities have fixed dollar claims on our assets that are superior to the claims of our common stockholders. If the value of our assets increases, then leveraging would cause the net asset value attributable to our common stock to increase more sharply than it would have had we not leveraged. However, any decrease in our income would cause net income to decline more sharply than it would have had we not leveraged. This decline could adversely affect our ability to make common stock distribution payments. In addition, because our investments may be illiquid, we may be unable to dispose of them or unable to do so at a favorable price in the event we need to do so, if we are unable to refinance any indebtedness upon maturity, and, as a result, we may suffer losses.</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ability to service any debt that we incur depends largely on our financial performance and is subject to prevailing economic conditions and competitive pressures. Moreover, as our Advisor’s management fee is payable to our Advisor based on our gross assets less cash and cash equivalents, including those assets acquired through the use of leverage, our Advisor may have a financial incentive to incur leverage which may not be consistent with our stockholders’ interests. As leverage magnifies gains, if any, on our portfolio, as discussed above, our pre-incentive fee net investment income may exceed the quarterly hurdle rate for the incentive fee on income payable pursuant to the management fee at a lower average return on our portfolio. Thus, if we incur additional leverage, the incentive fees payable to the Advisor may increase without any corresponding increase in our performance. Holders of our common stock bear the burden of any increase in our expenses as a result of leverage, including any increase in the management fee or incentive fee payable to our Advisor.</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to the leverage described above, in the past, we have securitized a large portion of our debt investments to generate cash for funding new investments and may seek to securitize additional debt investments in the future to the extent permitted by the 1940 Act and the risk retention rules adopted pursuant to Section 941 of the Dodd-Frank Wall Street Reform and Consumer Protection Act. To securitize additional debt investments in the future, we may create a wholly-owned subsidiary and sell and/or contribute a pool of debt investments to such subsidiary. This could include the sale of interests in the subsidiary on a non-recourse basis to purchasers, who we would expect to be willing to accept a lower interest rate to invest in investment grade loan pools. We would retain all or a portion of the equity in any such securitized pool of loans. An inability to securitize part of our debt investments in the future could limit our ability to grow our business, fully execute our business strategy and increase our earnings. Moreover, certain types of securitization transactions may expose us to greater risk of loss than would other types of financing.</w:t>
      </w:r>
    </w:p>
    <w:p>
      <w:pPr>
        <w:spacing w:after="0" w:line="1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7, 2018, a “required majority” (as defined in Section 57(o) of the 1940 Act) of our Board approved the reduced asset coverage requirements and separately recommended that our stockholders approve the reduced asset coverage requirements at a special meeting of our stockholders. The Company held a special meeting on October 30, 2018 during which the reduced asset coverage requirements were approved by stockholders. The reduced asset coverage requirements take effect October 31, 2018.</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Illustration: </w:t>
      </w:r>
      <w:r>
        <w:rPr>
          <w:rFonts w:ascii="Arial" w:cs="Arial" w:eastAsia="Arial" w:hAnsi="Arial"/>
          <w:sz w:val="17"/>
          <w:szCs w:val="17"/>
          <w:color w:val="auto"/>
        </w:rPr>
        <w:t>The following table illustrates the effect of leverage on returns from an investment in our common stock assuming that we employ leverage</w:t>
      </w:r>
      <w:r>
        <w:rPr>
          <w:rFonts w:ascii="Arial" w:cs="Arial" w:eastAsia="Arial" w:hAnsi="Arial"/>
          <w:sz w:val="17"/>
          <w:szCs w:val="17"/>
          <w:i w:val="1"/>
          <w:iCs w:val="1"/>
          <w:color w:val="auto"/>
        </w:rPr>
        <w:t xml:space="preserve"> </w:t>
      </w:r>
      <w:r>
        <w:rPr>
          <w:rFonts w:ascii="Arial" w:cs="Arial" w:eastAsia="Arial" w:hAnsi="Arial"/>
          <w:sz w:val="17"/>
          <w:szCs w:val="17"/>
          <w:color w:val="auto"/>
        </w:rPr>
        <w:t>such that our asset coverage equals (1) our actual asset coverage as of September 30, 2018 and (2) 150% at various annual returns, net of expenses. The calculations in the table below are hypothetical and actual returns may be higher or lower than those appearing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60" w:type="dxa"/>
            <w:vAlign w:val="bottom"/>
            <w:gridSpan w:val="6"/>
          </w:tcPr>
          <w:p>
            <w:pPr>
              <w:ind w:left="340"/>
              <w:spacing w:after="0"/>
              <w:rPr>
                <w:sz w:val="20"/>
                <w:szCs w:val="20"/>
                <w:color w:val="auto"/>
              </w:rPr>
            </w:pPr>
            <w:r>
              <w:rPr>
                <w:rFonts w:ascii="Arial" w:cs="Arial" w:eastAsia="Arial" w:hAnsi="Arial"/>
                <w:sz w:val="18"/>
                <w:szCs w:val="18"/>
                <w:b w:val="1"/>
                <w:bCs w:val="1"/>
                <w:color w:val="auto"/>
              </w:rPr>
              <w:t>Assumed Return on Portfolio</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61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88"/>
              </w:rPr>
              <w:t>(Net of Expenses)</w:t>
            </w:r>
          </w:p>
        </w:tc>
        <w:tc>
          <w:tcPr>
            <w:tcW w:w="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6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-10%</w:t>
            </w:r>
          </w:p>
        </w:tc>
        <w:tc>
          <w:tcPr>
            <w:tcW w:w="3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w:t>
            </w:r>
          </w:p>
        </w:tc>
        <w:tc>
          <w:tcPr>
            <w:tcW w:w="3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0%</w:t>
            </w:r>
          </w:p>
        </w:tc>
        <w:tc>
          <w:tcPr>
            <w:tcW w:w="3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w:t>
            </w:r>
          </w:p>
        </w:tc>
        <w:tc>
          <w:tcPr>
            <w:tcW w:w="2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10%</w:t>
            </w:r>
          </w:p>
        </w:tc>
        <w:tc>
          <w:tcPr>
            <w:tcW w:w="160" w:type="dxa"/>
            <w:vAlign w:val="bottom"/>
            <w:tcBorders>
              <w:bottom w:val="single" w:sz="8" w:color="CCEEFF"/>
            </w:tcBorders>
          </w:tcPr>
          <w:p>
            <w:pPr>
              <w:spacing w:after="0"/>
              <w:rPr>
                <w:sz w:val="19"/>
                <w:szCs w:val="19"/>
                <w:color w:val="auto"/>
              </w:rPr>
            </w:pPr>
          </w:p>
        </w:tc>
      </w:tr>
      <w:tr>
        <w:trPr>
          <w:trHeight w:val="185"/>
        </w:trPr>
        <w:tc>
          <w:tcPr>
            <w:tcW w:w="6120" w:type="dxa"/>
            <w:vAlign w:val="bottom"/>
            <w:shd w:val="clear" w:color="auto" w:fill="CCEEFF"/>
          </w:tcPr>
          <w:p>
            <w:pPr>
              <w:spacing w:after="0" w:line="186" w:lineRule="exact"/>
              <w:rPr>
                <w:sz w:val="20"/>
                <w:szCs w:val="20"/>
                <w:color w:val="auto"/>
              </w:rPr>
            </w:pPr>
            <w:r>
              <w:rPr>
                <w:rFonts w:ascii="Arial" w:cs="Arial" w:eastAsia="Arial" w:hAnsi="Arial"/>
                <w:sz w:val="18"/>
                <w:szCs w:val="18"/>
                <w:color w:val="auto"/>
                <w:w w:val="91"/>
              </w:rPr>
              <w:t>Corresponding return to common stockholder assuming actual asset coverage as of</w:t>
            </w: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67"/>
        </w:trPr>
        <w:tc>
          <w:tcPr>
            <w:tcW w:w="6120" w:type="dxa"/>
            <w:vAlign w:val="bottom"/>
            <w:shd w:val="clear" w:color="auto" w:fill="CCEEFF"/>
          </w:tcPr>
          <w:p>
            <w:pPr>
              <w:ind w:left="180"/>
              <w:spacing w:after="0" w:line="266" w:lineRule="exact"/>
              <w:rPr>
                <w:sz w:val="20"/>
                <w:szCs w:val="20"/>
                <w:color w:val="auto"/>
              </w:rPr>
            </w:pPr>
            <w:r>
              <w:rPr>
                <w:rFonts w:ascii="Arial" w:cs="Arial" w:eastAsia="Arial" w:hAnsi="Arial"/>
                <w:sz w:val="18"/>
                <w:szCs w:val="18"/>
                <w:color w:val="auto"/>
              </w:rPr>
              <w:t>September 30, 2018</w:t>
            </w:r>
            <w:r>
              <w:rPr>
                <w:rFonts w:ascii="Arial" w:cs="Arial" w:eastAsia="Arial" w:hAnsi="Arial"/>
                <w:sz w:val="30"/>
                <w:szCs w:val="30"/>
                <w:color w:val="auto"/>
                <w:vertAlign w:val="superscript"/>
              </w:rPr>
              <w:t>(1)</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(23.66)%</w:t>
            </w: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(14.26)%</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13.95%</w:t>
            </w:r>
          </w:p>
        </w:tc>
      </w:tr>
      <w:tr>
        <w:trPr>
          <w:trHeight w:val="390"/>
        </w:trPr>
        <w:tc>
          <w:tcPr>
            <w:tcW w:w="6120" w:type="dxa"/>
            <w:vAlign w:val="bottom"/>
          </w:tcPr>
          <w:p>
            <w:pPr>
              <w:spacing w:after="0"/>
              <w:rPr>
                <w:sz w:val="20"/>
                <w:szCs w:val="20"/>
                <w:color w:val="auto"/>
              </w:rPr>
            </w:pPr>
            <w:r>
              <w:rPr>
                <w:rFonts w:ascii="Arial" w:cs="Arial" w:eastAsia="Arial" w:hAnsi="Arial"/>
                <w:sz w:val="18"/>
                <w:szCs w:val="18"/>
                <w:color w:val="auto"/>
                <w:w w:val="94"/>
              </w:rPr>
              <w:t>Corresponding return to common stockholder assuming 150% asset coverage</w:t>
            </w:r>
            <w:r>
              <w:rPr>
                <w:rFonts w:ascii="Arial" w:cs="Arial" w:eastAsia="Arial" w:hAnsi="Arial"/>
                <w:sz w:val="30"/>
                <w:szCs w:val="30"/>
                <w:color w:val="auto"/>
                <w:w w:val="94"/>
                <w:vertAlign w:val="superscript"/>
              </w:rPr>
              <w:t>(2)</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(41.90)%</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(26.71)%</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(11.52)%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3.66%</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18097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91" w:lineRule="exact"/>
        <w:rPr>
          <w:sz w:val="20"/>
          <w:szCs w:val="20"/>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Assumes $252 million in total assets, $113 million in outstanding debt, $134 million in net assets, and an average cost of borrowed funds of 5.76% at September 30, 2018.</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Assumes $407 million in total assets, $268 million in outstanding debt, $134 million in net assets, and an average cost of borrowed funds of 5.76% at September 30, 2018.</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Based on our outstanding indebtedness of $113 million as of September 30, 2018 and the average cost of borrowed funds of 5.76% as of that date, our investment portfolio would have been required to experience an annual return of at least 3.03% to cover annual interest payments on the outstanding debt. Actual interest payments may be different.</w:t>
      </w:r>
    </w:p>
    <w:p>
      <w:pPr>
        <w:spacing w:after="0" w:line="1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Based on an outstanding indebtedness of $268 million on an assumed 150% asset coverage ratio and an average cost of borrowed funds of 5.76%, our investment portfolio would be required to experience an annual return of at least 4.17% to cover annual interest payments on the outstanding debt. Actual interest payments may be different.</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Because we distribute all or substantially all of our investment company taxable income to our stockholders, we will need additional capital to finance our growth. If additional funds are unavailable or not available on favorable terms, our ability to grow will be impaired.</w:t>
      </w:r>
    </w:p>
    <w:p>
      <w:pPr>
        <w:spacing w:after="0" w:line="14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To satisfy the requirements applicable to a RIC, to avoid incurring excise taxes and to minimize or to avoid incurring corporate-level federal income taxes, we intend to distribute to our stockholders all or substantially all of our investment company taxable income and net capital gains. However, we may retain all or a portion of our net capital gains, incur any applicable income taxes with respect thereto, and elect to treat such retained net capital gains as deemed distributions to our stockholders. As a BDC, we generally are required to maintain coverage of total assets to total senior securities, which includes all of our borrowings and any preferred stock we may issue in the future, of at least 200% through October 30, 2018 and 150% thereafter, subject to certain disclosure requirements. This requirement limits the amount that we may borrow. Because we continue to need capital to grow our debt investment portfolio, this limitation may prevent us from incurring debt and require us to raise additional equity at a time when it may be disadvantageous to do so. We cannot assure you that debt and equity financing will be available to us on favorable terms, or at all, and debt financings may be restricted by the terms of any of our outstanding borrowings. In addition, as a BDC, we are limited in our ability to issue equity securities at a price below the then-current net asset value per share. If additional funds are not available to us, we could be forced to curtail or cease new lending and investment activities, and our net asset value could decline.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jc w:val="both"/>
        <w:spacing w:after="0" w:line="277" w:lineRule="auto"/>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 which may expose us to additional risks.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business plans contemplate a need for a substantial amount of capital in addition to our current amount of capital. We may obtain additional capital through the issuance of debt securities or preferred stock, and we may borrow money from banks or other financial institutions, which we refer to collectively as “senior securities,” up to the maximum amount permitted by the 1940 Act. If we issue senior securities, we would be exposed to typical risks associated with leverage, including an increased risk of loss. In addition, if we issue preferred stock, it would rank senior to common stock in our capital structure and preferred stockholders would have separate voting rights and may have rights, preferences or privileges more favorable than those of holders of our common stock.</w:t>
      </w:r>
    </w:p>
    <w:p>
      <w:pPr>
        <w:spacing w:after="0" w:line="193" w:lineRule="exact"/>
        <w:rPr>
          <w:sz w:val="20"/>
          <w:szCs w:val="20"/>
          <w:color w:val="auto"/>
        </w:rPr>
      </w:pPr>
    </w:p>
    <w:p>
      <w:pPr>
        <w:jc w:val="both"/>
        <w:ind w:left="60" w:firstLine="324"/>
        <w:spacing w:after="0" w:line="255" w:lineRule="auto"/>
        <w:rPr>
          <w:sz w:val="20"/>
          <w:szCs w:val="20"/>
          <w:color w:val="auto"/>
        </w:rPr>
      </w:pPr>
      <w:r>
        <w:rPr>
          <w:rFonts w:ascii="Arial" w:cs="Arial" w:eastAsia="Arial" w:hAnsi="Arial"/>
          <w:sz w:val="18"/>
          <w:szCs w:val="18"/>
          <w:color w:val="auto"/>
        </w:rPr>
        <w:t>The 1940 Act permits us to issue senior securities in amounts such that our asset coverage, as defined in the 1940 Act, after each issuance of senior securities equals at least 200% through October 30, 2018 and 150% thereafter, subject to certain disclosure requirements. If our asset coverage is not at least 200% or 150% as applicable, we are not permitted to pay distributions or issue additional senior securities. As a result, we may have difficulty meeting the annual distribution requirement necessary to maintain RIC tax treatment. Moreover, if the value of our assets declines, we may be unable to satisfy this asset coverage test. If that happens, we may be required to liquidate a portion of our investments and repay a portion of our indebtedness at a time when we may be unable to do so or unable to do so on favorable terms.</w:t>
      </w:r>
    </w:p>
    <w:p>
      <w:pPr>
        <w:spacing w:after="0" w:line="1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a BDC, we generally are not able to issue our common stock at a price below net asset value per share without first obtaining the approval of our stockholders and our independent directors. Our stockholder approval expired in January 2016, but we may seek such approval again in the future. If our common stock trades at a price below net asset value per share and we do not receive approval from our stockholders and our independent directors to issue common stock at a price below net asset value per share, we cannot raise capital through the issuance of equity securities. This may limit our ability: to grow and make new investments; to attract and retain top investment professionals; to maintain deal flow and relations with top companies in our Target Industries and related entities such as venture capital and private equity sponsors; and to sustain a minimum efficient scale for a public company. The stockholder approval requirement does not apply to stock issued upon the exercise of options, warrants or rights that we may issue from time to time. If we raise additional funds by issuing more common stock or senior securities convertible into, or exchangeable for, our common stock, the percentage ownership of our stockholders at that time would decrease, and you may experience dilution.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passed legislation may allow us to incur additional leverage.</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 BDC has historically been able to issue “senior securities,” including borrowing money from banks or other financial institutions, only in amounts such that its asset coverage, as defined in the 1940 Act, equals at least 200% after such incurrence or issuance. On March 23, 2018, the Small Business Credit Availability Act was signed into law and amended the 1940 Act to decrease the asset coverage requirements applicable to BDCs from 200% to 150% if such lower asset coverage requirements have been approved by either (a) a majority of a BDC’s directors who have no financial interest in such approval and a majority of the BDC’s directors who are not interested persons, as defined by the 1940 Act (a “required majority” as defined in Section 57(o) of the 1940 Act), of such BDC, in which case such reduced asset coverage requirements would take effect on the first anniversary of the date of such approval, or (b) a majority of votes cast by the stockholders of such BDC at a special or annual meeting at which a quorum is present, in which case such reduced asset coverage requirements shall take effect on the day after such approval. On June 7, 2018, a “required majority” (as defined in Section 57(o) of the 1940 Act) of our Board approved the reduced asset coverage requirements and separately recommended that our stockholders approve the reduced asset coverage requirements at a special meeting of our stockholders. The Company held a special meeting on October 30, 2018 during which the reduced asset coverage requirements were approved by stockholders. The reduced asset coverage requirements take effect October 31, 2018.</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if we comply with certain disclosure requirements, we will be able to incur additional indebtedness, which may increase the risk of investing in us. See “We borrow money, which magnifies the potential for gain or loss on amounts invested and may increase the risk of investing in us.” In addition, since our base management fee is payable based upon our gross assets (less cash and cash equivalents), which includes any assets acquired with the proceeds of borrowings, the base management fee expense will increase if we incur additional leverage.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The indenture governing our debt securities contains limited protection for holders of our debt securities.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indenture governing our debt securities offers limited protection to holders of our debt securities. The terms of the indenture do not restrict our or any of our subsidiaries’ ability to engage in, or otherwise be a party to, a variety of corporate transactions, circumstances or events that could have a material adverse impact on investments in our debt securities. In particular, the terms of the indenture do not place any restrictions on our or our subsidiaries’ ability to:</w:t>
      </w:r>
    </w:p>
    <w:p>
      <w:pPr>
        <w:spacing w:after="0" w:line="187" w:lineRule="exact"/>
        <w:rPr>
          <w:sz w:val="20"/>
          <w:szCs w:val="20"/>
          <w:color w:val="auto"/>
        </w:rPr>
      </w:pPr>
    </w:p>
    <w:p>
      <w:pPr>
        <w:jc w:val="both"/>
        <w:ind w:left="660" w:hanging="328"/>
        <w:spacing w:after="0" w:line="288"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equal in right of payment to our debt securities, (2) any indebtedness or other obligations that would be secured and therefore rank effectively senior in right of payment to our debt securities to the extent of the values of the assets securing such debt, (3) indebtedness of ours that is guaranteed by one or more of our subsidiaries and which therefore is structurally senior to our debt securities and (4) securities, indebtedness or obligations issued or incurred by our subsidiaries that would be senior to our equity interests in our subsidiaries and therefore rank structurally senior to our debt securities with respect to the assets of our subsidiaries, in each case other than an incurrence of indebtedness or other obligation that would cause a violation of Section 18(a)(1)(A) of the 1940 Act as modified by Section 61(a)(l) of the 1940 Act or any successor provisions, whether or not we continue to be subject to such provisions of the 1940 Act, (these provisions generally prohibit us from making additional borrowings, including through the issuance of additional debt or the sale of additional debt securities, unless our asset coverage, as defined in the 1940 Act after such borrowings, equals at least 200% through October 30, 2018 and 150% thereafter, subject to certain disclosure requirements);</w:t>
      </w:r>
    </w:p>
    <w:p>
      <w:pPr>
        <w:spacing w:after="0" w:line="169" w:lineRule="exact"/>
        <w:rPr>
          <w:rFonts w:ascii="Arial" w:cs="Arial" w:eastAsia="Arial" w:hAnsi="Arial"/>
          <w:sz w:val="16"/>
          <w:szCs w:val="16"/>
          <w:color w:val="auto"/>
        </w:rPr>
      </w:pPr>
    </w:p>
    <w:p>
      <w:pPr>
        <w:jc w:val="both"/>
        <w:ind w:left="660" w:hanging="328"/>
        <w:spacing w:after="0" w:line="272"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pay dividends on, or purchase or redeem or make any payments in respect of capital stock or other securities ranking junior in right of payment to our debt securities, including subordinated indebtedness, in each case other than dividends, purchases, redemptions or payments that would cause a violation of Section 18(a)(1)(B) of the 1940 Act as modified by Section 61(a)(l) of the 1940 Act or any successor provisions giving effect to any exemptive relief granted to us by the SEC (these provisions generally prohibit us from declaring any cash dividend or distribution upon any class of our capital stock, or purchasing any such capital stock unless our asset coverage, as defined in the 1940 Act, at the time of the declaration of the dividend or distribution or the purchase and after deducting the amount of such dividend, distribution or purchase equals at least 200% through October 30, 2018 and 150% thereafter, subject to certain disclosure requirements);</w:t>
      </w:r>
    </w:p>
    <w:p>
      <w:pPr>
        <w:spacing w:after="0" w:line="177"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the indenture does not require us to offer to purchase our debt securities in connection with a change of control or any other event.</w:t>
      </w:r>
    </w:p>
    <w:p>
      <w:pPr>
        <w:spacing w:after="0" w:line="2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Furthermore, the terms of the indenture do not protect holders of our debt securities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our debt securities may have important consequences for holders of our debt securities, including making it more difficult for us to satisfy our obligations with respect to our debt securities or negatively affecting the trading value of our debt securities.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Certain of our current debt instruments include more protections for their holders than the indenture. In addition, other debt we issue or incur in the future could contain more protections for its holders than the indenture including additional covenants and events of default. The issuance or incurrence of any such debt with incremental protections could affect the market for and trading levels and prices of our debt securities.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980" w:type="dxa"/>
            <w:vAlign w:val="bottom"/>
            <w:gridSpan w:val="5"/>
          </w:tcPr>
          <w:p>
            <w:pPr>
              <w:ind w:left="158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1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160" w:type="dxa"/>
            <w:vAlign w:val="bottom"/>
            <w:gridSpan w:val="4"/>
          </w:tcPr>
          <w:p>
            <w:pPr>
              <w:spacing w:after="0"/>
              <w:rPr>
                <w:sz w:val="20"/>
                <w:szCs w:val="20"/>
                <w:color w:val="auto"/>
              </w:rPr>
            </w:pPr>
            <w:r>
              <w:rPr>
                <w:rFonts w:ascii="Arial" w:cs="Arial" w:eastAsia="Arial" w:hAnsi="Arial"/>
                <w:sz w:val="18"/>
                <w:szCs w:val="18"/>
                <w:b w:val="1"/>
                <w:bCs w:val="1"/>
                <w:color w:val="auto"/>
              </w:rPr>
              <w:t>No.</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980" w:type="dxa"/>
            <w:vAlign w:val="bottom"/>
            <w:gridSpan w:val="5"/>
          </w:tcPr>
          <w:p>
            <w:pPr>
              <w:ind w:left="24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400" w:type="dxa"/>
            <w:vAlign w:val="bottom"/>
            <w:tcBorders>
              <w:top w:val="single" w:sz="8" w:color="auto"/>
            </w:tcBorders>
          </w:tcPr>
          <w:p>
            <w:pPr>
              <w:spacing w:after="0" w:line="170"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1*</w:t>
              </w:r>
            </w:hyperlink>
          </w:p>
        </w:tc>
        <w:tc>
          <w:tcPr>
            <w:tcW w:w="5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260" w:type="dxa"/>
            <w:vAlign w:val="bottom"/>
            <w:tcBorders>
              <w:top w:val="single" w:sz="8" w:color="auto"/>
            </w:tcBorders>
            <w:gridSpan w:val="8"/>
          </w:tcPr>
          <w:p>
            <w:pPr>
              <w:spacing w:after="0" w:line="170" w:lineRule="exact"/>
              <w:rPr>
                <w:rFonts w:ascii="Arial" w:cs="Arial" w:eastAsia="Arial" w:hAnsi="Arial"/>
                <w:sz w:val="18"/>
                <w:szCs w:val="18"/>
                <w:color w:val="0000EE"/>
                <w:w w:val="94"/>
              </w:rPr>
            </w:pPr>
            <w:hyperlink w:anchor="page69">
              <w:r>
                <w:rPr>
                  <w:rFonts w:ascii="Arial" w:cs="Arial" w:eastAsia="Arial" w:hAnsi="Arial"/>
                  <w:sz w:val="18"/>
                  <w:szCs w:val="18"/>
                  <w:color w:val="0000EE"/>
                  <w:w w:val="94"/>
                </w:rPr>
                <w:t>Certifications by Chief Executive Officer pursuant to Exchange Act Rule 13a-14(a), as adopted pursuant to Section 302 of the Sarbanes-</w:t>
              </w:r>
            </w:hyperlink>
          </w:p>
        </w:tc>
      </w:tr>
      <w:tr>
        <w:trPr>
          <w:trHeight w:val="196"/>
        </w:trPr>
        <w:tc>
          <w:tcPr>
            <w:tcW w:w="2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Oxley Act of 2002, as amended</w:t>
              </w:r>
            </w:hyperlink>
          </w:p>
        </w:tc>
        <w:tc>
          <w:tcPr>
            <w:tcW w:w="7540" w:type="dxa"/>
            <w:vAlign w:val="bottom"/>
            <w:tcBorders>
              <w:top w:val="single" w:sz="8" w:color="0000EE"/>
            </w:tcBorders>
          </w:tcPr>
          <w:p>
            <w:pPr>
              <w:spacing w:after="0"/>
              <w:rPr>
                <w:sz w:val="17"/>
                <w:szCs w:val="17"/>
                <w:color w:val="auto"/>
              </w:rPr>
            </w:pPr>
          </w:p>
        </w:tc>
        <w:tc>
          <w:tcPr>
            <w:tcW w:w="440" w:type="dxa"/>
            <w:vAlign w:val="bottom"/>
            <w:gridSpan w:val="4"/>
          </w:tcPr>
          <w:p>
            <w:pPr>
              <w:spacing w:after="0"/>
              <w:rPr>
                <w:sz w:val="17"/>
                <w:szCs w:val="17"/>
                <w:color w:val="auto"/>
              </w:rPr>
            </w:pPr>
          </w:p>
        </w:tc>
      </w:tr>
      <w:tr>
        <w:trPr>
          <w:trHeight w:val="196"/>
        </w:trPr>
        <w:tc>
          <w:tcPr>
            <w:tcW w:w="920" w:type="dxa"/>
            <w:vAlign w:val="bottom"/>
            <w:gridSpan w:val="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240" w:type="dxa"/>
            <w:vAlign w:val="bottom"/>
          </w:tcPr>
          <w:p>
            <w:pPr>
              <w:spacing w:after="0"/>
              <w:rPr>
                <w:sz w:val="17"/>
                <w:szCs w:val="17"/>
                <w:color w:val="auto"/>
              </w:rPr>
            </w:pPr>
          </w:p>
        </w:tc>
        <w:tc>
          <w:tcPr>
            <w:tcW w:w="10260" w:type="dxa"/>
            <w:vAlign w:val="bottom"/>
            <w:gridSpan w:val="8"/>
          </w:tcPr>
          <w:p>
            <w:pPr>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Certifications by Chief Financial Officer pursuant to Exchange Act Rule 13a-14(a), as adopted pursuant to Section 302 of the Sarbanes-Oxley</w:t>
              </w:r>
            </w:hyperlink>
          </w:p>
        </w:tc>
      </w:tr>
      <w:tr>
        <w:trPr>
          <w:trHeight w:val="196"/>
        </w:trPr>
        <w:tc>
          <w:tcPr>
            <w:tcW w:w="2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Act of 2002, as amended</w:t>
              </w:r>
            </w:hyperlink>
          </w:p>
        </w:tc>
        <w:tc>
          <w:tcPr>
            <w:tcW w:w="8420" w:type="dxa"/>
            <w:vAlign w:val="bottom"/>
            <w:tcBorders>
              <w:top w:val="single" w:sz="8" w:color="0000EE"/>
            </w:tcBorders>
            <w:gridSpan w:val="4"/>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920" w:type="dxa"/>
            <w:vAlign w:val="bottom"/>
            <w:gridSpan w:val="3"/>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240" w:type="dxa"/>
            <w:vAlign w:val="bottom"/>
          </w:tcPr>
          <w:p>
            <w:pPr>
              <w:spacing w:after="0"/>
              <w:rPr>
                <w:sz w:val="17"/>
                <w:szCs w:val="17"/>
                <w:color w:val="auto"/>
              </w:rPr>
            </w:pPr>
          </w:p>
        </w:tc>
        <w:tc>
          <w:tcPr>
            <w:tcW w:w="10260" w:type="dxa"/>
            <w:vAlign w:val="bottom"/>
            <w:gridSpan w:val="8"/>
          </w:tcPr>
          <w:p>
            <w:pPr>
              <w:spacing w:after="0" w:line="196" w:lineRule="exact"/>
              <w:rPr>
                <w:rFonts w:ascii="Arial" w:cs="Arial" w:eastAsia="Arial" w:hAnsi="Arial"/>
                <w:sz w:val="18"/>
                <w:szCs w:val="18"/>
                <w:color w:val="0000EE"/>
                <w:w w:val="93"/>
              </w:rPr>
            </w:pPr>
            <w:hyperlink w:anchor="page71">
              <w:r>
                <w:rPr>
                  <w:rFonts w:ascii="Arial" w:cs="Arial" w:eastAsia="Arial" w:hAnsi="Arial"/>
                  <w:sz w:val="18"/>
                  <w:szCs w:val="18"/>
                  <w:color w:val="0000EE"/>
                  <w:w w:val="93"/>
                </w:rPr>
                <w:t>Certification of the Chief Executive Officer pursuant to 18 U.S.C. Section 1350, as adopted pursuant to Section 906 of the Sarbanes-Oxley</w:t>
              </w:r>
            </w:hyperlink>
          </w:p>
        </w:tc>
      </w:tr>
      <w:tr>
        <w:trPr>
          <w:trHeight w:val="196"/>
        </w:trPr>
        <w:tc>
          <w:tcPr>
            <w:tcW w:w="2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Act of 2002, as amended</w:t>
              </w:r>
            </w:hyperlink>
          </w:p>
        </w:tc>
        <w:tc>
          <w:tcPr>
            <w:tcW w:w="8200" w:type="dxa"/>
            <w:vAlign w:val="bottom"/>
            <w:tcBorders>
              <w:top w:val="single" w:sz="8" w:color="0000EE"/>
            </w:tcBorders>
            <w:gridSpan w:val="3"/>
          </w:tcPr>
          <w:p>
            <w:pPr>
              <w:spacing w:after="0"/>
              <w:rPr>
                <w:sz w:val="17"/>
                <w:szCs w:val="17"/>
                <w:color w:val="auto"/>
              </w:rPr>
            </w:pPr>
          </w:p>
        </w:tc>
        <w:tc>
          <w:tcPr>
            <w:tcW w:w="260" w:type="dxa"/>
            <w:vAlign w:val="bottom"/>
            <w:gridSpan w:val="3"/>
          </w:tcPr>
          <w:p>
            <w:pPr>
              <w:spacing w:after="0"/>
              <w:rPr>
                <w:sz w:val="17"/>
                <w:szCs w:val="17"/>
                <w:color w:val="auto"/>
              </w:rPr>
            </w:pPr>
          </w:p>
        </w:tc>
      </w:tr>
      <w:tr>
        <w:trPr>
          <w:trHeight w:val="196"/>
        </w:trPr>
        <w:tc>
          <w:tcPr>
            <w:tcW w:w="920" w:type="dxa"/>
            <w:vAlign w:val="bottom"/>
            <w:gridSpan w:val="3"/>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240" w:type="dxa"/>
            <w:vAlign w:val="bottom"/>
          </w:tcPr>
          <w:p>
            <w:pPr>
              <w:spacing w:after="0"/>
              <w:rPr>
                <w:sz w:val="17"/>
                <w:szCs w:val="17"/>
                <w:color w:val="auto"/>
              </w:rPr>
            </w:pPr>
          </w:p>
        </w:tc>
        <w:tc>
          <w:tcPr>
            <w:tcW w:w="10260" w:type="dxa"/>
            <w:vAlign w:val="bottom"/>
            <w:gridSpan w:val="8"/>
          </w:tcPr>
          <w:p>
            <w:pPr>
              <w:spacing w:after="0" w:line="196"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Certification of the Chief Financial Officer pursuant to 18 U.S.C. Section 1350, as adopted pursuant to Section 906 of the Sarbanes-Oxley Act</w:t>
              </w:r>
            </w:hyperlink>
          </w:p>
        </w:tc>
      </w:tr>
      <w:tr>
        <w:trPr>
          <w:trHeight w:val="196"/>
        </w:trPr>
        <w:tc>
          <w:tcPr>
            <w:tcW w:w="2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of 2002, as amended</w:t>
              </w:r>
            </w:hyperlink>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097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36"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3"/>
          </w:tcPr>
          <w:p>
            <w:pPr>
              <w:ind w:left="2180"/>
              <w:spacing w:after="0"/>
              <w:rPr>
                <w:sz w:val="20"/>
                <w:szCs w:val="20"/>
                <w:color w:val="auto"/>
              </w:rPr>
            </w:pPr>
            <w:r>
              <w:rPr>
                <w:rFonts w:ascii="Arial" w:cs="Arial" w:eastAsia="Arial" w:hAnsi="Arial"/>
                <w:sz w:val="18"/>
                <w:szCs w:val="18"/>
                <w:color w:val="auto"/>
              </w:rPr>
              <w:t>H</w:t>
            </w:r>
            <w:r>
              <w:rPr>
                <w:rFonts w:ascii="Arial" w:cs="Arial" w:eastAsia="Arial" w:hAnsi="Arial"/>
                <w:sz w:val="12"/>
                <w:szCs w:val="12"/>
                <w:color w:val="auto"/>
              </w:rPr>
              <w:t>ORIZON</w:t>
            </w:r>
            <w:r>
              <w:rPr>
                <w:rFonts w:ascii="Arial" w:cs="Arial" w:eastAsia="Arial" w:hAnsi="Arial"/>
                <w:sz w:val="18"/>
                <w:szCs w:val="18"/>
                <w:color w:val="auto"/>
              </w:rPr>
              <w:t xml:space="preserve"> T</w:t>
            </w:r>
            <w:r>
              <w:rPr>
                <w:rFonts w:ascii="Arial" w:cs="Arial" w:eastAsia="Arial" w:hAnsi="Arial"/>
                <w:sz w:val="12"/>
                <w:szCs w:val="12"/>
                <w:color w:val="auto"/>
              </w:rPr>
              <w:t>ECHNOLOGY</w:t>
            </w:r>
            <w:r>
              <w:rPr>
                <w:rFonts w:ascii="Arial" w:cs="Arial" w:eastAsia="Arial" w:hAnsi="Arial"/>
                <w:sz w:val="18"/>
                <w:szCs w:val="18"/>
                <w:color w:val="auto"/>
              </w:rPr>
              <w:t xml:space="preserve"> F</w:t>
            </w:r>
            <w:r>
              <w:rPr>
                <w:rFonts w:ascii="Arial" w:cs="Arial" w:eastAsia="Arial" w:hAnsi="Arial"/>
                <w:sz w:val="12"/>
                <w:szCs w:val="12"/>
                <w:color w:val="auto"/>
              </w:rPr>
              <w:t>INANCE</w:t>
            </w:r>
            <w:r>
              <w:rPr>
                <w:rFonts w:ascii="Arial" w:cs="Arial" w:eastAsia="Arial" w:hAnsi="Arial"/>
                <w:sz w:val="18"/>
                <w:szCs w:val="18"/>
                <w:color w:val="auto"/>
              </w:rPr>
              <w:t xml:space="preserve"> C</w:t>
            </w:r>
            <w:r>
              <w:rPr>
                <w:rFonts w:ascii="Arial" w:cs="Arial" w:eastAsia="Arial" w:hAnsi="Arial"/>
                <w:sz w:val="12"/>
                <w:szCs w:val="12"/>
                <w:color w:val="auto"/>
              </w:rPr>
              <w:t>ORPORATION</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October 30, 2018</w:t>
            </w:r>
          </w:p>
        </w:tc>
        <w:tc>
          <w:tcPr>
            <w:tcW w:w="2740" w:type="dxa"/>
            <w:vAlign w:val="bottom"/>
          </w:tcPr>
          <w:p>
            <w:pPr>
              <w:ind w:left="23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D. Pomeroy, Jr.</w:t>
            </w:r>
          </w:p>
        </w:tc>
      </w:tr>
      <w:tr>
        <w:trPr>
          <w:trHeight w:val="195"/>
        </w:trPr>
        <w:tc>
          <w:tcPr>
            <w:tcW w:w="36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ind w:left="100"/>
              <w:spacing w:after="0" w:line="195" w:lineRule="exact"/>
              <w:rPr>
                <w:sz w:val="20"/>
                <w:szCs w:val="20"/>
                <w:color w:val="auto"/>
              </w:rPr>
            </w:pPr>
            <w:r>
              <w:rPr>
                <w:rFonts w:ascii="Arial" w:cs="Arial" w:eastAsia="Arial" w:hAnsi="Arial"/>
                <w:sz w:val="18"/>
                <w:szCs w:val="18"/>
                <w:color w:val="auto"/>
              </w:rPr>
              <w:t>Robert D. Pomeroy, Jr.</w:t>
            </w:r>
          </w:p>
        </w:tc>
      </w:tr>
      <w:tr>
        <w:trPr>
          <w:trHeight w:val="230"/>
        </w:trPr>
        <w:tc>
          <w:tcPr>
            <w:tcW w:w="36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00"/>
              <w:spacing w:after="0"/>
              <w:rPr>
                <w:sz w:val="20"/>
                <w:szCs w:val="20"/>
                <w:color w:val="auto"/>
              </w:rPr>
            </w:pPr>
            <w:r>
              <w:rPr>
                <w:rFonts w:ascii="Arial" w:cs="Arial" w:eastAsia="Arial" w:hAnsi="Arial"/>
                <w:sz w:val="18"/>
                <w:szCs w:val="18"/>
                <w:color w:val="auto"/>
              </w:rPr>
              <w:t>Chief Executive Officer and Chairman of the Board</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October 30, 2018</w:t>
            </w:r>
          </w:p>
        </w:tc>
        <w:tc>
          <w:tcPr>
            <w:tcW w:w="2740" w:type="dxa"/>
            <w:vAlign w:val="bottom"/>
          </w:tcPr>
          <w:p>
            <w:pPr>
              <w:ind w:left="23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R. Trolio</w:t>
            </w:r>
          </w:p>
        </w:tc>
      </w:tr>
      <w:tr>
        <w:trPr>
          <w:trHeight w:val="195"/>
        </w:trPr>
        <w:tc>
          <w:tcPr>
            <w:tcW w:w="36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40" w:type="dxa"/>
            <w:vAlign w:val="bottom"/>
          </w:tcPr>
          <w:p>
            <w:pPr>
              <w:ind w:left="100"/>
              <w:spacing w:after="0" w:line="195" w:lineRule="exact"/>
              <w:rPr>
                <w:sz w:val="20"/>
                <w:szCs w:val="20"/>
                <w:color w:val="auto"/>
              </w:rPr>
            </w:pPr>
            <w:r>
              <w:rPr>
                <w:rFonts w:ascii="Arial" w:cs="Arial" w:eastAsia="Arial" w:hAnsi="Arial"/>
                <w:sz w:val="18"/>
                <w:szCs w:val="18"/>
                <w:color w:val="auto"/>
              </w:rPr>
              <w:t>Daniel R. Trolio</w:t>
            </w:r>
          </w:p>
        </w:tc>
      </w:tr>
      <w:tr>
        <w:trPr>
          <w:trHeight w:val="230"/>
        </w:trPr>
        <w:tc>
          <w:tcPr>
            <w:tcW w:w="36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675"/>
        </w:trPr>
        <w:tc>
          <w:tcPr>
            <w:tcW w:w="3660" w:type="dxa"/>
            <w:vAlign w:val="bottom"/>
          </w:tcPr>
          <w:p>
            <w:pPr>
              <w:spacing w:after="0"/>
              <w:rPr>
                <w:sz w:val="24"/>
                <w:szCs w:val="24"/>
                <w:color w:val="auto"/>
              </w:rPr>
            </w:pPr>
          </w:p>
        </w:tc>
        <w:tc>
          <w:tcPr>
            <w:tcW w:w="2740" w:type="dxa"/>
            <w:vAlign w:val="bottom"/>
          </w:tcPr>
          <w:p>
            <w:pPr>
              <w:jc w:val="right"/>
              <w:ind w:right="490"/>
              <w:spacing w:after="0"/>
              <w:rPr>
                <w:sz w:val="20"/>
                <w:szCs w:val="20"/>
                <w:color w:val="auto"/>
              </w:rPr>
            </w:pPr>
            <w:r>
              <w:rPr>
                <w:rFonts w:ascii="Arial" w:cs="Arial" w:eastAsia="Arial" w:hAnsi="Arial"/>
                <w:sz w:val="18"/>
                <w:szCs w:val="18"/>
                <w:color w:val="auto"/>
              </w:rPr>
              <w:t>67</w:t>
            </w:r>
          </w:p>
        </w:tc>
        <w:tc>
          <w:tcPr>
            <w:tcW w:w="58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243"/>
        </w:trPr>
        <w:tc>
          <w:tcPr>
            <w:tcW w:w="366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4440" w:type="dxa"/>
            <w:vAlign w:val="bottom"/>
            <w:tcBorders>
              <w:bottom w:val="single" w:sz="8" w:color="auto"/>
            </w:tcBorders>
          </w:tcPr>
          <w:p>
            <w:pPr>
              <w:spacing w:after="0"/>
              <w:rPr>
                <w:sz w:val="21"/>
                <w:szCs w:val="21"/>
                <w:color w:val="auto"/>
              </w:rPr>
            </w:pPr>
          </w:p>
        </w:tc>
      </w:tr>
    </w:tbl>
    <w:p>
      <w:pPr>
        <w:sectPr>
          <w:pgSz w:w="11900" w:h="16838" w:orient="portrait"/>
          <w:cols w:equalWidth="0" w:num="1">
            <w:col w:w="11420"/>
          </w:cols>
          <w:pgMar w:left="240" w:top="90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EXCHANGE 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 AND 15d-14,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302 OF THE SARBANES-OXLEY ACT OF 2002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D. Pomeroy, Jr., as Chief Executive Officer and Chairman of the Board of Horizon Technology Finance Corporation, certify that:</w:t>
      </w:r>
    </w:p>
    <w:p>
      <w:pPr>
        <w:spacing w:after="0" w:line="225" w:lineRule="exact"/>
        <w:rPr>
          <w:sz w:val="20"/>
          <w:szCs w:val="20"/>
          <w:color w:val="auto"/>
        </w:rPr>
      </w:pPr>
    </w:p>
    <w:p>
      <w:pPr>
        <w:ind w:left="520" w:hanging="188"/>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Horizon Technology Finance Corporation;</w:t>
      </w:r>
    </w:p>
    <w:p>
      <w:pPr>
        <w:spacing w:after="0" w:line="225" w:lineRule="exact"/>
        <w:rPr>
          <w:rFonts w:ascii="Arial" w:cs="Arial" w:eastAsia="Arial" w:hAnsi="Arial"/>
          <w:sz w:val="18"/>
          <w:szCs w:val="18"/>
          <w:color w:val="auto"/>
        </w:rPr>
      </w:pPr>
    </w:p>
    <w:p>
      <w:pPr>
        <w:ind w:firstLine="332"/>
        <w:spacing w:after="0" w:line="342" w:lineRule="auto"/>
        <w:tabs>
          <w:tab w:leader="none" w:pos="5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2"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332"/>
        <w:spacing w:after="0" w:line="264" w:lineRule="auto"/>
        <w:tabs>
          <w:tab w:leader="none" w:pos="5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332"/>
        <w:spacing w:after="0" w:line="264" w:lineRule="auto"/>
        <w:tabs>
          <w:tab w:leader="none" w:pos="526"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332"/>
        <w:spacing w:after="0" w:line="277" w:lineRule="auto"/>
        <w:tabs>
          <w:tab w:leader="none" w:pos="5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332"/>
        <w:spacing w:after="0" w:line="308" w:lineRule="auto"/>
        <w:tabs>
          <w:tab w:leader="none" w:pos="51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332"/>
        <w:spacing w:after="0" w:line="277" w:lineRule="auto"/>
        <w:tabs>
          <w:tab w:leader="none" w:pos="5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2"/>
        <w:spacing w:after="0" w:line="277" w:lineRule="auto"/>
        <w:tabs>
          <w:tab w:leader="none" w:pos="527"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2018</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D. Pomeroy, Jr.</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1902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EXCHANGE ACT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 AND 15d-14,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302 OF THE SARBANES-OXLEY ACT OF 2002</w:t>
      </w:r>
    </w:p>
    <w:p>
      <w:pPr>
        <w:spacing w:after="0" w:line="20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R. Trolio, as Chief Financial Officer of Horizon Technology Finance Corporation, certify that:</w:t>
      </w:r>
    </w:p>
    <w:p>
      <w:pPr>
        <w:spacing w:after="0" w:line="225" w:lineRule="exact"/>
        <w:rPr>
          <w:sz w:val="20"/>
          <w:szCs w:val="20"/>
          <w:color w:val="auto"/>
        </w:rPr>
      </w:pPr>
    </w:p>
    <w:p>
      <w:pPr>
        <w:ind w:left="520" w:hanging="188"/>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Horizon Technology Finance Corporation;</w:t>
      </w:r>
    </w:p>
    <w:p>
      <w:pPr>
        <w:spacing w:after="0" w:line="225" w:lineRule="exact"/>
        <w:rPr>
          <w:rFonts w:ascii="Arial" w:cs="Arial" w:eastAsia="Arial" w:hAnsi="Arial"/>
          <w:sz w:val="18"/>
          <w:szCs w:val="18"/>
          <w:color w:val="auto"/>
        </w:rPr>
      </w:pPr>
    </w:p>
    <w:p>
      <w:pPr>
        <w:ind w:firstLine="332"/>
        <w:spacing w:after="0" w:line="342" w:lineRule="auto"/>
        <w:tabs>
          <w:tab w:leader="none" w:pos="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332"/>
        <w:spacing w:after="0" w:line="277" w:lineRule="auto"/>
        <w:tabs>
          <w:tab w:leader="none" w:pos="522"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332"/>
        <w:spacing w:after="0" w:line="264" w:lineRule="auto"/>
        <w:tabs>
          <w:tab w:leader="none" w:pos="517"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332"/>
        <w:spacing w:after="0" w:line="264" w:lineRule="auto"/>
        <w:tabs>
          <w:tab w:leader="none" w:pos="526"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332"/>
        <w:spacing w:after="0" w:line="277" w:lineRule="auto"/>
        <w:tabs>
          <w:tab w:leader="none" w:pos="51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332"/>
        <w:spacing w:after="0" w:line="264" w:lineRule="auto"/>
        <w:tabs>
          <w:tab w:leader="none" w:pos="53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332"/>
        <w:spacing w:after="0" w:line="308" w:lineRule="auto"/>
        <w:tabs>
          <w:tab w:leader="none" w:pos="51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firstLine="332"/>
        <w:spacing w:after="0" w:line="277" w:lineRule="auto"/>
        <w:tabs>
          <w:tab w:leader="none" w:pos="5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2"/>
        <w:spacing w:after="0" w:line="277" w:lineRule="auto"/>
        <w:tabs>
          <w:tab w:leader="none" w:pos="52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2018</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R. Trolio</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Daniel R. Trolio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1902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b w:val="1"/>
          <w:bCs w:val="1"/>
          <w:color w:val="auto"/>
        </w:rPr>
        <w:t>EXHIBIT 32.1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Quarterly Report on Form 10-Q of Horizon Technology Finance Corporation (the “Company”) for the quarterly period ended September 30, 2018 as filed with the Securities and Exchange Commission on the date hereof (the “Report”), I, Robert D. Pomeroy, Jr., as Chief Executive Officer and Chairman of the Board, certify, pursuant to 18 U.S.C. Section 1350, as adopted pursuant to Section 906 of Sarbanes-Oxley Act of 2002, as amended, that to my knowledge:</w:t>
      </w:r>
    </w:p>
    <w:p>
      <w:pPr>
        <w:spacing w:after="0" w:line="187" w:lineRule="exact"/>
        <w:rPr>
          <w:sz w:val="20"/>
          <w:szCs w:val="20"/>
          <w:color w:val="auto"/>
        </w:rPr>
      </w:pPr>
    </w:p>
    <w:p>
      <w:pPr>
        <w:ind w:left="580" w:hanging="248"/>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Robert D. Pomeroy, Jr.</w:t>
      </w:r>
    </w:p>
    <w:p>
      <w:pPr>
        <w:spacing w:after="0" w:line="2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Robert D. Pomeroy,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591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 and</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Chairman of the Board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22"/>
          <w:szCs w:val="22"/>
          <w:b w:val="1"/>
          <w:bCs w:val="1"/>
          <w:color w:val="auto"/>
        </w:rPr>
        <w:t>EXHIBIT 32.2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Quarterly Report on Form 10-Q of Horizon Technology Finance Corporation (the “Company”) for the quarterly period ended September 30, 2018 as filed with the Securities and Exchange Commission on the date hereof (the “Report”), I, Daniel R. Trolio, as Chief Financial Officer of the Company, certify, pursuant to 18 U.S.C. Section 1350, as adopted pursuant to Section 906 of Sarbanes-Oxley Act of 2002, as amended, that to my knowledge:</w:t>
      </w:r>
    </w:p>
    <w:p>
      <w:pPr>
        <w:spacing w:after="0" w:line="187" w:lineRule="exact"/>
        <w:rPr>
          <w:sz w:val="20"/>
          <w:szCs w:val="20"/>
          <w:color w:val="auto"/>
        </w:rPr>
      </w:pPr>
    </w:p>
    <w:p>
      <w:pPr>
        <w:ind w:left="580" w:hanging="248"/>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Daniel R. Trolio</w:t>
      </w:r>
    </w:p>
    <w:p>
      <w:pPr>
        <w:spacing w:after="0" w:line="2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Daniel R. Trolio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591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2"/>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2"/>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2019-12-28T18:54:22Z</dcterms:created>
  <dcterms:modified xsi:type="dcterms:W3CDTF">2019-12-28T18:54:22Z</dcterms:modified>
</cp:coreProperties>
</file>