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154940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95250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6" w:lineRule="exact"/>
        <w:rPr>
          <w:sz w:val="24"/>
          <w:szCs w:val="24"/>
          <w:color w:val="auto"/>
        </w:rPr>
      </w:pPr>
    </w:p>
    <w:p>
      <w:pPr>
        <w:ind w:left="3460" w:right="2620" w:hanging="3290"/>
        <w:spacing w:after="0" w:line="519" w:lineRule="auto"/>
        <w:tabs>
          <w:tab w:leader="none" w:pos="39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1" w:lineRule="exact"/>
        <w:rPr>
          <w:sz w:val="24"/>
          <w:szCs w:val="24"/>
          <w:color w:val="auto"/>
        </w:rPr>
      </w:pPr>
    </w:p>
    <w:p>
      <w:pPr>
        <w:ind w:left="3780" w:right="2600" w:hanging="3610"/>
        <w:spacing w:after="0" w:line="537" w:lineRule="auto"/>
        <w:tabs>
          <w:tab w:leader="none" w:pos="379"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_____TO</w:t>
      </w:r>
    </w:p>
    <w:p>
      <w:pPr>
        <w:ind w:left="40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814</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00802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193040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HORIZON TECHNOLOGY FINANCE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43180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0" w:lineRule="exact"/>
        <w:rPr>
          <w:sz w:val="24"/>
          <w:szCs w:val="24"/>
          <w:color w:val="auto"/>
        </w:rPr>
      </w:pPr>
    </w:p>
    <w:tbl>
      <w:tblPr>
        <w:tblLayout w:type="fixed"/>
        <w:tblInd w:w="580" w:type="dxa"/>
        <w:tblCellMar>
          <w:top w:w="0" w:type="dxa"/>
          <w:left w:w="0" w:type="dxa"/>
          <w:bottom w:w="0" w:type="dxa"/>
          <w:right w:w="0" w:type="dxa"/>
        </w:tblCellMar>
      </w:tblPr>
      <w:tr>
        <w:trPr>
          <w:trHeight w:val="218"/>
        </w:trPr>
        <w:tc>
          <w:tcPr>
            <w:tcW w:w="4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40" w:type="dxa"/>
            <w:vAlign w:val="bottom"/>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27-2114934</w:t>
            </w:r>
          </w:p>
        </w:tc>
      </w:tr>
      <w:tr>
        <w:trPr>
          <w:trHeight w:val="214"/>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4740" w:type="dxa"/>
            <w:vAlign w:val="bottom"/>
          </w:tcPr>
          <w:p>
            <w:pPr>
              <w:jc w:val="center"/>
              <w:ind w:left="2072"/>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216"/>
        </w:trPr>
        <w:tc>
          <w:tcPr>
            <w:tcW w:w="4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312 Farmington Avenue</w:t>
            </w:r>
          </w:p>
        </w:tc>
        <w:tc>
          <w:tcPr>
            <w:tcW w:w="4740" w:type="dxa"/>
            <w:vAlign w:val="bottom"/>
          </w:tcPr>
          <w:p>
            <w:pPr>
              <w:spacing w:after="0"/>
              <w:rPr>
                <w:sz w:val="18"/>
                <w:szCs w:val="18"/>
                <w:color w:val="auto"/>
              </w:rPr>
            </w:pPr>
          </w:p>
        </w:tc>
      </w:tr>
      <w:tr>
        <w:trPr>
          <w:trHeight w:val="218"/>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Farmington, CT</w:t>
            </w:r>
          </w:p>
        </w:tc>
        <w:tc>
          <w:tcPr>
            <w:tcW w:w="4740" w:type="dxa"/>
            <w:vAlign w:val="bottom"/>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rPr>
              <w:t>06032</w:t>
            </w:r>
          </w:p>
        </w:tc>
      </w:tr>
      <w:tr>
        <w:trPr>
          <w:trHeight w:val="236"/>
        </w:trPr>
        <w:tc>
          <w:tcPr>
            <w:tcW w:w="446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740" w:type="dxa"/>
            <w:vAlign w:val="bottom"/>
          </w:tcPr>
          <w:p>
            <w:pPr>
              <w:jc w:val="center"/>
              <w:ind w:left="2072"/>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23"/>
        </w:trPr>
        <w:tc>
          <w:tcPr>
            <w:tcW w:w="4460" w:type="dxa"/>
            <w:vAlign w:val="bottom"/>
          </w:tcPr>
          <w:p>
            <w:pPr>
              <w:spacing w:after="0"/>
              <w:rPr>
                <w:sz w:val="24"/>
                <w:szCs w:val="24"/>
                <w:color w:val="auto"/>
              </w:rPr>
            </w:pPr>
          </w:p>
        </w:tc>
        <w:tc>
          <w:tcPr>
            <w:tcW w:w="4740" w:type="dxa"/>
            <w:vAlign w:val="bottom"/>
          </w:tcPr>
          <w:p>
            <w:pPr>
              <w:ind w:left="80"/>
              <w:spacing w:after="0" w:line="184" w:lineRule="exact"/>
              <w:rPr>
                <w:sz w:val="20"/>
                <w:szCs w:val="20"/>
                <w:color w:val="auto"/>
              </w:rPr>
            </w:pPr>
            <w:r>
              <w:rPr>
                <w:rFonts w:ascii="Times New Roman" w:cs="Times New Roman" w:eastAsia="Times New Roman" w:hAnsi="Times New Roman"/>
                <w:sz w:val="16"/>
                <w:szCs w:val="16"/>
                <w:b w:val="1"/>
                <w:bCs w:val="1"/>
                <w:color w:val="auto"/>
              </w:rPr>
              <w:t>(860) 676</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8654</w:t>
            </w:r>
          </w:p>
        </w:tc>
      </w:tr>
    </w:tbl>
    <w:p>
      <w:pPr>
        <w:jc w:val="center"/>
        <w:spacing w:after="0"/>
        <w:rPr>
          <w:sz w:val="20"/>
          <w:szCs w:val="20"/>
          <w:color w:val="auto"/>
        </w:rPr>
      </w:pPr>
      <w:r>
        <w:rPr>
          <w:rFonts w:ascii="Times New Roman" w:cs="Times New Roman" w:eastAsia="Times New Roman" w:hAnsi="Times New Roman"/>
          <w:sz w:val="16"/>
          <w:szCs w:val="16"/>
          <w:b w:val="1"/>
          <w:bCs w:val="1"/>
          <w:color w:val="auto"/>
        </w:rPr>
        <w:t>(Registrant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120650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both"/>
        <w:ind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jc w:val="both"/>
        <w:ind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firstLine="324"/>
        <w:spacing w:after="0" w:line="205" w:lineRule="exact"/>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49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96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Accelerated filer</w:t>
            </w:r>
          </w:p>
        </w:tc>
        <w:tc>
          <w:tcPr>
            <w:tcW w:w="200" w:type="dxa"/>
            <w:vAlign w:val="bottom"/>
          </w:tcPr>
          <w:p>
            <w:pPr>
              <w:ind w:left="20"/>
              <w:spacing w:after="0" w:line="161" w:lineRule="exact"/>
              <w:rPr>
                <w:sz w:val="20"/>
                <w:szCs w:val="20"/>
                <w:color w:val="auto"/>
              </w:rPr>
            </w:pPr>
            <w:r>
              <w:rPr>
                <w:rFonts w:ascii="MS PGothic" w:cs="MS PGothic" w:eastAsia="MS PGothic" w:hAnsi="MS PGothic"/>
                <w:sz w:val="16"/>
                <w:szCs w:val="16"/>
                <w:color w:val="auto"/>
                <w:w w:val="99"/>
              </w:rPr>
              <w:t>☒</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49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96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00" w:type="dxa"/>
            <w:vAlign w:val="bottom"/>
          </w:tcPr>
          <w:p>
            <w:pPr>
              <w:ind w:left="20"/>
              <w:spacing w:after="0" w:line="161" w:lineRule="exact"/>
              <w:rPr>
                <w:sz w:val="20"/>
                <w:szCs w:val="20"/>
                <w:color w:val="auto"/>
              </w:rPr>
            </w:pPr>
            <w:r>
              <w:rPr>
                <w:rFonts w:ascii="MS PGothic" w:cs="MS PGothic" w:eastAsia="MS PGothic" w:hAnsi="MS PGothic"/>
                <w:sz w:val="16"/>
                <w:szCs w:val="16"/>
                <w:color w:val="auto"/>
                <w:w w:val="99"/>
              </w:rPr>
              <w:t>☐</w:t>
            </w:r>
          </w:p>
        </w:tc>
        <w:tc>
          <w:tcPr>
            <w:tcW w:w="0" w:type="dxa"/>
            <w:vAlign w:val="bottom"/>
          </w:tcPr>
          <w:p>
            <w:pPr>
              <w:spacing w:after="0"/>
              <w:rPr>
                <w:sz w:val="1"/>
                <w:szCs w:val="1"/>
                <w:color w:val="auto"/>
              </w:rPr>
            </w:pPr>
          </w:p>
        </w:tc>
      </w:tr>
      <w:tr>
        <w:trPr>
          <w:trHeight w:val="27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49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3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4"/>
        </w:trPr>
        <w:tc>
          <w:tcPr>
            <w:tcW w:w="110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20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7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396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4"/>
          <w:szCs w:val="24"/>
          <w:color w:val="auto"/>
        </w:rPr>
      </w:pPr>
    </w:p>
    <w:p>
      <w:pPr>
        <w:ind w:left="340"/>
        <w:spacing w:after="0" w:line="184"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7" w:lineRule="exact"/>
        <w:rPr>
          <w:sz w:val="24"/>
          <w:szCs w:val="24"/>
          <w:color w:val="auto"/>
        </w:rPr>
      </w:pPr>
    </w:p>
    <w:p>
      <w:pPr>
        <w:jc w:val="both"/>
        <w:ind w:firstLine="324"/>
        <w:spacing w:after="0" w:line="298" w:lineRule="auto"/>
        <w:rPr>
          <w:sz w:val="20"/>
          <w:szCs w:val="20"/>
          <w:color w:val="auto"/>
        </w:rPr>
      </w:pPr>
      <w:r>
        <w:rPr>
          <w:rFonts w:ascii="Times New Roman" w:cs="Times New Roman" w:eastAsia="Times New Roman" w:hAnsi="Times New Roman"/>
          <w:sz w:val="16"/>
          <w:szCs w:val="16"/>
          <w:color w:val="auto"/>
        </w:rPr>
        <w:t>The number of shares of the registrant’s common stock traded under the symbol “HRZN” on the Nasdaq Global Select Market, $0.001 par value per share, outstanding as of May 5, 2026 was 68,261,111.</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40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4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Ticker symbol(s)</w:t>
            </w:r>
          </w:p>
        </w:tc>
        <w:tc>
          <w:tcPr>
            <w:tcW w:w="220" w:type="dxa"/>
            <w:vAlign w:val="bottom"/>
          </w:tcPr>
          <w:p>
            <w:pPr>
              <w:spacing w:after="0"/>
              <w:rPr>
                <w:sz w:val="24"/>
                <w:szCs w:val="24"/>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4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HRZN</w:t>
            </w:r>
          </w:p>
        </w:tc>
        <w:tc>
          <w:tcPr>
            <w:tcW w:w="220" w:type="dxa"/>
            <w:vAlign w:val="bottom"/>
          </w:tcPr>
          <w:p>
            <w:pPr>
              <w:spacing w:after="0"/>
              <w:rPr>
                <w:sz w:val="16"/>
                <w:szCs w:val="16"/>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6.25% Notes due 2027</w:t>
            </w:r>
          </w:p>
        </w:tc>
        <w:tc>
          <w:tcPr>
            <w:tcW w:w="2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HTFC</w:t>
            </w: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New York Stock Exchange</w:t>
            </w:r>
          </w:p>
        </w:tc>
      </w:tr>
      <w:tr>
        <w:trPr>
          <w:trHeight w:val="276"/>
        </w:trPr>
        <w:tc>
          <w:tcPr>
            <w:tcW w:w="4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r>
        <w:trPr>
          <w:trHeight w:val="68"/>
        </w:trPr>
        <w:tc>
          <w:tcPr>
            <w:tcW w:w="42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60" w:type="dxa"/>
            <w:vAlign w:val="bottom"/>
            <w:tcBorders>
              <w:bottom w:val="single" w:sz="8" w:color="auto"/>
            </w:tcBorders>
          </w:tcPr>
          <w:p>
            <w:pPr>
              <w:spacing w:after="0"/>
              <w:rPr>
                <w:sz w:val="5"/>
                <w:szCs w:val="5"/>
                <w:color w:val="auto"/>
              </w:rPr>
            </w:pPr>
          </w:p>
        </w:tc>
      </w:tr>
      <w:tr>
        <w:trPr>
          <w:trHeight w:val="628"/>
        </w:trPr>
        <w:tc>
          <w:tcPr>
            <w:tcW w:w="4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582"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40" w:type="dxa"/>
            <w:vAlign w:val="bottom"/>
            <w:gridSpan w:val="15"/>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HORIZON TECHNOLOGY FINANCE CORPORATION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20" w:type="dxa"/>
            <w:vAlign w:val="bottom"/>
            <w:gridSpan w:val="14"/>
          </w:tcPr>
          <w:p>
            <w:pPr>
              <w:jc w:val="center"/>
              <w:ind w:right="3160"/>
              <w:spacing w:after="0" w:line="207" w:lineRule="exact"/>
              <w:rPr>
                <w:sz w:val="20"/>
                <w:szCs w:val="20"/>
                <w:color w:val="auto"/>
              </w:rPr>
            </w:pPr>
            <w:r>
              <w:rPr>
                <w:rFonts w:ascii="Times New Roman" w:cs="Times New Roman" w:eastAsia="Times New Roman" w:hAnsi="Times New Roman"/>
                <w:sz w:val="18"/>
                <w:szCs w:val="18"/>
                <w:b w:val="1"/>
                <w:bCs w:val="1"/>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Q</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20" w:type="dxa"/>
            <w:vAlign w:val="bottom"/>
            <w:gridSpan w:val="14"/>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2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520" w:type="dxa"/>
            <w:vAlign w:val="bottom"/>
            <w:gridSpan w:val="13"/>
            <w:vMerge w:val="restart"/>
          </w:tcPr>
          <w:p>
            <w:pPr>
              <w:jc w:val="center"/>
              <w:ind w:right="486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4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520" w:type="dxa"/>
            <w:vAlign w:val="bottom"/>
            <w:gridSpan w:val="13"/>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w:t>
            </w:r>
          </w:p>
        </w:tc>
        <w:tc>
          <w:tcPr>
            <w:tcW w:w="560" w:type="dxa"/>
            <w:vAlign w:val="bottom"/>
            <w:gridSpan w:val="2"/>
          </w:tcPr>
          <w:p>
            <w:pPr>
              <w:spacing w:after="0"/>
              <w:rPr>
                <w:sz w:val="17"/>
                <w:szCs w:val="17"/>
                <w:color w:val="auto"/>
              </w:rPr>
            </w:pPr>
          </w:p>
        </w:tc>
        <w:tc>
          <w:tcPr>
            <w:tcW w:w="25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Financial Statements.</w:t>
            </w:r>
          </w:p>
        </w:tc>
        <w:tc>
          <w:tcPr>
            <w:tcW w:w="1740" w:type="dxa"/>
            <w:vAlign w:val="bottom"/>
            <w:gridSpan w:val="2"/>
          </w:tcPr>
          <w:p>
            <w:pPr>
              <w:spacing w:after="0"/>
              <w:rPr>
                <w:sz w:val="17"/>
                <w:szCs w:val="17"/>
                <w:color w:val="auto"/>
              </w:rPr>
            </w:pPr>
          </w:p>
        </w:tc>
        <w:tc>
          <w:tcPr>
            <w:tcW w:w="580" w:type="dxa"/>
            <w:vAlign w:val="bottom"/>
            <w:tcBorders>
              <w:top w:val="single" w:sz="8" w:color="0000EE"/>
            </w:tcBorders>
            <w:gridSpan w:val="4"/>
          </w:tcPr>
          <w:p>
            <w:pPr>
              <w:spacing w:after="0"/>
              <w:rPr>
                <w:sz w:val="17"/>
                <w:szCs w:val="17"/>
                <w:color w:val="auto"/>
              </w:rPr>
            </w:pPr>
          </w:p>
        </w:tc>
        <w:tc>
          <w:tcPr>
            <w:tcW w:w="4900" w:type="dxa"/>
            <w:vAlign w:val="bottom"/>
            <w:gridSpan w:val="8"/>
          </w:tcPr>
          <w:p>
            <w:pPr>
              <w:spacing w:after="0"/>
              <w:rPr>
                <w:sz w:val="17"/>
                <w:szCs w:val="17"/>
                <w:color w:val="auto"/>
              </w:rPr>
            </w:pPr>
          </w:p>
        </w:tc>
        <w:tc>
          <w:tcPr>
            <w:tcW w:w="4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Assets and Liabilities as of March 31, 2026 (unaudited) and December 31, 2025</w:t>
            </w:r>
          </w:p>
        </w:tc>
        <w:tc>
          <w:tcPr>
            <w:tcW w:w="1980" w:type="dxa"/>
            <w:vAlign w:val="bottom"/>
            <w:gridSpan w:val="2"/>
          </w:tcPr>
          <w:p>
            <w:pPr>
              <w:spacing w:after="0"/>
              <w:rPr>
                <w:sz w:val="24"/>
                <w:szCs w:val="24"/>
                <w:color w:val="auto"/>
              </w:rPr>
            </w:pP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three months ended March 31, 2026 and 2025 (unaudited)</w:t>
            </w:r>
          </w:p>
        </w:tc>
        <w:tc>
          <w:tcPr>
            <w:tcW w:w="1980" w:type="dxa"/>
            <w:vAlign w:val="bottom"/>
            <w:gridSpan w:val="2"/>
          </w:tcPr>
          <w:p>
            <w:pPr>
              <w:spacing w:after="0"/>
              <w:rPr>
                <w:sz w:val="17"/>
                <w:szCs w:val="17"/>
                <w:color w:val="auto"/>
              </w:rPr>
            </w:pPr>
          </w:p>
        </w:tc>
        <w:tc>
          <w:tcPr>
            <w:tcW w:w="4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Net Assets for the three months ended March 31, 2026 and 2025 (unaudited)</w:t>
            </w:r>
          </w:p>
        </w:tc>
        <w:tc>
          <w:tcPr>
            <w:tcW w:w="4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three months ended March 31, 2026 and 2025 (unaudited)</w:t>
            </w:r>
          </w:p>
        </w:tc>
        <w:tc>
          <w:tcPr>
            <w:tcW w:w="1380" w:type="dxa"/>
            <w:vAlign w:val="bottom"/>
          </w:tcPr>
          <w:p>
            <w:pPr>
              <w:spacing w:after="0"/>
              <w:rPr>
                <w:sz w:val="17"/>
                <w:szCs w:val="17"/>
                <w:color w:val="auto"/>
              </w:rPr>
            </w:pPr>
          </w:p>
        </w:tc>
        <w:tc>
          <w:tcPr>
            <w:tcW w:w="4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Schedules of Investments as of March 31, 2026 (unaudited) and December 31, 2025</w:t>
            </w:r>
          </w:p>
        </w:tc>
        <w:tc>
          <w:tcPr>
            <w:tcW w:w="560" w:type="dxa"/>
            <w:vAlign w:val="bottom"/>
            <w:gridSpan w:val="2"/>
          </w:tcPr>
          <w:p>
            <w:pPr>
              <w:spacing w:after="0"/>
              <w:rPr>
                <w:sz w:val="17"/>
                <w:szCs w:val="17"/>
                <w:color w:val="auto"/>
              </w:rPr>
            </w:pPr>
          </w:p>
        </w:tc>
        <w:tc>
          <w:tcPr>
            <w:tcW w:w="2160" w:type="dxa"/>
            <w:vAlign w:val="bottom"/>
            <w:gridSpan w:val="3"/>
          </w:tcPr>
          <w:p>
            <w:pPr>
              <w:spacing w:after="0"/>
              <w:rPr>
                <w:sz w:val="17"/>
                <w:szCs w:val="17"/>
                <w:color w:val="auto"/>
              </w:rPr>
            </w:pPr>
          </w:p>
        </w:tc>
        <w:tc>
          <w:tcPr>
            <w:tcW w:w="4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 (unaudited)</w:t>
            </w:r>
          </w:p>
        </w:tc>
        <w:tc>
          <w:tcPr>
            <w:tcW w:w="2740" w:type="dxa"/>
            <w:vAlign w:val="bottom"/>
            <w:gridSpan w:val="6"/>
          </w:tcPr>
          <w:p>
            <w:pPr>
              <w:spacing w:after="0"/>
              <w:rPr>
                <w:sz w:val="17"/>
                <w:szCs w:val="17"/>
                <w:color w:val="auto"/>
              </w:rPr>
            </w:pPr>
          </w:p>
        </w:tc>
        <w:tc>
          <w:tcPr>
            <w:tcW w:w="272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27</w:t>
            </w: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6"/>
              </w:rPr>
              <w:t>Item 2.</w:t>
            </w:r>
          </w:p>
        </w:tc>
        <w:tc>
          <w:tcPr>
            <w:tcW w:w="560" w:type="dxa"/>
            <w:vAlign w:val="bottom"/>
            <w:gridSpan w:val="2"/>
          </w:tcPr>
          <w:p>
            <w:pPr>
              <w:spacing w:after="0"/>
              <w:rPr>
                <w:sz w:val="17"/>
                <w:szCs w:val="17"/>
                <w:color w:val="auto"/>
              </w:rPr>
            </w:pPr>
          </w:p>
        </w:tc>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55</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6"/>
              </w:rPr>
              <w:t>Item 3.</w:t>
            </w:r>
          </w:p>
        </w:tc>
        <w:tc>
          <w:tcPr>
            <w:tcW w:w="560" w:type="dxa"/>
            <w:vAlign w:val="bottom"/>
            <w:gridSpan w:val="2"/>
          </w:tcPr>
          <w:p>
            <w:pPr>
              <w:spacing w:after="0"/>
              <w:rPr>
                <w:sz w:val="17"/>
                <w:szCs w:val="17"/>
                <w:color w:val="auto"/>
              </w:rPr>
            </w:pPr>
          </w:p>
        </w:tc>
        <w:tc>
          <w:tcPr>
            <w:tcW w:w="43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3"/>
          </w:tcPr>
          <w:p>
            <w:pPr>
              <w:spacing w:after="0"/>
              <w:rPr>
                <w:sz w:val="17"/>
                <w:szCs w:val="17"/>
                <w:color w:val="auto"/>
              </w:rPr>
            </w:pPr>
          </w:p>
        </w:tc>
        <w:tc>
          <w:tcPr>
            <w:tcW w:w="332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70</w:t>
            </w:r>
          </w:p>
        </w:tc>
        <w:tc>
          <w:tcPr>
            <w:tcW w:w="0" w:type="dxa"/>
            <w:vAlign w:val="bottom"/>
          </w:tcPr>
          <w:p>
            <w:pPr>
              <w:spacing w:after="0"/>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70</w:t>
            </w:r>
          </w:p>
        </w:tc>
        <w:tc>
          <w:tcPr>
            <w:tcW w:w="0" w:type="dxa"/>
            <w:vAlign w:val="bottom"/>
          </w:tcPr>
          <w:p>
            <w:pPr>
              <w:spacing w:after="0"/>
              <w:rPr>
                <w:sz w:val="1"/>
                <w:szCs w:val="1"/>
                <w:color w:val="auto"/>
              </w:rPr>
            </w:pPr>
          </w:p>
        </w:tc>
      </w:tr>
      <w:tr>
        <w:trPr>
          <w:trHeight w:val="412"/>
        </w:trPr>
        <w:tc>
          <w:tcPr>
            <w:tcW w:w="4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20" w:type="dxa"/>
            <w:vAlign w:val="bottom"/>
            <w:gridSpan w:val="14"/>
          </w:tcPr>
          <w:p>
            <w:pPr>
              <w:jc w:val="center"/>
              <w:ind w:right="3160"/>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2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6"/>
              </w:rPr>
              <w:t>Item 1.</w:t>
            </w:r>
          </w:p>
        </w:tc>
        <w:tc>
          <w:tcPr>
            <w:tcW w:w="560" w:type="dxa"/>
            <w:vAlign w:val="bottom"/>
            <w:gridSpan w:val="2"/>
          </w:tcPr>
          <w:p>
            <w:pPr>
              <w:spacing w:after="0"/>
              <w:rPr>
                <w:sz w:val="17"/>
                <w:szCs w:val="17"/>
                <w:color w:val="auto"/>
              </w:rPr>
            </w:pPr>
          </w:p>
        </w:tc>
        <w:tc>
          <w:tcPr>
            <w:tcW w:w="42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660" w:type="dxa"/>
            <w:vAlign w:val="bottom"/>
            <w:tcBorders>
              <w:top w:val="single" w:sz="8" w:color="0000EE"/>
            </w:tcBorders>
            <w:gridSpan w:val="6"/>
          </w:tcPr>
          <w:p>
            <w:pPr>
              <w:spacing w:after="0"/>
              <w:rPr>
                <w:sz w:val="17"/>
                <w:szCs w:val="17"/>
                <w:color w:val="auto"/>
              </w:rPr>
            </w:pPr>
          </w:p>
        </w:tc>
        <w:tc>
          <w:tcPr>
            <w:tcW w:w="4860" w:type="dxa"/>
            <w:vAlign w:val="bottom"/>
            <w:gridSpan w:val="7"/>
          </w:tcPr>
          <w:p>
            <w:pPr>
              <w:spacing w:after="0"/>
              <w:rPr>
                <w:sz w:val="17"/>
                <w:szCs w:val="17"/>
                <w:color w:val="auto"/>
              </w:rPr>
            </w:pPr>
          </w:p>
        </w:tc>
        <w:tc>
          <w:tcPr>
            <w:tcW w:w="4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71</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71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6"/>
              </w:rPr>
              <w:t>Item 2.</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420" w:type="dxa"/>
            <w:vAlign w:val="bottom"/>
            <w:gridSpan w:val="10"/>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72</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6"/>
              </w:rPr>
              <w:t>Item 3.</w:t>
            </w:r>
          </w:p>
        </w:tc>
        <w:tc>
          <w:tcPr>
            <w:tcW w:w="560" w:type="dxa"/>
            <w:vAlign w:val="bottom"/>
            <w:gridSpan w:val="2"/>
          </w:tcPr>
          <w:p>
            <w:pPr>
              <w:spacing w:after="0"/>
              <w:rPr>
                <w:sz w:val="17"/>
                <w:szCs w:val="17"/>
                <w:color w:val="auto"/>
              </w:rPr>
            </w:pPr>
          </w:p>
        </w:tc>
        <w:tc>
          <w:tcPr>
            <w:tcW w:w="2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7440" w:type="dxa"/>
            <w:vAlign w:val="bottom"/>
            <w:gridSpan w:val="1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72</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6"/>
              </w:rPr>
              <w:t>Item 4.</w:t>
            </w:r>
          </w:p>
        </w:tc>
        <w:tc>
          <w:tcPr>
            <w:tcW w:w="560" w:type="dxa"/>
            <w:vAlign w:val="bottom"/>
            <w:gridSpan w:val="2"/>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8000" w:type="dxa"/>
            <w:vAlign w:val="bottom"/>
            <w:gridSpan w:val="1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72</w:t>
            </w: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6"/>
              </w:rPr>
              <w:t>Item 5.</w:t>
            </w:r>
          </w:p>
        </w:tc>
        <w:tc>
          <w:tcPr>
            <w:tcW w:w="560" w:type="dxa"/>
            <w:vAlign w:val="bottom"/>
            <w:gridSpan w:val="2"/>
          </w:tcPr>
          <w:p>
            <w:pPr>
              <w:spacing w:after="0"/>
              <w:rPr>
                <w:sz w:val="17"/>
                <w:szCs w:val="17"/>
                <w:color w:val="auto"/>
              </w:rPr>
            </w:pPr>
          </w:p>
        </w:tc>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72</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6"/>
              </w:rPr>
              <w:t>Item 6.</w:t>
            </w:r>
          </w:p>
        </w:tc>
        <w:tc>
          <w:tcPr>
            <w:tcW w:w="560" w:type="dxa"/>
            <w:vAlign w:val="bottom"/>
            <w:gridSpan w:val="2"/>
          </w:tcPr>
          <w:p>
            <w:pPr>
              <w:spacing w:after="0"/>
              <w:rPr>
                <w:sz w:val="17"/>
                <w:szCs w:val="17"/>
                <w:color w:val="auto"/>
              </w:rPr>
            </w:pPr>
          </w:p>
        </w:tc>
        <w:tc>
          <w:tcPr>
            <w:tcW w:w="13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440" w:type="dxa"/>
            <w:vAlign w:val="bottom"/>
            <w:gridSpan w:val="17"/>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72</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1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w w:val="92"/>
              </w:rPr>
              <w:t>EX</w:t>
            </w:r>
            <w:r>
              <w:rPr>
                <w:rFonts w:ascii="MS PGothic" w:cs="MS PGothic" w:eastAsia="MS PGothic" w:hAnsi="MS PGothic"/>
                <w:sz w:val="18"/>
                <w:szCs w:val="18"/>
                <w:color w:val="auto"/>
                <w:w w:val="92"/>
              </w:rPr>
              <w:t>‑</w:t>
            </w:r>
            <w:r>
              <w:rPr>
                <w:rFonts w:ascii="Times New Roman" w:cs="Times New Roman" w:eastAsia="Times New Roman" w:hAnsi="Times New Roman"/>
                <w:sz w:val="18"/>
                <w:szCs w:val="18"/>
                <w:color w:val="auto"/>
                <w:w w:val="92"/>
              </w:rPr>
              <w:t>14</w:t>
            </w:r>
          </w:p>
        </w:tc>
        <w:tc>
          <w:tcPr>
            <w:tcW w:w="560" w:type="dxa"/>
            <w:vAlign w:val="bottom"/>
            <w:gridSpan w:val="2"/>
            <w:vMerge w:val="restart"/>
          </w:tcPr>
          <w:p>
            <w:pPr>
              <w:spacing w:after="0"/>
              <w:rPr>
                <w:sz w:val="17"/>
                <w:szCs w:val="17"/>
                <w:color w:val="auto"/>
              </w:rPr>
            </w:pPr>
          </w:p>
        </w:tc>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4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73</w:t>
            </w:r>
          </w:p>
        </w:tc>
        <w:tc>
          <w:tcPr>
            <w:tcW w:w="0" w:type="dxa"/>
            <w:vAlign w:val="bottom"/>
          </w:tcPr>
          <w:p>
            <w:pPr>
              <w:spacing w:after="0"/>
              <w:rPr>
                <w:sz w:val="1"/>
                <w:szCs w:val="1"/>
                <w:color w:val="auto"/>
              </w:rPr>
            </w:pPr>
          </w:p>
        </w:tc>
      </w:tr>
      <w:tr>
        <w:trPr>
          <w:trHeight w:val="232"/>
        </w:trPr>
        <w:tc>
          <w:tcPr>
            <w:tcW w:w="480" w:type="dxa"/>
            <w:vAlign w:val="bottom"/>
            <w:vMerge w:val="continue"/>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r>
        <w:rPr>
          <w:rFonts w:ascii="Times New Roman" w:cs="Times New Roman" w:eastAsia="Times New Roman" w:hAnsi="Times New Roman"/>
          <w:sz w:val="18"/>
          <w:szCs w:val="18"/>
          <w:color w:val="auto"/>
        </w:rPr>
        <w:t>EX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31.1</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31.2</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32.1</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32.2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Non-affiliate investments at fair value (cost of $668,376 and $616,236, respectively)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631,495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584,100</w:t>
            </w:r>
          </w:p>
        </w:tc>
      </w:tr>
      <w:tr>
        <w:trPr>
          <w:trHeight w:val="23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Non-controlled affiliate investments at fair value (cost of $89,941 and $89,033, respectively) (Note 5)</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63,144</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investments at fair value (cost of $758,317 and $705,269, respectively) (Note 4)</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695,697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647,244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105,519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money market funds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34,711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investments in money market funds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12,086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9,081</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791,647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811,104</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(Note 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447,166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473,027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payable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15,053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management fee payable (Note 3)</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 payable (Note 3)</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3,547</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457,784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492,602</w:t>
            </w:r>
          </w:p>
        </w:tc>
      </w:tr>
      <w:tr>
        <w:trPr>
          <w:trHeight w:val="210"/>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(Notes 3 and 8)</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par value $0.001 per share, 1,000,000 shares authorized, zero shares issued and outstanding</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March 31, 2026 and December 31, 2025</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per share, 100,000,000 shares authorized, 48,027,471 and 45,781,280</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and 47,860,006 and 45,613,815 shares outstanding as of March 31, 2026 and December 31,</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2025, respectively</w:t>
            </w: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capital in excess of par</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575,167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559,355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Distributable loss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(241,357)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(240,904)</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333,863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318,502</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791,647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811,104</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asset value per common share</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6.98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From non-affiliate investments: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21,073</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23,438</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Payment-in-kind (“PIK”) interest income</w:t>
            </w:r>
          </w:p>
        </w:tc>
        <w:tc>
          <w:tcPr>
            <w:tcW w:w="26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 income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From non-controlled affiliate investments: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PIK interest income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controlled affiliate investments: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PIK interest income</w:t>
            </w:r>
          </w:p>
        </w:tc>
        <w:tc>
          <w:tcPr>
            <w:tcW w:w="26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reversal</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24,079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24,516</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8,681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management fee (Note 3)</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Performance based incentive fee (Note 3)</w:t>
            </w:r>
          </w:p>
        </w:tc>
        <w:tc>
          <w:tcPr>
            <w:tcW w:w="26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fee (Note 3)</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14,841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13,419</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investment income before excise tax</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9,238</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11,097</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excise tax</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8,971</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10,719</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realized and unrealized loss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 gain on non-affiliate investments</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68"/>
        </w:trPr>
        <w:tc>
          <w:tcPr>
            <w:tcW w:w="800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320" w:type="dxa"/>
            <w:vAlign w:val="bottom"/>
            <w:tcBorders>
              <w:bottom w:val="single" w:sz="8" w:color="auto"/>
            </w:tcBorders>
            <w:shd w:val="clear" w:color="auto" w:fill="CCEEFF"/>
          </w:tcPr>
          <w:p>
            <w:pPr>
              <w:jc w:val="right"/>
              <w:ind w:right="11"/>
              <w:spacing w:after="0" w:line="68" w:lineRule="exact"/>
              <w:rPr>
                <w:sz w:val="20"/>
                <w:szCs w:val="20"/>
                <w:color w:val="auto"/>
              </w:rPr>
            </w:pPr>
            <w:r>
              <w:rPr>
                <w:rFonts w:ascii="Times New Roman" w:cs="Times New Roman" w:eastAsia="Times New Roman" w:hAnsi="Times New Roman"/>
                <w:sz w:val="7"/>
                <w:szCs w:val="7"/>
                <w:color w:val="auto"/>
              </w:rPr>
              <w:t>(161</w:t>
            </w:r>
          </w:p>
        </w:tc>
        <w:tc>
          <w:tcPr>
            <w:tcW w:w="10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realized (loss) gain on investments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 on extinguishment of debt</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realized (loss) gain</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depreciation on non-affiliate investments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appreciation (depreciation) on non-controlled affiliate investments</w:t>
            </w:r>
          </w:p>
        </w:tc>
        <w:tc>
          <w:tcPr>
            <w:tcW w:w="26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depreciation on controlled affiliate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(20,117)</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unrealized depreciation on investments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(32,156)</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realized and unrealized loss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(32,155)</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net assets resulting from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2,778</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investment income per common share - basic</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197"/>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investment income per common share - diluted</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520" w:type="dxa"/>
            <w:vAlign w:val="bottom"/>
            <w:gridSpan w:val="2"/>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increase (decrease) in net assets resulting from operations per common share - basic</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197"/>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increase (decrease) in net assets resulting from operations per common share - diluted (1)</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520" w:type="dxa"/>
            <w:vAlign w:val="bottom"/>
            <w:gridSpan w:val="2"/>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47,316,637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40,223,393</w:t>
            </w:r>
          </w:p>
        </w:tc>
        <w:tc>
          <w:tcPr>
            <w:tcW w:w="0" w:type="dxa"/>
            <w:vAlign w:val="bottom"/>
          </w:tcPr>
          <w:p>
            <w:pPr>
              <w:spacing w:after="0"/>
              <w:rPr>
                <w:sz w:val="1"/>
                <w:szCs w:val="1"/>
                <w:color w:val="auto"/>
              </w:rPr>
            </w:pPr>
          </w:p>
        </w:tc>
      </w:tr>
      <w:tr>
        <w:trPr>
          <w:trHeight w:val="197"/>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47,316,637</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40,223,393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Distributions declared per share</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5" w:lineRule="exact"/>
        <w:rPr>
          <w:sz w:val="20"/>
          <w:szCs w:val="20"/>
          <w:color w:val="auto"/>
        </w:rPr>
      </w:pPr>
    </w:p>
    <w:p>
      <w:pPr>
        <w:ind w:left="340" w:hanging="332"/>
        <w:spacing w:after="0" w:line="261" w:lineRule="auto"/>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2026 and 2025, the impact of the hypothetical conversion of Convertible Notes would have been antidilutive to net increase (decrease) in net assets resulting from operations per common share (Note 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gridSpan w:val="8"/>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Horizon Technology Finance Corporation and Subsidiaries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600" w:type="dxa"/>
            <w:vAlign w:val="bottom"/>
            <w:gridSpan w:val="8"/>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 (Unaudited)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260" w:type="dxa"/>
            <w:vAlign w:val="bottom"/>
            <w:gridSpan w:val="5"/>
          </w:tcPr>
          <w:p>
            <w:pPr>
              <w:jc w:val="center"/>
              <w:ind w:left="389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share data)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2640" w:type="dxa"/>
            <w:vAlign w:val="bottom"/>
            <w:gridSpan w:val="4"/>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2640" w:type="dxa"/>
            <w:vAlign w:val="bottom"/>
            <w:tcBorders>
              <w:bottom w:val="single" w:sz="8" w:color="auto"/>
            </w:tcBorders>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 Excess of</w:t>
            </w:r>
          </w:p>
        </w:tc>
        <w:tc>
          <w:tcPr>
            <w:tcW w:w="100" w:type="dxa"/>
            <w:vAlign w:val="bottom"/>
          </w:tcPr>
          <w:p>
            <w:pPr>
              <w:spacing w:after="0"/>
              <w:rPr>
                <w:sz w:val="19"/>
                <w:szCs w:val="19"/>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Distributable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Net</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Par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39,875,847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518,200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(182,061)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336,183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net of offering costs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404,305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decrease in net assets resulting from operations, net of</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w:t>
            </w: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investment income, net of excise tax</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10,719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realized gain on investments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unrealized depreciation on investments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 dividend reinvestment plan</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declared</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40,331,962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305,457</w:t>
            </w:r>
          </w:p>
        </w:tc>
        <w:tc>
          <w:tcPr>
            <w:tcW w:w="0" w:type="dxa"/>
            <w:vAlign w:val="bottom"/>
          </w:tcPr>
          <w:p>
            <w:pPr>
              <w:spacing w:after="0"/>
              <w:rPr>
                <w:sz w:val="1"/>
                <w:szCs w:val="1"/>
                <w:color w:val="auto"/>
              </w:rPr>
            </w:pPr>
          </w:p>
        </w:tc>
      </w:tr>
      <w:tr>
        <w:trPr>
          <w:trHeight w:val="197"/>
        </w:trPr>
        <w:tc>
          <w:tcPr>
            <w:tcW w:w="4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45,613,815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559,355</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318,502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net of offering costs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increase in net assets resulting from operations, net of</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w:t>
            </w: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investment income, net of excise tax</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8,971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4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realized loss on extinguishment of debt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unrealized depreciation on investments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dividend reinvestment plan</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127,941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in extinguishment of debt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2,118,250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15,083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declared</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47,860,006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575,167</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(241,357)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333,863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Horizon Technology Finance Corporation and Subsidiaries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630"/>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 (Unaudited)</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2,778</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(21,436)</w:t>
            </w: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increase (decrease) in net assets resulting from operations to net cash used in</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 (gain) on investments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 on extinguishment of debt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depreciation on investments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32,156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received on investments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50,745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PIK interest on investments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Warrants received in settlement of fee income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converted to common stock</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interest receivable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end-of-term payments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unearned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other accrued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base management fee payable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incentive fee payable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2022 Asset-Backed Notes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2026 Notes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offering costs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on Credit Facilities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paid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(10,219)</w:t>
            </w: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142,693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100,868</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73,262</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77,464</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6,416</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7,962</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Supplemental non-cash operating and financing activities:</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5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Refinanced debt investment balances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28,750</w:t>
            </w:r>
          </w:p>
        </w:tc>
      </w:tr>
      <w:tr>
        <w:trPr>
          <w:trHeight w:val="196"/>
        </w:trPr>
        <w:tc>
          <w:tcPr>
            <w:tcW w:w="80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Warrant investments received and recorded as unearned income</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913</w:t>
            </w:r>
          </w:p>
        </w:tc>
        <w:tc>
          <w:tcPr>
            <w:tcW w:w="42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160</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77"/>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converted to common stock</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15,050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80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Distributions payable</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2,872</w:t>
            </w:r>
          </w:p>
        </w:tc>
        <w:tc>
          <w:tcPr>
            <w:tcW w:w="42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13,310</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End-of-term payments receivable</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9,421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12,417</w:t>
            </w:r>
          </w:p>
        </w:tc>
      </w:tr>
      <w:tr>
        <w:trPr>
          <w:trHeight w:val="196"/>
        </w:trPr>
        <w:tc>
          <w:tcPr>
            <w:tcW w:w="80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Non-cash income</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2,762</w:t>
            </w:r>
          </w:p>
        </w:tc>
        <w:tc>
          <w:tcPr>
            <w:tcW w:w="42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2,009</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in the consolidated statements of assets and liabilities to the total amount shown at the end of the applicable period in the consolidated statements of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09"/>
        </w:trPr>
        <w:tc>
          <w:tcPr>
            <w:tcW w:w="80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33,033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money market funds</w:t>
            </w:r>
          </w:p>
        </w:tc>
        <w:tc>
          <w:tcPr>
            <w:tcW w:w="9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40,968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investments in money market funds</w:t>
            </w: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3,463</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73,262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77,464</w:t>
            </w: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21" w:right="339" w:bottom="929"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29"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Type of</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Investment</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Cash Rate</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7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Investments</w:t>
            </w:r>
          </w:p>
        </w:tc>
        <w:tc>
          <w:tcPr>
            <w:tcW w:w="1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5"/>
        </w:trPr>
        <w:tc>
          <w:tcPr>
            <w:tcW w:w="1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Sector</w:t>
            </w:r>
          </w:p>
        </w:tc>
        <w:tc>
          <w:tcPr>
            <w:tcW w:w="7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2"/>
              </w:rPr>
              <w:t>(7)</w:t>
            </w:r>
          </w:p>
        </w:tc>
        <w:tc>
          <w:tcPr>
            <w:tcW w:w="76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(4)</w:t>
            </w:r>
          </w:p>
        </w:tc>
        <w:tc>
          <w:tcPr>
            <w:tcW w:w="22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Floor</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Ceiling</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ETP (10)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3"/>
                <w:szCs w:val="13"/>
                <w:color w:val="auto"/>
              </w:rPr>
            </w:pPr>
          </w:p>
        </w:tc>
        <w:tc>
          <w:tcPr>
            <w:tcW w:w="5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3"/>
                <w:szCs w:val="13"/>
                <w:color w:val="auto"/>
              </w:rPr>
            </w:pPr>
          </w:p>
        </w:tc>
      </w:tr>
      <w:tr>
        <w:trPr>
          <w:trHeight w:val="108"/>
        </w:trPr>
        <w:tc>
          <w:tcPr>
            <w:tcW w:w="154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Non-Affiliate Investments</w:t>
            </w:r>
          </w:p>
        </w:tc>
        <w:tc>
          <w:tcPr>
            <w:tcW w:w="12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55"/>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189.2% (8)</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5"/>
        </w:trPr>
        <w:tc>
          <w:tcPr>
            <w:tcW w:w="154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Non-Affiliate Debt</w:t>
            </w: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5"/>
        </w:trPr>
        <w:tc>
          <w:tcPr>
            <w:tcW w:w="1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Investments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181.9% (8)</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5"/>
        </w:trPr>
        <w:tc>
          <w:tcPr>
            <w:tcW w:w="15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Non-Affiliate Debt</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9"/>
              </w:rPr>
              <w:t xml:space="preserve">Investments </w:t>
            </w:r>
            <w:r>
              <w:rPr>
                <w:rFonts w:ascii="Times New Roman" w:cs="Times New Roman" w:eastAsia="Times New Roman" w:hAnsi="Times New Roman"/>
                <w:sz w:val="13"/>
                <w:szCs w:val="13"/>
                <w:color w:val="auto"/>
                <w:w w:val="99"/>
              </w:rPr>
              <w:t>—</w:t>
            </w:r>
            <w:r>
              <w:rPr>
                <w:rFonts w:ascii="Times New Roman" w:cs="Times New Roman" w:eastAsia="Times New Roman" w:hAnsi="Times New Roman"/>
                <w:sz w:val="13"/>
                <w:szCs w:val="13"/>
                <w:b w:val="1"/>
                <w:bCs w:val="1"/>
                <w:color w:val="auto"/>
                <w:w w:val="99"/>
              </w:rPr>
              <w:t xml:space="preserve"> Life Science</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5"/>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97.3% (8)</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1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5"/>
              </w:rPr>
              <w:t>Castle Creek Biosciences, Inc.</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(2)(12)</w:t>
            </w: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Biotechnology</w:t>
            </w: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9,955</w:t>
            </w:r>
          </w:p>
        </w:tc>
        <w:tc>
          <w:tcPr>
            <w:tcW w:w="28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9,955</w:t>
            </w:r>
          </w:p>
        </w:tc>
      </w:tr>
      <w:tr>
        <w:trPr>
          <w:trHeight w:val="117"/>
        </w:trPr>
        <w:tc>
          <w:tcPr>
            <w:tcW w:w="1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5,500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5,475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5,475</w:t>
            </w:r>
          </w:p>
        </w:tc>
      </w:tr>
      <w:tr>
        <w:trPr>
          <w:trHeight w:val="117"/>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4,977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4,977</w:t>
            </w:r>
          </w:p>
        </w:tc>
      </w:tr>
      <w:tr>
        <w:trPr>
          <w:trHeight w:val="117"/>
        </w:trPr>
        <w:tc>
          <w:tcPr>
            <w:tcW w:w="1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4,977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4,977</w:t>
            </w:r>
          </w:p>
        </w:tc>
      </w:tr>
      <w:tr>
        <w:trPr>
          <w:trHeight w:val="117"/>
        </w:trPr>
        <w:tc>
          <w:tcPr>
            <w:tcW w:w="1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Emalex Biosciences, Inc. (2)</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May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Biotechnology</w:t>
            </w: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11.47%</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4.72%</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416</w:t>
            </w:r>
          </w:p>
        </w:tc>
      </w:tr>
      <w:tr>
        <w:trPr>
          <w:trHeight w:val="117"/>
        </w:trPr>
        <w:tc>
          <w:tcPr>
            <w:tcW w:w="1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KSQ Therapeutics, Inc. (2)</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Biotechnology</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3,988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3,988</w:t>
            </w:r>
          </w:p>
        </w:tc>
      </w:tr>
      <w:tr>
        <w:trPr>
          <w:trHeight w:val="117"/>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3,988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3,988</w:t>
            </w:r>
          </w:p>
        </w:tc>
      </w:tr>
      <w:tr>
        <w:trPr>
          <w:trHeight w:val="117"/>
        </w:trPr>
        <w:tc>
          <w:tcPr>
            <w:tcW w:w="1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3,988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3,988</w:t>
            </w:r>
          </w:p>
        </w:tc>
      </w:tr>
      <w:tr>
        <w:trPr>
          <w:trHeight w:val="117"/>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3,988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3,988</w:t>
            </w:r>
          </w:p>
        </w:tc>
      </w:tr>
      <w:tr>
        <w:trPr>
          <w:trHeight w:val="117"/>
        </w:trPr>
        <w:tc>
          <w:tcPr>
            <w:tcW w:w="1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8"/>
              </w:rPr>
              <w:t>Long Grove Pharmaceuticals,</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8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9"/>
              </w:rPr>
              <w:t>1-month</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February</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LLC (2)(12)</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Biotechnology</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7.67(11)</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SOFR</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27, 2031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10,375</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10,168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10,168</w:t>
            </w:r>
          </w:p>
        </w:tc>
      </w:tr>
      <w:tr>
        <w:trPr>
          <w:trHeight w:val="117"/>
        </w:trPr>
        <w:tc>
          <w:tcPr>
            <w:tcW w:w="1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9"/>
              </w:rPr>
              <w:t>Pelthos Therapeutics, Inc. (2)</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(5)(12)</w:t>
            </w: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Biotechnology</w:t>
            </w: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10.50%</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31, 2031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9,785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9,785</w:t>
            </w:r>
          </w:p>
        </w:tc>
      </w:tr>
      <w:tr>
        <w:trPr>
          <w:trHeight w:val="117"/>
        </w:trPr>
        <w:tc>
          <w:tcPr>
            <w:tcW w:w="1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10.50%</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31, 2031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9,785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9,785</w:t>
            </w:r>
          </w:p>
        </w:tc>
      </w:tr>
      <w:tr>
        <w:trPr>
          <w:trHeight w:val="117"/>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10.50%</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31, 2031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4,893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4,893</w:t>
            </w:r>
          </w:p>
        </w:tc>
      </w:tr>
      <w:tr>
        <w:trPr>
          <w:trHeight w:val="117"/>
        </w:trPr>
        <w:tc>
          <w:tcPr>
            <w:tcW w:w="1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10.50%</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31, 2031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4,893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4,893</w:t>
            </w:r>
          </w:p>
        </w:tc>
      </w:tr>
      <w:tr>
        <w:trPr>
          <w:trHeight w:val="117"/>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Provivi, Inc. (2)(12)(13)</w:t>
            </w: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Biotechnology</w:t>
            </w: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12.11%</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5.36%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1,822</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1,561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886</w:t>
            </w:r>
          </w:p>
        </w:tc>
      </w:tr>
      <w:tr>
        <w:trPr>
          <w:trHeight w:val="117"/>
        </w:trPr>
        <w:tc>
          <w:tcPr>
            <w:tcW w:w="1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12.11%</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1,822</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1,561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886</w:t>
            </w:r>
          </w:p>
        </w:tc>
      </w:tr>
      <w:tr>
        <w:trPr>
          <w:trHeight w:val="117"/>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12.11%</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5.36%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778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442</w:t>
            </w:r>
          </w:p>
        </w:tc>
      </w:tr>
      <w:tr>
        <w:trPr>
          <w:trHeight w:val="117"/>
        </w:trPr>
        <w:tc>
          <w:tcPr>
            <w:tcW w:w="1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12.11%</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777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442</w:t>
            </w:r>
          </w:p>
        </w:tc>
      </w:tr>
      <w:tr>
        <w:trPr>
          <w:trHeight w:val="117"/>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12.11%</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5.36%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777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441</w:t>
            </w:r>
          </w:p>
        </w:tc>
      </w:tr>
      <w:tr>
        <w:trPr>
          <w:trHeight w:val="117"/>
        </w:trPr>
        <w:tc>
          <w:tcPr>
            <w:tcW w:w="1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12.11%</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5.36%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777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441</w:t>
            </w: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Type of</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Cash Rate</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Investments</w:t>
            </w:r>
          </w:p>
        </w:tc>
        <w:tc>
          <w:tcPr>
            <w:tcW w:w="7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5"/>
        </w:trPr>
        <w:tc>
          <w:tcPr>
            <w:tcW w:w="1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20" w:type="dxa"/>
            <w:vAlign w:val="bottom"/>
          </w:tcPr>
          <w:p>
            <w:pPr>
              <w:spacing w:after="0"/>
              <w:rPr>
                <w:sz w:val="13"/>
                <w:szCs w:val="13"/>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74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2"/>
              </w:rPr>
              <w:t>(7)</w:t>
            </w:r>
          </w:p>
        </w:tc>
        <w:tc>
          <w:tcPr>
            <w:tcW w:w="80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(4)</w:t>
            </w:r>
          </w:p>
        </w:tc>
        <w:tc>
          <w:tcPr>
            <w:tcW w:w="2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2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Floor</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Ceiling</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ETP (10)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(6)(9)</w:t>
            </w:r>
          </w:p>
        </w:tc>
        <w:tc>
          <w:tcPr>
            <w:tcW w:w="220" w:type="dxa"/>
            <w:vAlign w:val="bottom"/>
          </w:tcPr>
          <w:p>
            <w:pPr>
              <w:spacing w:after="0"/>
              <w:rPr>
                <w:sz w:val="13"/>
                <w:szCs w:val="13"/>
                <w:color w:val="auto"/>
              </w:rPr>
            </w:pPr>
          </w:p>
        </w:tc>
        <w:tc>
          <w:tcPr>
            <w:tcW w:w="6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3"/>
                <w:szCs w:val="13"/>
                <w:color w:val="auto"/>
              </w:rPr>
            </w:pPr>
          </w:p>
        </w:tc>
      </w:tr>
      <w:tr>
        <w:trPr>
          <w:trHeight w:val="110"/>
        </w:trPr>
        <w:tc>
          <w:tcPr>
            <w:tcW w:w="15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Medical</w:t>
            </w:r>
          </w:p>
        </w:tc>
        <w:tc>
          <w:tcPr>
            <w:tcW w:w="12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April 1,</w:t>
            </w: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Avive Solutions, Inc. (2)(12)</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Device</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9.75%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2031</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4,929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4,929</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9.75%</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2031</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4,929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4,929</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9.75%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2031</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2,464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2,464</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9.75%</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2031</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2,464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2,464</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9.75%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2031</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2,464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2,464</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9.75%</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2031</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2,464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2,464</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Medical</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Ceribell, Inc. (2)(5)(12)</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Device</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9.50%</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9.25%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4,837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4,837</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9.50%</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2.75%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9.25%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4,957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4,957</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9.50%</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9.25%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3,966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3,966</w:t>
            </w:r>
          </w:p>
        </w:tc>
      </w:tr>
      <w:tr>
        <w:trPr>
          <w:trHeight w:val="117"/>
        </w:trPr>
        <w:tc>
          <w:tcPr>
            <w:tcW w:w="15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Conventus Orthopaedics, Inc.</w:t>
            </w:r>
          </w:p>
        </w:tc>
        <w:tc>
          <w:tcPr>
            <w:tcW w:w="120" w:type="dxa"/>
            <w:vAlign w:val="bottom"/>
          </w:tcPr>
          <w:p>
            <w:pPr>
              <w:spacing w:after="0"/>
              <w:rPr>
                <w:sz w:val="10"/>
                <w:szCs w:val="10"/>
                <w:color w:val="auto"/>
              </w:rPr>
            </w:pPr>
          </w:p>
        </w:tc>
        <w:tc>
          <w:tcPr>
            <w:tcW w:w="5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Medical</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(2)(12)</w:t>
            </w:r>
          </w:p>
        </w:tc>
        <w:tc>
          <w:tcPr>
            <w:tcW w:w="1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Device</w:t>
            </w: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13.07%</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6.32%</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10.88%</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2,801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2,793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2,793</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13.07%</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6.32%</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2,801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2,793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2,793</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Medical</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March 18,</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Hyperfine, Inc. (2)(5)(12)</w:t>
            </w:r>
          </w:p>
        </w:tc>
        <w:tc>
          <w:tcPr>
            <w:tcW w:w="1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Device</w:t>
            </w: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11.00%</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2031</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4,611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4,611</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March 18,</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11.00%</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2031</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4,909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4,909</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March 18,</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11.00%</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2031</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4,909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4,909</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Medical</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Infobionic, Inc. (2)(12)</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Device</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4,941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4,941</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1, 2029</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4,941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4,941</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4,941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4,941</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1, 2029</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2,384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2,384</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2,434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2,434</w:t>
            </w:r>
          </w:p>
        </w:tc>
      </w:tr>
      <w:tr>
        <w:trPr>
          <w:trHeight w:val="117"/>
        </w:trPr>
        <w:tc>
          <w:tcPr>
            <w:tcW w:w="15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Mobia Medical, Inc. fka</w:t>
            </w:r>
          </w:p>
        </w:tc>
        <w:tc>
          <w:tcPr>
            <w:tcW w:w="120" w:type="dxa"/>
            <w:vAlign w:val="bottom"/>
          </w:tcPr>
          <w:p>
            <w:pPr>
              <w:spacing w:after="0"/>
              <w:rPr>
                <w:sz w:val="10"/>
                <w:szCs w:val="10"/>
                <w:color w:val="auto"/>
              </w:rPr>
            </w:pPr>
          </w:p>
        </w:tc>
        <w:tc>
          <w:tcPr>
            <w:tcW w:w="5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Medical</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w w:val="97"/>
              </w:rPr>
              <w:t>Microtransponder, Inc. (2)(12)</w:t>
            </w:r>
          </w:p>
        </w:tc>
        <w:tc>
          <w:tcPr>
            <w:tcW w:w="1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Device</w:t>
            </w: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12.25%</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12.25%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3,750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3,714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3,714</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12.25%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12.25%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3,750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3,714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3,714</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Medical</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MML US, Inc. (2)(12)</w:t>
            </w:r>
          </w:p>
        </w:tc>
        <w:tc>
          <w:tcPr>
            <w:tcW w:w="1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Device</w:t>
            </w: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10.00(11)</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2,584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2,464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2,464</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10.00(11)</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13.50%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2,584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2,564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2,564</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10.00(11)</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5,168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5,127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5,127</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10.00(11)</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13.50%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5,168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5,127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5,127</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10.00(11)</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5,129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5,087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5,087</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10.00(11)</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13.50%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5,129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5,087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5,087</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Medical</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Onkos Surgical, Inc. (2)(12)</w:t>
            </w:r>
          </w:p>
        </w:tc>
        <w:tc>
          <w:tcPr>
            <w:tcW w:w="1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Device</w:t>
            </w: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10,000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9,882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9,882</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9,882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9,882</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4,941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4,941</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4,941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4,941</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4,930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4,930</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Medical</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Ossio, Inc. (2)(12)</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Device</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10.00(11)</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20, 2031</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12,549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12,365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12,365</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10.00(11)</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20, 2031</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7,530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7,420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7,420</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10.00(11)</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20, 2031</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2,501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2,463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2,463</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Medical</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w w:val="98"/>
              </w:rPr>
              <w:t>Scientia Vascular, Inc. (2)(12)</w:t>
            </w:r>
          </w:p>
        </w:tc>
        <w:tc>
          <w:tcPr>
            <w:tcW w:w="1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Device</w:t>
            </w: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2.75%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10.25%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10,000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9,895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9,895</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10.25%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9,895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9,895</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2.75%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10.25%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4,948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4,948</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10.25%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1,500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1,484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1,484</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2.75%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10.25%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3,500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3,460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3,460</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Medical</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Sonex Health, Inc. (2)(12)</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Device</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9,749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9,749</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10,000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9,849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9,849</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3,750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3,693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3,693</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3,750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3,693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3,693</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2,462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2,462</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4"/>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2,462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2,462</w:t>
            </w: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21" w:right="339" w:bottom="943"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43"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Type of</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Cash Rate</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Investments</w:t>
            </w:r>
          </w:p>
        </w:tc>
        <w:tc>
          <w:tcPr>
            <w:tcW w:w="7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5"/>
        </w:trPr>
        <w:tc>
          <w:tcPr>
            <w:tcW w:w="1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20" w:type="dxa"/>
            <w:vAlign w:val="bottom"/>
          </w:tcPr>
          <w:p>
            <w:pPr>
              <w:spacing w:after="0"/>
              <w:rPr>
                <w:sz w:val="13"/>
                <w:szCs w:val="13"/>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76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rPr>
              <w:t>(7)</w:t>
            </w:r>
          </w:p>
        </w:tc>
        <w:tc>
          <w:tcPr>
            <w:tcW w:w="80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(4)</w:t>
            </w:r>
          </w:p>
        </w:tc>
        <w:tc>
          <w:tcPr>
            <w:tcW w:w="2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Floor</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Ceiling</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ETP (10)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(6)(9)</w:t>
            </w:r>
          </w:p>
        </w:tc>
        <w:tc>
          <w:tcPr>
            <w:tcW w:w="220" w:type="dxa"/>
            <w:vAlign w:val="bottom"/>
          </w:tcPr>
          <w:p>
            <w:pPr>
              <w:spacing w:after="0"/>
              <w:rPr>
                <w:sz w:val="13"/>
                <w:szCs w:val="13"/>
                <w:color w:val="auto"/>
              </w:rPr>
            </w:pPr>
          </w:p>
        </w:tc>
        <w:tc>
          <w:tcPr>
            <w:tcW w:w="6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5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Medical</w:t>
            </w:r>
          </w:p>
        </w:tc>
        <w:tc>
          <w:tcPr>
            <w:tcW w:w="1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August 1,</w:t>
            </w: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Spineology, Inc. (2)(12)</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Device</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4,942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4,942</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4,250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4,200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4,200</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4,250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4,200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4,200</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2,471</w:t>
            </w:r>
          </w:p>
        </w:tc>
        <w:tc>
          <w:tcPr>
            <w:tcW w:w="22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2,471</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Term Loan</w:t>
            </w:r>
          </w:p>
        </w:tc>
        <w:tc>
          <w:tcPr>
            <w:tcW w:w="1040" w:type="dxa"/>
            <w:vAlign w:val="bottom"/>
            <w:gridSpan w:val="3"/>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12.00%</w:t>
            </w:r>
          </w:p>
        </w:tc>
        <w:tc>
          <w:tcPr>
            <w:tcW w:w="46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line="140" w:lineRule="exact"/>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tcPr>
          <w:p>
            <w:pPr>
              <w:jc w:val="right"/>
              <w:ind w:right="100"/>
              <w:spacing w:after="0" w:line="140" w:lineRule="exact"/>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3"/>
                <w:szCs w:val="13"/>
                <w:color w:val="auto"/>
              </w:rPr>
              <w:t>1.00%</w:t>
            </w:r>
          </w:p>
        </w:tc>
        <w:tc>
          <w:tcPr>
            <w:tcW w:w="5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tcPr>
          <w:p>
            <w:pPr>
              <w:jc w:val="right"/>
              <w:ind w:right="220"/>
              <w:spacing w:after="0" w:line="140" w:lineRule="exact"/>
              <w:rPr>
                <w:sz w:val="20"/>
                <w:szCs w:val="20"/>
                <w:color w:val="auto"/>
              </w:rPr>
            </w:pPr>
            <w:r>
              <w:rPr>
                <w:rFonts w:ascii="Times New Roman" w:cs="Times New Roman" w:eastAsia="Times New Roman" w:hAnsi="Times New Roman"/>
                <w:sz w:val="13"/>
                <w:szCs w:val="13"/>
                <w:color w:val="auto"/>
              </w:rPr>
              <w:t>2,500</w:t>
            </w:r>
          </w:p>
        </w:tc>
        <w:tc>
          <w:tcPr>
            <w:tcW w:w="66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gridSpan w:val="5"/>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Debt Investments — Life Science</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327,748</w:t>
            </w:r>
          </w:p>
        </w:tc>
        <w:tc>
          <w:tcPr>
            <w:tcW w:w="76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325,055</w:t>
            </w:r>
          </w:p>
        </w:tc>
        <w:tc>
          <w:tcPr>
            <w:tcW w:w="0" w:type="dxa"/>
            <w:vAlign w:val="bottom"/>
          </w:tcPr>
          <w:p>
            <w:pPr>
              <w:spacing w:after="0"/>
              <w:rPr>
                <w:sz w:val="1"/>
                <w:szCs w:val="1"/>
                <w:color w:val="auto"/>
              </w:rPr>
            </w:pPr>
          </w:p>
        </w:tc>
      </w:tr>
      <w:tr>
        <w:trPr>
          <w:trHeight w:val="108"/>
        </w:trPr>
        <w:tc>
          <w:tcPr>
            <w:tcW w:w="1580" w:type="dxa"/>
            <w:vAlign w:val="bottom"/>
            <w:tcBorders>
              <w:top w:val="single" w:sz="8" w:color="CCEEFF"/>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Non-Affiliate Debt</w:t>
            </w:r>
          </w:p>
        </w:tc>
        <w:tc>
          <w:tcPr>
            <w:tcW w:w="120" w:type="dxa"/>
            <w:vAlign w:val="bottom"/>
            <w:tcBorders>
              <w:top w:val="single" w:sz="8" w:color="CCEEFF"/>
            </w:tcBorders>
          </w:tcPr>
          <w:p>
            <w:pPr>
              <w:spacing w:after="0"/>
              <w:rPr>
                <w:sz w:val="9"/>
                <w:szCs w:val="9"/>
                <w:color w:val="auto"/>
              </w:rPr>
            </w:pPr>
          </w:p>
        </w:tc>
        <w:tc>
          <w:tcPr>
            <w:tcW w:w="58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62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80" w:type="dxa"/>
            <w:vAlign w:val="bottom"/>
            <w:tcBorders>
              <w:top w:val="single" w:sz="8" w:color="CCEEFF"/>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46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60" w:type="dxa"/>
            <w:vAlign w:val="bottom"/>
            <w:tcBorders>
              <w:top w:val="single" w:sz="8" w:color="CCEEFF"/>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680" w:type="dxa"/>
            <w:vAlign w:val="bottom"/>
            <w:tcBorders>
              <w:top w:val="single" w:sz="8" w:color="CCEEFF"/>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66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66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5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6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Investments </w:t>
            </w: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Sustainability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1.5% (8)</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5"/>
              </w:rPr>
              <w:t>Alternative</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May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SparkCharge, Inc. (2)(12)</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Energy</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2,401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2,401</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May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2,473</w:t>
            </w:r>
          </w:p>
        </w:tc>
        <w:tc>
          <w:tcPr>
            <w:tcW w:w="22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2,473</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Term Loan</w:t>
            </w:r>
          </w:p>
        </w:tc>
        <w:tc>
          <w:tcPr>
            <w:tcW w:w="1040" w:type="dxa"/>
            <w:vAlign w:val="bottom"/>
            <w:gridSpan w:val="3"/>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12.00%</w:t>
            </w:r>
          </w:p>
        </w:tc>
        <w:tc>
          <w:tcPr>
            <w:tcW w:w="46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line="140" w:lineRule="exact"/>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tcPr>
          <w:p>
            <w:pPr>
              <w:jc w:val="right"/>
              <w:ind w:right="100"/>
              <w:spacing w:after="0" w:line="140" w:lineRule="exact"/>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3"/>
                <w:szCs w:val="13"/>
                <w:color w:val="auto"/>
              </w:rPr>
              <w:t>5.00%</w:t>
            </w:r>
          </w:p>
        </w:tc>
        <w:tc>
          <w:tcPr>
            <w:tcW w:w="5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tcPr>
          <w:p>
            <w:pPr>
              <w:jc w:val="right"/>
              <w:ind w:right="220"/>
              <w:spacing w:after="0" w:line="140" w:lineRule="exact"/>
              <w:rPr>
                <w:sz w:val="20"/>
                <w:szCs w:val="20"/>
                <w:color w:val="auto"/>
              </w:rPr>
            </w:pPr>
            <w:r>
              <w:rPr>
                <w:rFonts w:ascii="Times New Roman" w:cs="Times New Roman" w:eastAsia="Times New Roman" w:hAnsi="Times New Roman"/>
                <w:sz w:val="13"/>
                <w:szCs w:val="13"/>
                <w:color w:val="auto"/>
              </w:rPr>
              <w:t>2,500</w:t>
            </w:r>
          </w:p>
        </w:tc>
        <w:tc>
          <w:tcPr>
            <w:tcW w:w="66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tcBorders>
              <w:bottom w:val="single" w:sz="8" w:color="CCEEFF"/>
            </w:tcBorders>
            <w:gridSpan w:val="5"/>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Debt Investments — Sustainability</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4,874</w:t>
            </w:r>
          </w:p>
        </w:tc>
        <w:tc>
          <w:tcPr>
            <w:tcW w:w="2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4,874</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Type of</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Cost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Investment</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Cash Rate</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8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Investments</w:t>
            </w:r>
          </w:p>
        </w:tc>
        <w:tc>
          <w:tcPr>
            <w:tcW w:w="7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5"/>
        </w:trPr>
        <w:tc>
          <w:tcPr>
            <w:tcW w:w="1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2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7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2"/>
              </w:rPr>
              <w:t>(7)</w:t>
            </w:r>
          </w:p>
        </w:tc>
        <w:tc>
          <w:tcPr>
            <w:tcW w:w="76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(4)</w:t>
            </w:r>
          </w:p>
        </w:tc>
        <w:tc>
          <w:tcPr>
            <w:tcW w:w="2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Floor</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Ceiling</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ETP (10)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(6)(9)</w:t>
            </w:r>
          </w:p>
        </w:tc>
        <w:tc>
          <w:tcPr>
            <w:tcW w:w="220" w:type="dxa"/>
            <w:vAlign w:val="bottom"/>
          </w:tcPr>
          <w:p>
            <w:pPr>
              <w:spacing w:after="0"/>
              <w:rPr>
                <w:sz w:val="13"/>
                <w:szCs w:val="13"/>
                <w:color w:val="auto"/>
              </w:rPr>
            </w:pPr>
          </w:p>
        </w:tc>
        <w:tc>
          <w:tcPr>
            <w:tcW w:w="6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3"/>
                <w:szCs w:val="13"/>
                <w:color w:val="auto"/>
              </w:rPr>
            </w:pPr>
          </w:p>
        </w:tc>
      </w:tr>
      <w:tr>
        <w:trPr>
          <w:trHeight w:val="108"/>
        </w:trPr>
        <w:tc>
          <w:tcPr>
            <w:tcW w:w="158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Non-Affiliate Debt</w:t>
            </w:r>
          </w:p>
        </w:tc>
        <w:tc>
          <w:tcPr>
            <w:tcW w:w="120" w:type="dxa"/>
            <w:vAlign w:val="bottom"/>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15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Investments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Technology</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5"/>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59.7% (8)</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Consumer-</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related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Havenly, Inc. (2)(12)</w:t>
            </w:r>
          </w:p>
        </w:tc>
        <w:tc>
          <w:tcPr>
            <w:tcW w:w="1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w w:val="97"/>
              </w:rPr>
              <w:t>Technologies</w:t>
            </w: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1,111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1,016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1,016</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1,667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1,533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1,533</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Term Loan</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February</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rPr>
              <w:t>(17)</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10.50%</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3,375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1,915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3,374</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February</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10.50%</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2,813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2,809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2,809</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February</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10.50%</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2,813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2,809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2,809</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Consumer-</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related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Lyrical Foods, Inc. (2)(12)</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7"/>
              </w:rPr>
              <w:t>Technologies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2,679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2,771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2,441</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Term Loan</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rPr>
              <w:t>(17)</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2,679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1,286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2,361</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Apkudo, Inc. (2)(12)</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Software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11.25%</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11.25%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4,914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4,914</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11.25%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11.25%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4,914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4,914</w:t>
            </w:r>
          </w:p>
        </w:tc>
      </w:tr>
      <w:tr>
        <w:trPr>
          <w:trHeight w:val="117"/>
        </w:trPr>
        <w:tc>
          <w:tcPr>
            <w:tcW w:w="15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BriteCore Holdings, Inc. (2)</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Software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10.50%</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10.25%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2031</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9,837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9,837</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10.50%</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10.25%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2031</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7,500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7,415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7,415</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10.50%</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10.25%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2031</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2,472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2,472</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Crafty Holdings, Inc. (2)(12)</w:t>
            </w:r>
          </w:p>
        </w:tc>
        <w:tc>
          <w:tcPr>
            <w:tcW w:w="1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Software</w:t>
            </w: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4,919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4,919</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4,938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4,938</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4,938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4,938</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1,972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1,972</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Term Loan</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Dropoff, Inc. (2)(12)</w:t>
            </w:r>
          </w:p>
        </w:tc>
        <w:tc>
          <w:tcPr>
            <w:tcW w:w="1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Software</w:t>
            </w:r>
          </w:p>
        </w:tc>
        <w:tc>
          <w:tcPr>
            <w:tcW w:w="7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rPr>
              <w:t>(17)</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13.25%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7,850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2,450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4,421</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13.25%</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6,804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6,795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3,826</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13.25%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6,280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6,272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3,531</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13.25%</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2,617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2,616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1,473</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February</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HappyCo, Inc. (2)(12)</w:t>
            </w:r>
          </w:p>
        </w:tc>
        <w:tc>
          <w:tcPr>
            <w:tcW w:w="1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Software</w:t>
            </w: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11.13%</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3,000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2,972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2,972</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February</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11.13%</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2,972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2,972</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February</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11.13%</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1,980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1,980</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February</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11.13%</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1,977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1,977</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Type of</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Cash Rate</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Investments</w:t>
            </w:r>
          </w:p>
        </w:tc>
        <w:tc>
          <w:tcPr>
            <w:tcW w:w="7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5"/>
        </w:trPr>
        <w:tc>
          <w:tcPr>
            <w:tcW w:w="1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2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74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2"/>
              </w:rPr>
              <w:t>(7)</w:t>
            </w:r>
          </w:p>
        </w:tc>
        <w:tc>
          <w:tcPr>
            <w:tcW w:w="80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(4)</w:t>
            </w:r>
          </w:p>
        </w:tc>
        <w:tc>
          <w:tcPr>
            <w:tcW w:w="2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2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Floor</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Ceiling</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ETP (10)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(6)(9)</w:t>
            </w:r>
          </w:p>
        </w:tc>
        <w:tc>
          <w:tcPr>
            <w:tcW w:w="220" w:type="dxa"/>
            <w:vAlign w:val="bottom"/>
          </w:tcPr>
          <w:p>
            <w:pPr>
              <w:spacing w:after="0"/>
              <w:rPr>
                <w:sz w:val="13"/>
                <w:szCs w:val="13"/>
                <w:color w:val="auto"/>
              </w:rPr>
            </w:pPr>
          </w:p>
        </w:tc>
        <w:tc>
          <w:tcPr>
            <w:tcW w:w="6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5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January 1,</w:t>
            </w: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Kodiak Robotics, Inc. (2)(12)</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3"/>
              </w:rPr>
              <w:t>Software</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15,000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14,625</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14,625</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7,500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7,312</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7,312</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7,500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7,312</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7,312</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MasteryPrep, LLC (2)(12)</w:t>
            </w:r>
          </w:p>
        </w:tc>
        <w:tc>
          <w:tcPr>
            <w:tcW w:w="12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3"/>
              </w:rPr>
              <w:t>Software</w:t>
            </w: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11.50%</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7,500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7,387</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7,387</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11.50%</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7,500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7,437</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7,437</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Mirantis, Inc. (2)(12)</w:t>
            </w:r>
          </w:p>
        </w:tc>
        <w:tc>
          <w:tcPr>
            <w:tcW w:w="12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3"/>
              </w:rPr>
              <w:t>Software</w:t>
            </w: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4,306</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4,270</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4,270</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4,306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4,270</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4,270</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4,306</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4,270</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4,270</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4,306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4,270</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4,270</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December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Samba TV, Inc. (2)(12)</w:t>
            </w:r>
          </w:p>
        </w:tc>
        <w:tc>
          <w:tcPr>
            <w:tcW w:w="12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3"/>
              </w:rPr>
              <w:t>Software</w:t>
            </w: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10.25(11)</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10,039</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9,823</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9,823</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December</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10.25(11)</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7,529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7,424</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7,424</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4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December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10.25(11)</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5,019</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4,949</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4,949</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December</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10.25(11)</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2,510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2,475</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2,475</w:t>
            </w:r>
          </w:p>
        </w:tc>
        <w:tc>
          <w:tcPr>
            <w:tcW w:w="0" w:type="dxa"/>
            <w:vAlign w:val="bottom"/>
          </w:tcPr>
          <w:p>
            <w:pPr>
              <w:spacing w:after="0"/>
              <w:rPr>
                <w:sz w:val="1"/>
                <w:szCs w:val="1"/>
                <w:color w:val="auto"/>
              </w:rPr>
            </w:pPr>
          </w:p>
        </w:tc>
      </w:tr>
      <w:tr>
        <w:trPr>
          <w:trHeight w:val="117"/>
        </w:trPr>
        <w:tc>
          <w:tcPr>
            <w:tcW w:w="15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Supply Network Visibility</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Holdings LLC (2)(12)</w:t>
            </w:r>
          </w:p>
        </w:tc>
        <w:tc>
          <w:tcPr>
            <w:tcW w:w="12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3"/>
              </w:rPr>
              <w:t>Software</w:t>
            </w: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2,496</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2,254</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3,500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3,156</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2,496</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2,254</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1,500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1,353</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4,988</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4,505</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Ursa Space Systems, Inc. (2)</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November</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3"/>
              </w:rPr>
              <w:t>Software</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2,348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2,314</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2,314</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November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2,348</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2,314</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2,314</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November</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2,348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2,301</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2,301</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November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2,348</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2,301</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2,301</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Viken Detection Corporation</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(2)(12)</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3"/>
              </w:rPr>
              <w:t>Software</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2,487</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1,250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1,244</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2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100" w:type="dxa"/>
            <w:vAlign w:val="bottom"/>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5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tcBorders>
              <w:bottom w:val="single" w:sz="8" w:color="CCEEFF"/>
            </w:tcBorders>
            <w:gridSpan w:val="3"/>
            <w:shd w:val="clear" w:color="auto" w:fill="CCEEFF"/>
          </w:tcPr>
          <w:p>
            <w:pPr>
              <w:jc w:val="right"/>
              <w:ind w:right="120"/>
              <w:spacing w:after="0" w:line="140" w:lineRule="exact"/>
              <w:rPr>
                <w:sz w:val="20"/>
                <w:szCs w:val="20"/>
                <w:color w:val="auto"/>
              </w:rPr>
            </w:pPr>
            <w:r>
              <w:rPr>
                <w:rFonts w:ascii="Times New Roman" w:cs="Times New Roman" w:eastAsia="Times New Roman" w:hAnsi="Times New Roman"/>
                <w:sz w:val="13"/>
                <w:szCs w:val="13"/>
                <w:color w:val="auto"/>
              </w:rPr>
              <w:t>11.75%</w:t>
            </w:r>
          </w:p>
        </w:tc>
        <w:tc>
          <w:tcPr>
            <w:tcW w:w="460" w:type="dxa"/>
            <w:vAlign w:val="bottom"/>
            <w:tcBorders>
              <w:bottom w:val="single" w:sz="8" w:color="CCEEFF"/>
            </w:tcBorders>
            <w:shd w:val="clear" w:color="auto" w:fill="CCEEFF"/>
          </w:tcPr>
          <w:p>
            <w:pPr>
              <w:ind w:left="80"/>
              <w:spacing w:after="0" w:line="140" w:lineRule="exact"/>
              <w:rPr>
                <w:sz w:val="20"/>
                <w:szCs w:val="20"/>
                <w:color w:val="auto"/>
              </w:rPr>
            </w:pPr>
            <w:r>
              <w:rPr>
                <w:rFonts w:ascii="Times New Roman" w:cs="Times New Roman" w:eastAsia="Times New Roman" w:hAnsi="Times New Roman"/>
                <w:sz w:val="13"/>
                <w:szCs w:val="13"/>
                <w:color w:val="auto"/>
              </w:rPr>
              <w:t>Prime</w:t>
            </w:r>
          </w:p>
        </w:tc>
        <w:tc>
          <w:tcPr>
            <w:tcW w:w="1000" w:type="dxa"/>
            <w:vAlign w:val="bottom"/>
            <w:tcBorders>
              <w:bottom w:val="single" w:sz="8" w:color="CCEEFF"/>
            </w:tcBorders>
            <w:gridSpan w:val="3"/>
            <w:shd w:val="clear" w:color="auto" w:fill="CCEEFF"/>
          </w:tcPr>
          <w:p>
            <w:pPr>
              <w:jc w:val="right"/>
              <w:ind w:right="100"/>
              <w:spacing w:after="0" w:line="140" w:lineRule="exact"/>
              <w:rPr>
                <w:sz w:val="20"/>
                <w:szCs w:val="20"/>
                <w:color w:val="auto"/>
              </w:rPr>
            </w:pPr>
            <w:r>
              <w:rPr>
                <w:rFonts w:ascii="Times New Roman" w:cs="Times New Roman" w:eastAsia="Times New Roman" w:hAnsi="Times New Roman"/>
                <w:sz w:val="13"/>
                <w:szCs w:val="13"/>
                <w:color w:val="auto"/>
              </w:rPr>
              <w:t>4.00%</w:t>
            </w:r>
          </w:p>
        </w:tc>
        <w:tc>
          <w:tcPr>
            <w:tcW w:w="880" w:type="dxa"/>
            <w:vAlign w:val="bottom"/>
            <w:tcBorders>
              <w:bottom w:val="single" w:sz="8" w:color="CCEEFF"/>
            </w:tcBorders>
            <w:gridSpan w:val="2"/>
            <w:shd w:val="clear" w:color="auto" w:fill="CCEEFF"/>
          </w:tcPr>
          <w:p>
            <w:pPr>
              <w:jc w:val="right"/>
              <w:ind w:right="100"/>
              <w:spacing w:after="0" w:line="140" w:lineRule="exact"/>
              <w:rPr>
                <w:sz w:val="20"/>
                <w:szCs w:val="20"/>
                <w:color w:val="auto"/>
              </w:rPr>
            </w:pPr>
            <w:r>
              <w:rPr>
                <w:rFonts w:ascii="Times New Roman" w:cs="Times New Roman" w:eastAsia="Times New Roman" w:hAnsi="Times New Roman"/>
                <w:sz w:val="13"/>
                <w:szCs w:val="13"/>
                <w:color w:val="auto"/>
              </w:rPr>
              <w:t>11.75%</w:t>
            </w:r>
          </w:p>
        </w:tc>
        <w:tc>
          <w:tcPr>
            <w:tcW w:w="880" w:type="dxa"/>
            <w:vAlign w:val="bottom"/>
            <w:tcBorders>
              <w:bottom w:val="single" w:sz="8" w:color="CCEEFF"/>
            </w:tcBorders>
            <w:gridSpan w:val="2"/>
            <w:shd w:val="clear" w:color="auto" w:fill="CCEEFF"/>
          </w:tcPr>
          <w:p>
            <w:pPr>
              <w:ind w:left="5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gridSpan w:val="2"/>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3.50%</w:t>
            </w:r>
          </w:p>
        </w:tc>
        <w:tc>
          <w:tcPr>
            <w:tcW w:w="540" w:type="dxa"/>
            <w:vAlign w:val="bottom"/>
            <w:tcBorders>
              <w:bottom w:val="single" w:sz="8" w:color="CCEEFF"/>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3"/>
                <w:szCs w:val="13"/>
                <w:color w:val="auto"/>
                <w:w w:val="99"/>
              </w:rPr>
              <w:t>2027</w:t>
            </w:r>
          </w:p>
        </w:tc>
        <w:tc>
          <w:tcPr>
            <w:tcW w:w="1000" w:type="dxa"/>
            <w:vAlign w:val="bottom"/>
            <w:tcBorders>
              <w:bottom w:val="single" w:sz="8" w:color="CCEEFF"/>
            </w:tcBorders>
            <w:gridSpan w:val="3"/>
            <w:shd w:val="clear" w:color="auto" w:fill="CCEEFF"/>
          </w:tcPr>
          <w:p>
            <w:pPr>
              <w:jc w:val="right"/>
              <w:ind w:right="220"/>
              <w:spacing w:after="0" w:line="140" w:lineRule="exact"/>
              <w:rPr>
                <w:sz w:val="20"/>
                <w:szCs w:val="20"/>
                <w:color w:val="auto"/>
              </w:rPr>
            </w:pPr>
            <w:r>
              <w:rPr>
                <w:rFonts w:ascii="Times New Roman" w:cs="Times New Roman" w:eastAsia="Times New Roman" w:hAnsi="Times New Roman"/>
                <w:sz w:val="13"/>
                <w:szCs w:val="13"/>
                <w:color w:val="auto"/>
              </w:rPr>
              <w:t>1,250</w:t>
            </w: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20" w:type="dxa"/>
            <w:vAlign w:val="bottom"/>
            <w:gridSpan w:val="5"/>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Debt Investments — Technology</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203,494</w:t>
            </w:r>
          </w:p>
        </w:tc>
        <w:tc>
          <w:tcPr>
            <w:tcW w:w="22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199,365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Type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20" w:type="dxa"/>
            <w:vAlign w:val="bottom"/>
          </w:tcPr>
          <w:p>
            <w:pPr>
              <w:spacing w:after="0"/>
              <w:rPr>
                <w:sz w:val="11"/>
                <w:szCs w:val="11"/>
                <w:color w:val="auto"/>
              </w:rPr>
            </w:pPr>
          </w:p>
        </w:tc>
        <w:tc>
          <w:tcPr>
            <w:tcW w:w="960" w:type="dxa"/>
            <w:vAlign w:val="bottom"/>
            <w:gridSpan w:val="5"/>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Cash Rate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12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6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Investments</w:t>
            </w:r>
          </w:p>
        </w:tc>
        <w:tc>
          <w:tcPr>
            <w:tcW w:w="20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20" w:type="dxa"/>
            <w:vAlign w:val="bottom"/>
          </w:tcPr>
          <w:p>
            <w:pPr>
              <w:spacing w:after="0"/>
              <w:rPr>
                <w:sz w:val="13"/>
                <w:szCs w:val="13"/>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12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(7)</w:t>
            </w:r>
          </w:p>
        </w:tc>
        <w:tc>
          <w:tcPr>
            <w:tcW w:w="120" w:type="dxa"/>
            <w:vAlign w:val="bottom"/>
          </w:tcPr>
          <w:p>
            <w:pPr>
              <w:spacing w:after="0"/>
              <w:rPr>
                <w:sz w:val="13"/>
                <w:szCs w:val="13"/>
                <w:color w:val="auto"/>
              </w:rPr>
            </w:pPr>
          </w:p>
        </w:tc>
        <w:tc>
          <w:tcPr>
            <w:tcW w:w="6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(4)</w:t>
            </w:r>
          </w:p>
        </w:tc>
        <w:tc>
          <w:tcPr>
            <w:tcW w:w="2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200" w:type="dxa"/>
            <w:vAlign w:val="bottom"/>
          </w:tcPr>
          <w:p>
            <w:pPr>
              <w:spacing w:after="0"/>
              <w:rPr>
                <w:sz w:val="13"/>
                <w:szCs w:val="13"/>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Floor</w:t>
            </w:r>
          </w:p>
        </w:tc>
        <w:tc>
          <w:tcPr>
            <w:tcW w:w="200" w:type="dxa"/>
            <w:vAlign w:val="bottom"/>
            <w:gridSpan w:val="3"/>
          </w:tcPr>
          <w:p>
            <w:pPr>
              <w:spacing w:after="0"/>
              <w:rPr>
                <w:sz w:val="13"/>
                <w:szCs w:val="13"/>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Ceiling</w:t>
            </w:r>
          </w:p>
        </w:tc>
        <w:tc>
          <w:tcPr>
            <w:tcW w:w="220" w:type="dxa"/>
            <w:vAlign w:val="bottom"/>
          </w:tcPr>
          <w:p>
            <w:pPr>
              <w:spacing w:after="0"/>
              <w:rPr>
                <w:sz w:val="13"/>
                <w:szCs w:val="13"/>
                <w:color w:val="auto"/>
              </w:rPr>
            </w:pPr>
          </w:p>
        </w:tc>
        <w:tc>
          <w:tcPr>
            <w:tcW w:w="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ETP (10)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gridSpan w:val="2"/>
          </w:tcPr>
          <w:p>
            <w:pPr>
              <w:spacing w:after="0"/>
              <w:rPr>
                <w:sz w:val="13"/>
                <w:szCs w:val="13"/>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(6)(9)</w:t>
            </w:r>
          </w:p>
        </w:tc>
        <w:tc>
          <w:tcPr>
            <w:tcW w:w="200" w:type="dxa"/>
            <w:vAlign w:val="bottom"/>
          </w:tcPr>
          <w:p>
            <w:pPr>
              <w:spacing w:after="0"/>
              <w:rPr>
                <w:sz w:val="13"/>
                <w:szCs w:val="13"/>
                <w:color w:val="auto"/>
              </w:rPr>
            </w:pPr>
          </w:p>
        </w:tc>
        <w:tc>
          <w:tcPr>
            <w:tcW w:w="6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70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Non-Affiliate Debt</w:t>
            </w: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Investments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Healthcare</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information and services </w:t>
            </w: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23.4% (8)</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Term Loan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BrightInsight, Inc. (2)(12)</w:t>
            </w: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Software</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1040" w:type="dxa"/>
            <w:vAlign w:val="bottom"/>
            <w:gridSpan w:val="5"/>
          </w:tcPr>
          <w:p>
            <w:pPr>
              <w:jc w:val="right"/>
              <w:ind w:right="66"/>
              <w:spacing w:after="0"/>
              <w:rPr>
                <w:sz w:val="20"/>
                <w:szCs w:val="20"/>
                <w:color w:val="auto"/>
              </w:rPr>
            </w:pPr>
            <w:r>
              <w:rPr>
                <w:rFonts w:ascii="Times New Roman" w:cs="Times New Roman" w:eastAsia="Times New Roman" w:hAnsi="Times New Roman"/>
                <w:sz w:val="13"/>
                <w:szCs w:val="13"/>
                <w:color w:val="auto"/>
              </w:rPr>
              <w:t>12.50%</w:t>
            </w:r>
          </w:p>
        </w:tc>
        <w:tc>
          <w:tcPr>
            <w:tcW w:w="4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5"/>
          </w:tcPr>
          <w:p>
            <w:pPr>
              <w:jc w:val="right"/>
              <w:ind w:right="100"/>
              <w:spacing w:after="0"/>
              <w:rPr>
                <w:sz w:val="20"/>
                <w:szCs w:val="20"/>
                <w:color w:val="auto"/>
              </w:rPr>
            </w:pPr>
            <w:r>
              <w:rPr>
                <w:rFonts w:ascii="Times New Roman" w:cs="Times New Roman" w:eastAsia="Times New Roman" w:hAnsi="Times New Roman"/>
                <w:sz w:val="13"/>
                <w:szCs w:val="13"/>
                <w:color w:val="auto"/>
              </w:rPr>
              <w:t>5.50%</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9.50%</w:t>
            </w:r>
          </w:p>
        </w:tc>
        <w:tc>
          <w:tcPr>
            <w:tcW w:w="6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5,500</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2,905</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4,400</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5"/>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12.50%</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5.50%</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9.50%</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6,417</w:t>
            </w:r>
          </w:p>
        </w:tc>
        <w:tc>
          <w:tcPr>
            <w:tcW w:w="12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6,403</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5,123</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5"/>
          </w:tcPr>
          <w:p>
            <w:pPr>
              <w:jc w:val="right"/>
              <w:ind w:right="66"/>
              <w:spacing w:after="0"/>
              <w:rPr>
                <w:sz w:val="20"/>
                <w:szCs w:val="20"/>
                <w:color w:val="auto"/>
              </w:rPr>
            </w:pPr>
            <w:r>
              <w:rPr>
                <w:rFonts w:ascii="Times New Roman" w:cs="Times New Roman" w:eastAsia="Times New Roman" w:hAnsi="Times New Roman"/>
                <w:sz w:val="13"/>
                <w:szCs w:val="13"/>
                <w:color w:val="auto"/>
              </w:rPr>
              <w:t>12.50%</w:t>
            </w:r>
          </w:p>
        </w:tc>
        <w:tc>
          <w:tcPr>
            <w:tcW w:w="4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5"/>
          </w:tcPr>
          <w:p>
            <w:pPr>
              <w:jc w:val="right"/>
              <w:ind w:right="100"/>
              <w:spacing w:after="0"/>
              <w:rPr>
                <w:sz w:val="20"/>
                <w:szCs w:val="20"/>
                <w:color w:val="auto"/>
              </w:rPr>
            </w:pPr>
            <w:r>
              <w:rPr>
                <w:rFonts w:ascii="Times New Roman" w:cs="Times New Roman" w:eastAsia="Times New Roman" w:hAnsi="Times New Roman"/>
                <w:sz w:val="13"/>
                <w:szCs w:val="13"/>
                <w:color w:val="auto"/>
              </w:rPr>
              <w:t>5.50%</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9.50%</w:t>
            </w:r>
          </w:p>
        </w:tc>
        <w:tc>
          <w:tcPr>
            <w:tcW w:w="6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3,208</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3,202</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2,561</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5"/>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12.50%</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5.50%</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9.50%</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3,208</w:t>
            </w:r>
          </w:p>
        </w:tc>
        <w:tc>
          <w:tcPr>
            <w:tcW w:w="12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3,202</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2,561</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5"/>
          </w:tcPr>
          <w:p>
            <w:pPr>
              <w:jc w:val="right"/>
              <w:ind w:right="66"/>
              <w:spacing w:after="0"/>
              <w:rPr>
                <w:sz w:val="20"/>
                <w:szCs w:val="20"/>
                <w:color w:val="auto"/>
              </w:rPr>
            </w:pPr>
            <w:r>
              <w:rPr>
                <w:rFonts w:ascii="Times New Roman" w:cs="Times New Roman" w:eastAsia="Times New Roman" w:hAnsi="Times New Roman"/>
                <w:sz w:val="13"/>
                <w:szCs w:val="13"/>
                <w:color w:val="auto"/>
              </w:rPr>
              <w:t>12.50%</w:t>
            </w:r>
          </w:p>
        </w:tc>
        <w:tc>
          <w:tcPr>
            <w:tcW w:w="4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5"/>
          </w:tcPr>
          <w:p>
            <w:pPr>
              <w:jc w:val="right"/>
              <w:ind w:right="100"/>
              <w:spacing w:after="0"/>
              <w:rPr>
                <w:sz w:val="20"/>
                <w:szCs w:val="20"/>
                <w:color w:val="auto"/>
              </w:rPr>
            </w:pPr>
            <w:r>
              <w:rPr>
                <w:rFonts w:ascii="Times New Roman" w:cs="Times New Roman" w:eastAsia="Times New Roman" w:hAnsi="Times New Roman"/>
                <w:sz w:val="13"/>
                <w:szCs w:val="13"/>
                <w:color w:val="auto"/>
              </w:rPr>
              <w:t>5.50%</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9.50%</w:t>
            </w:r>
          </w:p>
        </w:tc>
        <w:tc>
          <w:tcPr>
            <w:tcW w:w="6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2,750</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2,734</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2,188</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Term Loan</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1040" w:type="dxa"/>
            <w:vAlign w:val="bottom"/>
            <w:gridSpan w:val="5"/>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12.50%</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5.50%</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9.50%</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2,250</w:t>
            </w:r>
          </w:p>
        </w:tc>
        <w:tc>
          <w:tcPr>
            <w:tcW w:w="12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1,800</w:t>
            </w:r>
          </w:p>
        </w:tc>
        <w:tc>
          <w:tcPr>
            <w:tcW w:w="0" w:type="dxa"/>
            <w:vAlign w:val="bottom"/>
          </w:tcPr>
          <w:p>
            <w:pPr>
              <w:spacing w:after="0"/>
              <w:rPr>
                <w:sz w:val="1"/>
                <w:szCs w:val="1"/>
                <w:color w:val="auto"/>
              </w:rPr>
            </w:pPr>
          </w:p>
        </w:tc>
      </w:tr>
      <w:tr>
        <w:trPr>
          <w:trHeight w:val="117"/>
        </w:trPr>
        <w:tc>
          <w:tcPr>
            <w:tcW w:w="17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Elligo Health Research, Inc.</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(2)(12)</w:t>
            </w:r>
          </w:p>
        </w:tc>
        <w:tc>
          <w:tcPr>
            <w:tcW w:w="1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Software</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5"/>
          </w:tcPr>
          <w:p>
            <w:pPr>
              <w:jc w:val="right"/>
              <w:ind w:right="66"/>
              <w:spacing w:after="0"/>
              <w:rPr>
                <w:sz w:val="20"/>
                <w:szCs w:val="20"/>
                <w:color w:val="auto"/>
              </w:rPr>
            </w:pPr>
            <w:r>
              <w:rPr>
                <w:rFonts w:ascii="Times New Roman" w:cs="Times New Roman" w:eastAsia="Times New Roman" w:hAnsi="Times New Roman"/>
                <w:sz w:val="13"/>
                <w:szCs w:val="13"/>
                <w:color w:val="auto"/>
              </w:rPr>
              <w:t>11.75%</w:t>
            </w:r>
          </w:p>
        </w:tc>
        <w:tc>
          <w:tcPr>
            <w:tcW w:w="4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5"/>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11.75%</w:t>
            </w:r>
          </w:p>
        </w:tc>
        <w:tc>
          <w:tcPr>
            <w:tcW w:w="6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10,000</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9,948</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9,948</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5"/>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11.75%</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11.75%</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5,000</w:t>
            </w:r>
          </w:p>
        </w:tc>
        <w:tc>
          <w:tcPr>
            <w:tcW w:w="12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4,974</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4,974</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5"/>
          </w:tcPr>
          <w:p>
            <w:pPr>
              <w:jc w:val="right"/>
              <w:ind w:right="66"/>
              <w:spacing w:after="0"/>
              <w:rPr>
                <w:sz w:val="20"/>
                <w:szCs w:val="20"/>
                <w:color w:val="auto"/>
              </w:rPr>
            </w:pPr>
            <w:r>
              <w:rPr>
                <w:rFonts w:ascii="Times New Roman" w:cs="Times New Roman" w:eastAsia="Times New Roman" w:hAnsi="Times New Roman"/>
                <w:sz w:val="13"/>
                <w:szCs w:val="13"/>
                <w:color w:val="auto"/>
              </w:rPr>
              <w:t>11.75%</w:t>
            </w:r>
          </w:p>
        </w:tc>
        <w:tc>
          <w:tcPr>
            <w:tcW w:w="4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5"/>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11.75%</w:t>
            </w:r>
          </w:p>
        </w:tc>
        <w:tc>
          <w:tcPr>
            <w:tcW w:w="6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5,000</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4,974</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4,974</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5"/>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11.75%</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11.75%</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5,000</w:t>
            </w:r>
          </w:p>
        </w:tc>
        <w:tc>
          <w:tcPr>
            <w:tcW w:w="12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4,974</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4,974</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Other</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GT Medical Technologies, Inc.</w:t>
            </w:r>
          </w:p>
        </w:tc>
        <w:tc>
          <w:tcPr>
            <w:tcW w:w="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Healthcare</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(2)(12)</w:t>
            </w:r>
          </w:p>
        </w:tc>
        <w:tc>
          <w:tcPr>
            <w:tcW w:w="1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Services</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5"/>
          </w:tcPr>
          <w:p>
            <w:pPr>
              <w:jc w:val="right"/>
              <w:ind w:right="66"/>
              <w:spacing w:after="0"/>
              <w:rPr>
                <w:sz w:val="20"/>
                <w:szCs w:val="20"/>
                <w:color w:val="auto"/>
              </w:rPr>
            </w:pPr>
            <w:r>
              <w:rPr>
                <w:rFonts w:ascii="Times New Roman" w:cs="Times New Roman" w:eastAsia="Times New Roman" w:hAnsi="Times New Roman"/>
                <w:sz w:val="13"/>
                <w:szCs w:val="13"/>
                <w:color w:val="auto"/>
              </w:rPr>
              <w:t>11.25%</w:t>
            </w:r>
          </w:p>
        </w:tc>
        <w:tc>
          <w:tcPr>
            <w:tcW w:w="4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5"/>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11.25%</w:t>
            </w:r>
          </w:p>
        </w:tc>
        <w:tc>
          <w:tcPr>
            <w:tcW w:w="6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3,750</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3,657</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3,657</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5"/>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11.25%</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11.25%</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3,750</w:t>
            </w:r>
          </w:p>
        </w:tc>
        <w:tc>
          <w:tcPr>
            <w:tcW w:w="12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3,707</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3,707</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5"/>
          </w:tcPr>
          <w:p>
            <w:pPr>
              <w:jc w:val="right"/>
              <w:ind w:right="66"/>
              <w:spacing w:after="0"/>
              <w:rPr>
                <w:sz w:val="20"/>
                <w:szCs w:val="20"/>
                <w:color w:val="auto"/>
              </w:rPr>
            </w:pPr>
            <w:r>
              <w:rPr>
                <w:rFonts w:ascii="Times New Roman" w:cs="Times New Roman" w:eastAsia="Times New Roman" w:hAnsi="Times New Roman"/>
                <w:sz w:val="13"/>
                <w:szCs w:val="13"/>
                <w:color w:val="auto"/>
              </w:rPr>
              <w:t>11.25%</w:t>
            </w:r>
          </w:p>
        </w:tc>
        <w:tc>
          <w:tcPr>
            <w:tcW w:w="4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5"/>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11.25%</w:t>
            </w:r>
          </w:p>
        </w:tc>
        <w:tc>
          <w:tcPr>
            <w:tcW w:w="6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7,500</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7,414</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7,414</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Other</w:t>
            </w: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Hometeam Technologies, Inc.</w:t>
            </w:r>
          </w:p>
        </w:tc>
        <w:tc>
          <w:tcPr>
            <w:tcW w:w="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Healthcare</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August 1,</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(2)(12)(13)</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5"/>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11.25%</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11.25%</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4,821</w:t>
            </w:r>
          </w:p>
        </w:tc>
        <w:tc>
          <w:tcPr>
            <w:tcW w:w="12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4,781</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3,958</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5"/>
          </w:tcPr>
          <w:p>
            <w:pPr>
              <w:jc w:val="right"/>
              <w:ind w:right="66"/>
              <w:spacing w:after="0"/>
              <w:rPr>
                <w:sz w:val="20"/>
                <w:szCs w:val="20"/>
                <w:color w:val="auto"/>
              </w:rPr>
            </w:pPr>
            <w:r>
              <w:rPr>
                <w:rFonts w:ascii="Times New Roman" w:cs="Times New Roman" w:eastAsia="Times New Roman" w:hAnsi="Times New Roman"/>
                <w:sz w:val="13"/>
                <w:szCs w:val="13"/>
                <w:color w:val="auto"/>
              </w:rPr>
              <w:t>11.25%</w:t>
            </w:r>
          </w:p>
        </w:tc>
        <w:tc>
          <w:tcPr>
            <w:tcW w:w="4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5"/>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11.25%</w:t>
            </w:r>
          </w:p>
        </w:tc>
        <w:tc>
          <w:tcPr>
            <w:tcW w:w="6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4,821</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4,781</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3,958</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5"/>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11.25%</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11.25%</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4,821</w:t>
            </w:r>
          </w:p>
        </w:tc>
        <w:tc>
          <w:tcPr>
            <w:tcW w:w="12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4,731</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3,917</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gridSpan w:val="5"/>
          </w:tcPr>
          <w:p>
            <w:pPr>
              <w:jc w:val="right"/>
              <w:ind w:right="66"/>
              <w:spacing w:after="0"/>
              <w:rPr>
                <w:sz w:val="20"/>
                <w:szCs w:val="20"/>
                <w:color w:val="auto"/>
              </w:rPr>
            </w:pPr>
            <w:r>
              <w:rPr>
                <w:rFonts w:ascii="Times New Roman" w:cs="Times New Roman" w:eastAsia="Times New Roman" w:hAnsi="Times New Roman"/>
                <w:sz w:val="13"/>
                <w:szCs w:val="13"/>
                <w:color w:val="auto"/>
              </w:rPr>
              <w:t>11.25%</w:t>
            </w:r>
          </w:p>
        </w:tc>
        <w:tc>
          <w:tcPr>
            <w:tcW w:w="4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Prime</w:t>
            </w:r>
          </w:p>
        </w:tc>
        <w:tc>
          <w:tcPr>
            <w:tcW w:w="1000" w:type="dxa"/>
            <w:vAlign w:val="bottom"/>
            <w:gridSpan w:val="5"/>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11.25%</w:t>
            </w:r>
          </w:p>
        </w:tc>
        <w:tc>
          <w:tcPr>
            <w:tcW w:w="6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4,821</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4,781</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3,958</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4,781</w:t>
            </w:r>
          </w:p>
        </w:tc>
        <w:tc>
          <w:tcPr>
            <w:tcW w:w="200" w:type="dxa"/>
            <w:vAlign w:val="bottom"/>
            <w:vMerge w:val="restart"/>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3,958</w:t>
            </w:r>
          </w:p>
        </w:tc>
        <w:tc>
          <w:tcPr>
            <w:tcW w:w="100" w:type="dxa"/>
            <w:vAlign w:val="bottom"/>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5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3"/>
                <w:szCs w:val="13"/>
                <w:color w:val="auto"/>
                <w:w w:val="92"/>
              </w:rPr>
              <w:t>Term Loan</w:t>
            </w:r>
          </w:p>
        </w:tc>
        <w:tc>
          <w:tcPr>
            <w:tcW w:w="1040" w:type="dxa"/>
            <w:vAlign w:val="bottom"/>
            <w:tcBorders>
              <w:bottom w:val="single" w:sz="8" w:color="CCEEFF"/>
            </w:tcBorders>
            <w:gridSpan w:val="5"/>
            <w:shd w:val="clear" w:color="auto" w:fill="CCEEFF"/>
          </w:tcPr>
          <w:p>
            <w:pPr>
              <w:jc w:val="right"/>
              <w:ind w:right="66"/>
              <w:spacing w:after="0" w:line="140" w:lineRule="exact"/>
              <w:rPr>
                <w:sz w:val="20"/>
                <w:szCs w:val="20"/>
                <w:color w:val="auto"/>
              </w:rPr>
            </w:pPr>
            <w:r>
              <w:rPr>
                <w:rFonts w:ascii="Times New Roman" w:cs="Times New Roman" w:eastAsia="Times New Roman" w:hAnsi="Times New Roman"/>
                <w:sz w:val="13"/>
                <w:szCs w:val="13"/>
                <w:color w:val="auto"/>
              </w:rPr>
              <w:t>11.25%</w:t>
            </w:r>
          </w:p>
        </w:tc>
        <w:tc>
          <w:tcPr>
            <w:tcW w:w="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ind w:left="40"/>
              <w:spacing w:after="0" w:line="140" w:lineRule="exact"/>
              <w:rPr>
                <w:sz w:val="20"/>
                <w:szCs w:val="20"/>
                <w:color w:val="auto"/>
              </w:rPr>
            </w:pPr>
            <w:r>
              <w:rPr>
                <w:rFonts w:ascii="Times New Roman" w:cs="Times New Roman" w:eastAsia="Times New Roman" w:hAnsi="Times New Roman"/>
                <w:sz w:val="13"/>
                <w:szCs w:val="13"/>
                <w:color w:val="auto"/>
              </w:rPr>
              <w:t>Prime</w:t>
            </w:r>
          </w:p>
        </w:tc>
        <w:tc>
          <w:tcPr>
            <w:tcW w:w="1000" w:type="dxa"/>
            <w:vAlign w:val="bottom"/>
            <w:tcBorders>
              <w:bottom w:val="single" w:sz="8" w:color="CCEEFF"/>
            </w:tcBorders>
            <w:gridSpan w:val="5"/>
            <w:shd w:val="clear" w:color="auto" w:fill="CCEEFF"/>
          </w:tcPr>
          <w:p>
            <w:pPr>
              <w:jc w:val="right"/>
              <w:ind w:right="100"/>
              <w:spacing w:after="0" w:line="140" w:lineRule="exact"/>
              <w:rPr>
                <w:sz w:val="20"/>
                <w:szCs w:val="20"/>
                <w:color w:val="auto"/>
              </w:rPr>
            </w:pPr>
            <w:r>
              <w:rPr>
                <w:rFonts w:ascii="Times New Roman" w:cs="Times New Roman" w:eastAsia="Times New Roman" w:hAnsi="Times New Roman"/>
                <w:sz w:val="13"/>
                <w:szCs w:val="13"/>
                <w:color w:val="auto"/>
              </w:rPr>
              <w:t>3.25%</w:t>
            </w:r>
          </w:p>
        </w:tc>
        <w:tc>
          <w:tcPr>
            <w:tcW w:w="820" w:type="dxa"/>
            <w:vAlign w:val="bottom"/>
            <w:tcBorders>
              <w:bottom w:val="single" w:sz="8" w:color="CCEEFF"/>
            </w:tcBorders>
            <w:gridSpan w:val="3"/>
            <w:shd w:val="clear" w:color="auto" w:fill="CCEEFF"/>
          </w:tcPr>
          <w:p>
            <w:pPr>
              <w:jc w:val="right"/>
              <w:ind w:right="40"/>
              <w:spacing w:after="0" w:line="140" w:lineRule="exact"/>
              <w:rPr>
                <w:sz w:val="20"/>
                <w:szCs w:val="20"/>
                <w:color w:val="auto"/>
              </w:rPr>
            </w:pPr>
            <w:r>
              <w:rPr>
                <w:rFonts w:ascii="Times New Roman" w:cs="Times New Roman" w:eastAsia="Times New Roman" w:hAnsi="Times New Roman"/>
                <w:sz w:val="13"/>
                <w:szCs w:val="13"/>
                <w:color w:val="auto"/>
              </w:rPr>
              <w:t>11.25%</w:t>
            </w:r>
          </w:p>
        </w:tc>
        <w:tc>
          <w:tcPr>
            <w:tcW w:w="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ind w:left="5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gridSpan w:val="4"/>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3.50%</w:t>
            </w:r>
          </w:p>
        </w:tc>
        <w:tc>
          <w:tcPr>
            <w:tcW w:w="540" w:type="dxa"/>
            <w:vAlign w:val="bottom"/>
            <w:tcBorders>
              <w:bottom w:val="single" w:sz="8" w:color="CCEEFF"/>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3"/>
                <w:szCs w:val="13"/>
                <w:color w:val="auto"/>
                <w:w w:val="99"/>
              </w:rPr>
              <w:t>2029</w:t>
            </w:r>
          </w:p>
        </w:tc>
        <w:tc>
          <w:tcPr>
            <w:tcW w:w="880" w:type="dxa"/>
            <w:vAlign w:val="bottom"/>
            <w:tcBorders>
              <w:bottom w:val="single" w:sz="8" w:color="CCEEFF"/>
            </w:tcBorders>
            <w:gridSpan w:val="3"/>
            <w:shd w:val="clear" w:color="auto" w:fill="CCEEFF"/>
          </w:tcPr>
          <w:p>
            <w:pPr>
              <w:jc w:val="right"/>
              <w:ind w:right="100"/>
              <w:spacing w:after="0" w:line="140" w:lineRule="exact"/>
              <w:rPr>
                <w:sz w:val="20"/>
                <w:szCs w:val="20"/>
                <w:color w:val="auto"/>
              </w:rPr>
            </w:pPr>
            <w:r>
              <w:rPr>
                <w:rFonts w:ascii="Times New Roman" w:cs="Times New Roman" w:eastAsia="Times New Roman" w:hAnsi="Times New Roman"/>
                <w:sz w:val="13"/>
                <w:szCs w:val="13"/>
                <w:color w:val="auto"/>
              </w:rPr>
              <w:t>4,821</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auto"/>
              <w:right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020" w:type="dxa"/>
            <w:vAlign w:val="bottom"/>
            <w:gridSpan w:val="5"/>
          </w:tcPr>
          <w:p>
            <w:pPr>
              <w:spacing w:after="0" w:line="110" w:lineRule="exact"/>
              <w:rPr>
                <w:sz w:val="20"/>
                <w:szCs w:val="20"/>
                <w:color w:val="auto"/>
              </w:rPr>
            </w:pPr>
            <w:r>
              <w:rPr>
                <w:rFonts w:ascii="Times New Roman" w:cs="Times New Roman" w:eastAsia="Times New Roman" w:hAnsi="Times New Roman"/>
                <w:sz w:val="12"/>
                <w:szCs w:val="12"/>
                <w:color w:val="auto"/>
              </w:rPr>
              <w:t>Total Non-Affiliate Debt Investments — Healthcare</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83,226</w:t>
            </w:r>
          </w:p>
        </w:tc>
        <w:tc>
          <w:tcPr>
            <w:tcW w:w="200" w:type="dxa"/>
            <w:vAlign w:val="bottom"/>
            <w:vMerge w:val="restart"/>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78,030</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70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information and services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0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 Affiliate Debt Investments</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right w:val="single" w:sz="8" w:color="CCEEFF"/>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619,342</w:t>
            </w:r>
          </w:p>
        </w:tc>
        <w:tc>
          <w:tcPr>
            <w:tcW w:w="960" w:type="dxa"/>
            <w:vAlign w:val="bottom"/>
            <w:gridSpan w:val="3"/>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   607,324</w:t>
            </w:r>
          </w:p>
        </w:tc>
        <w:tc>
          <w:tcPr>
            <w:tcW w:w="0" w:type="dxa"/>
            <w:vAlign w:val="bottom"/>
          </w:tcPr>
          <w:p>
            <w:pPr>
              <w:spacing w:after="0"/>
              <w:rPr>
                <w:sz w:val="1"/>
                <w:szCs w:val="1"/>
                <w:color w:val="auto"/>
              </w:rPr>
            </w:pPr>
          </w:p>
        </w:tc>
      </w:tr>
      <w:tr>
        <w:trPr>
          <w:trHeight w:val="20"/>
        </w:trPr>
        <w:tc>
          <w:tcPr>
            <w:tcW w:w="1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5"/>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Cost of</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gridSpan w:val="3"/>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w w:val="89"/>
              </w:rPr>
              <w:t>Fair</w:t>
            </w:r>
          </w:p>
        </w:tc>
        <w:tc>
          <w:tcPr>
            <w:tcW w:w="0" w:type="dxa"/>
            <w:vAlign w:val="bottom"/>
          </w:tcPr>
          <w:p>
            <w:pPr>
              <w:spacing w:after="0"/>
              <w:rPr>
                <w:sz w:val="1"/>
                <w:szCs w:val="1"/>
                <w:color w:val="auto"/>
              </w:rPr>
            </w:pPr>
          </w:p>
        </w:tc>
      </w:tr>
      <w:tr>
        <w:trPr>
          <w:trHeight w:val="137"/>
        </w:trPr>
        <w:tc>
          <w:tcPr>
            <w:tcW w:w="1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Portfolio Company (1)(3)</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Sector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6"/>
          </w:tcPr>
          <w:p>
            <w:pPr>
              <w:ind w:left="160"/>
              <w:spacing w:after="0"/>
              <w:rPr>
                <w:sz w:val="20"/>
                <w:szCs w:val="20"/>
                <w:color w:val="auto"/>
              </w:rPr>
            </w:pPr>
            <w:r>
              <w:rPr>
                <w:rFonts w:ascii="Times New Roman" w:cs="Times New Roman" w:eastAsia="Times New Roman" w:hAnsi="Times New Roman"/>
                <w:sz w:val="11"/>
                <w:szCs w:val="11"/>
                <w:b w:val="1"/>
                <w:bCs w:val="1"/>
                <w:color w:val="auto"/>
              </w:rPr>
              <w:t>Type of Investment (7)</w:t>
            </w:r>
          </w:p>
        </w:tc>
        <w:tc>
          <w:tcPr>
            <w:tcW w:w="1540" w:type="dxa"/>
            <w:vAlign w:val="bottom"/>
            <w:gridSpan w:val="4"/>
          </w:tcPr>
          <w:p>
            <w:pPr>
              <w:ind w:left="26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gridSpan w:val="5"/>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Investments (6)(9)</w:t>
            </w:r>
          </w:p>
        </w:tc>
        <w:tc>
          <w:tcPr>
            <w:tcW w:w="80" w:type="dxa"/>
            <w:vAlign w:val="bottom"/>
          </w:tcPr>
          <w:p>
            <w:pPr>
              <w:spacing w:after="0"/>
              <w:rPr>
                <w:sz w:val="11"/>
                <w:szCs w:val="11"/>
                <w:color w:val="auto"/>
              </w:rPr>
            </w:pPr>
          </w:p>
        </w:tc>
        <w:tc>
          <w:tcPr>
            <w:tcW w:w="1560" w:type="dxa"/>
            <w:vAlign w:val="bottom"/>
            <w:gridSpan w:val="4"/>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Value (9)</w:t>
            </w:r>
          </w:p>
        </w:tc>
        <w:tc>
          <w:tcPr>
            <w:tcW w:w="0" w:type="dxa"/>
            <w:vAlign w:val="bottom"/>
          </w:tcPr>
          <w:p>
            <w:pPr>
              <w:spacing w:after="0"/>
              <w:rPr>
                <w:sz w:val="1"/>
                <w:szCs w:val="1"/>
                <w:color w:val="auto"/>
              </w:rPr>
            </w:pPr>
          </w:p>
        </w:tc>
      </w:tr>
      <w:tr>
        <w:trPr>
          <w:trHeight w:val="115"/>
        </w:trPr>
        <w:tc>
          <w:tcPr>
            <w:tcW w:w="2400" w:type="dxa"/>
            <w:vAlign w:val="bottom"/>
            <w:tcBorders>
              <w:top w:val="single" w:sz="8" w:color="auto"/>
            </w:tcBorders>
            <w:gridSpan w:val="4"/>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 xml:space="preserve">Non-Affiliate Warrant Investments </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 xml:space="preserve"> 5.0% (8)</w:t>
            </w: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top w:val="single" w:sz="8" w:color="auto"/>
              <w:right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00" w:type="dxa"/>
            <w:vAlign w:val="bottom"/>
            <w:gridSpan w:val="4"/>
          </w:tcPr>
          <w:p>
            <w:pPr>
              <w:spacing w:after="0" w:line="122" w:lineRule="exact"/>
              <w:rPr>
                <w:sz w:val="20"/>
                <w:szCs w:val="20"/>
                <w:color w:val="auto"/>
              </w:rPr>
            </w:pPr>
            <w:r>
              <w:rPr>
                <w:rFonts w:ascii="Times New Roman" w:cs="Times New Roman" w:eastAsia="Times New Roman" w:hAnsi="Times New Roman"/>
                <w:sz w:val="11"/>
                <w:szCs w:val="11"/>
                <w:b w:val="1"/>
                <w:bCs w:val="1"/>
                <w:color w:val="auto"/>
                <w:w w:val="99"/>
              </w:rPr>
              <w:t xml:space="preserve">Non-Affiliate Warrants </w:t>
            </w:r>
            <w:r>
              <w:rPr>
                <w:rFonts w:ascii="Times New Roman" w:cs="Times New Roman" w:eastAsia="Times New Roman" w:hAnsi="Times New Roman"/>
                <w:sz w:val="11"/>
                <w:szCs w:val="11"/>
                <w:color w:val="auto"/>
                <w:w w:val="99"/>
              </w:rPr>
              <w:t>—</w:t>
            </w:r>
            <w:r>
              <w:rPr>
                <w:rFonts w:ascii="Times New Roman" w:cs="Times New Roman" w:eastAsia="Times New Roman" w:hAnsi="Times New Roman"/>
                <w:sz w:val="11"/>
                <w:szCs w:val="11"/>
                <w:b w:val="1"/>
                <w:bCs w:val="1"/>
                <w:color w:val="auto"/>
                <w:w w:val="99"/>
              </w:rPr>
              <w:t xml:space="preserve"> Life Science </w:t>
            </w:r>
            <w:r>
              <w:rPr>
                <w:rFonts w:ascii="Times New Roman" w:cs="Times New Roman" w:eastAsia="Times New Roman" w:hAnsi="Times New Roman"/>
                <w:sz w:val="11"/>
                <w:szCs w:val="11"/>
                <w:color w:val="auto"/>
                <w:w w:val="99"/>
              </w:rPr>
              <w:t>—</w:t>
            </w:r>
            <w:r>
              <w:rPr>
                <w:rFonts w:ascii="Times New Roman" w:cs="Times New Roman" w:eastAsia="Times New Roman" w:hAnsi="Times New Roman"/>
                <w:sz w:val="11"/>
                <w:szCs w:val="11"/>
                <w:b w:val="1"/>
                <w:bCs w:val="1"/>
                <w:color w:val="auto"/>
                <w:w w:val="99"/>
              </w:rPr>
              <w:t xml:space="preserve"> 2.1% (8)</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Avalo Therapeutics, Inc. (2)(5)(12)</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4"/>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Biotechnology</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40" w:type="dxa"/>
            <w:vAlign w:val="bottom"/>
            <w:gridSpan w:val="6"/>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Common Stock Warrant</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149</w:t>
            </w:r>
          </w:p>
        </w:tc>
        <w:tc>
          <w:tcPr>
            <w:tcW w:w="660" w:type="dxa"/>
            <w:vAlign w:val="bottom"/>
            <w:gridSpan w:val="3"/>
            <w:shd w:val="clear" w:color="auto" w:fill="CCEEFF"/>
          </w:tcPr>
          <w:p>
            <w:pPr>
              <w:jc w:val="right"/>
              <w:ind w:right="45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311</w:t>
            </w:r>
          </w:p>
        </w:tc>
        <w:tc>
          <w:tcPr>
            <w:tcW w:w="120" w:type="dxa"/>
            <w:vAlign w:val="bottom"/>
            <w:shd w:val="clear" w:color="auto" w:fill="CCEEFF"/>
          </w:tcPr>
          <w:p>
            <w:pPr>
              <w:spacing w:after="0"/>
              <w:rPr>
                <w:sz w:val="10"/>
                <w:szCs w:val="10"/>
                <w:color w:val="auto"/>
              </w:rPr>
            </w:pPr>
          </w:p>
        </w:tc>
        <w:tc>
          <w:tcPr>
            <w:tcW w:w="680" w:type="dxa"/>
            <w:vAlign w:val="bottom"/>
            <w:tcBorders>
              <w:right w:val="single" w:sz="8" w:color="CCEEFF"/>
            </w:tcBorders>
            <w:gridSpan w:val="2"/>
            <w:shd w:val="clear" w:color="auto" w:fill="CCEEFF"/>
          </w:tcPr>
          <w:p>
            <w:pPr>
              <w:jc w:val="right"/>
              <w:ind w:right="482"/>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BioVaxys Technology Corp. (5)(12)</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4"/>
          </w:tcPr>
          <w:p>
            <w:pPr>
              <w:ind w:left="120"/>
              <w:spacing w:after="0" w:line="122" w:lineRule="exact"/>
              <w:rPr>
                <w:sz w:val="20"/>
                <w:szCs w:val="20"/>
                <w:color w:val="auto"/>
              </w:rPr>
            </w:pPr>
            <w:r>
              <w:rPr>
                <w:rFonts w:ascii="Times New Roman" w:cs="Times New Roman" w:eastAsia="Times New Roman" w:hAnsi="Times New Roman"/>
                <w:sz w:val="11"/>
                <w:szCs w:val="11"/>
                <w:color w:val="auto"/>
              </w:rPr>
              <w:t>Biotechnology</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6"/>
          </w:tcPr>
          <w:p>
            <w:pPr>
              <w:spacing w:after="0" w:line="122" w:lineRule="exact"/>
              <w:rPr>
                <w:sz w:val="20"/>
                <w:szCs w:val="20"/>
                <w:color w:val="auto"/>
              </w:rPr>
            </w:pPr>
            <w:r>
              <w:rPr>
                <w:rFonts w:ascii="Times New Roman" w:cs="Times New Roman" w:eastAsia="Times New Roman" w:hAnsi="Times New Roman"/>
                <w:sz w:val="11"/>
                <w:szCs w:val="11"/>
                <w:color w:val="auto"/>
              </w:rPr>
              <w:t>Common Stock Warrant</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400,000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99"/>
              </w:rPr>
              <w:t>Castle Creek Biosciences, Inc. (2)(12)</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4"/>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Biotechnology</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40" w:type="dxa"/>
            <w:vAlign w:val="bottom"/>
            <w:gridSpan w:val="6"/>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Preferred Stock Warrant</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13,821</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3"/>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177</w:t>
            </w:r>
          </w:p>
        </w:tc>
        <w:tc>
          <w:tcPr>
            <w:tcW w:w="0" w:type="dxa"/>
            <w:vAlign w:val="bottom"/>
          </w:tcPr>
          <w:p>
            <w:pPr>
              <w:spacing w:after="0"/>
              <w:rPr>
                <w:sz w:val="1"/>
                <w:szCs w:val="1"/>
                <w:color w:val="auto"/>
              </w:rPr>
            </w:pPr>
          </w:p>
        </w:tc>
      </w:tr>
      <w:tr>
        <w:trPr>
          <w:trHeight w:val="122"/>
        </w:trPr>
        <w:tc>
          <w:tcPr>
            <w:tcW w:w="1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Emalex Biosciences, Inc. (2)(12)</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4"/>
          </w:tcPr>
          <w:p>
            <w:pPr>
              <w:ind w:left="120"/>
              <w:spacing w:after="0" w:line="122" w:lineRule="exact"/>
              <w:rPr>
                <w:sz w:val="20"/>
                <w:szCs w:val="20"/>
                <w:color w:val="auto"/>
              </w:rPr>
            </w:pPr>
            <w:r>
              <w:rPr>
                <w:rFonts w:ascii="Times New Roman" w:cs="Times New Roman" w:eastAsia="Times New Roman" w:hAnsi="Times New Roman"/>
                <w:sz w:val="11"/>
                <w:szCs w:val="11"/>
                <w:color w:val="auto"/>
              </w:rPr>
              <w:t>Biotechnology</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6"/>
          </w:tcPr>
          <w:p>
            <w:pPr>
              <w:spacing w:after="0" w:line="122" w:lineRule="exact"/>
              <w:rPr>
                <w:sz w:val="20"/>
                <w:szCs w:val="20"/>
                <w:color w:val="auto"/>
              </w:rPr>
            </w:pPr>
            <w:r>
              <w:rPr>
                <w:rFonts w:ascii="Times New Roman" w:cs="Times New Roman" w:eastAsia="Times New Roman" w:hAnsi="Times New Roman"/>
                <w:sz w:val="11"/>
                <w:szCs w:val="11"/>
                <w:color w:val="auto"/>
              </w:rPr>
              <w:t>Preferred Stock Warrant</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110,402</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176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3"/>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410</w:t>
            </w:r>
          </w:p>
        </w:tc>
        <w:tc>
          <w:tcPr>
            <w:tcW w:w="0" w:type="dxa"/>
            <w:vAlign w:val="bottom"/>
          </w:tcPr>
          <w:p>
            <w:pPr>
              <w:spacing w:after="0"/>
              <w:rPr>
                <w:sz w:val="1"/>
                <w:szCs w:val="1"/>
                <w:color w:val="auto"/>
              </w:rPr>
            </w:pPr>
          </w:p>
        </w:tc>
      </w:tr>
      <w:tr>
        <w:trPr>
          <w:trHeight w:val="122"/>
        </w:trPr>
        <w:tc>
          <w:tcPr>
            <w:tcW w:w="1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Imunon, Inc. (2)(5)(12)</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4"/>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Biotechnology</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40" w:type="dxa"/>
            <w:vAlign w:val="bottom"/>
            <w:gridSpan w:val="6"/>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Common Stock Warrant</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19,671</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KSQ Therapeutics, Inc. (2)(12)</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4"/>
          </w:tcPr>
          <w:p>
            <w:pPr>
              <w:ind w:left="120"/>
              <w:spacing w:after="0" w:line="122" w:lineRule="exact"/>
              <w:rPr>
                <w:sz w:val="20"/>
                <w:szCs w:val="20"/>
                <w:color w:val="auto"/>
              </w:rPr>
            </w:pPr>
            <w:r>
              <w:rPr>
                <w:rFonts w:ascii="Times New Roman" w:cs="Times New Roman" w:eastAsia="Times New Roman" w:hAnsi="Times New Roman"/>
                <w:sz w:val="11"/>
                <w:szCs w:val="11"/>
                <w:color w:val="auto"/>
              </w:rPr>
              <w:t>Biotechnology</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6"/>
          </w:tcPr>
          <w:p>
            <w:pPr>
              <w:spacing w:after="0" w:line="122" w:lineRule="exact"/>
              <w:rPr>
                <w:sz w:val="20"/>
                <w:szCs w:val="20"/>
                <w:color w:val="auto"/>
              </w:rPr>
            </w:pPr>
            <w:r>
              <w:rPr>
                <w:rFonts w:ascii="Times New Roman" w:cs="Times New Roman" w:eastAsia="Times New Roman" w:hAnsi="Times New Roman"/>
                <w:sz w:val="11"/>
                <w:szCs w:val="11"/>
                <w:color w:val="auto"/>
              </w:rPr>
              <w:t>Preferred Stock Warrant</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134,614</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138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3"/>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74</w:t>
            </w:r>
          </w:p>
        </w:tc>
        <w:tc>
          <w:tcPr>
            <w:tcW w:w="0" w:type="dxa"/>
            <w:vAlign w:val="bottom"/>
          </w:tcPr>
          <w:p>
            <w:pPr>
              <w:spacing w:after="0"/>
              <w:rPr>
                <w:sz w:val="1"/>
                <w:szCs w:val="1"/>
                <w:color w:val="auto"/>
              </w:rPr>
            </w:pPr>
          </w:p>
        </w:tc>
      </w:tr>
      <w:tr>
        <w:trPr>
          <w:trHeight w:val="122"/>
        </w:trPr>
        <w:tc>
          <w:tcPr>
            <w:tcW w:w="1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Mustang Bio, Inc. (2)(5)(12)</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4"/>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Biotechnology</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40" w:type="dxa"/>
            <w:vAlign w:val="bottom"/>
            <w:gridSpan w:val="6"/>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Common Stock Warrant</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568</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146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Native Microbials, Inc (2)(12)</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4"/>
          </w:tcPr>
          <w:p>
            <w:pPr>
              <w:ind w:left="120"/>
              <w:spacing w:after="0" w:line="122" w:lineRule="exact"/>
              <w:rPr>
                <w:sz w:val="20"/>
                <w:szCs w:val="20"/>
                <w:color w:val="auto"/>
              </w:rPr>
            </w:pPr>
            <w:r>
              <w:rPr>
                <w:rFonts w:ascii="Times New Roman" w:cs="Times New Roman" w:eastAsia="Times New Roman" w:hAnsi="Times New Roman"/>
                <w:sz w:val="11"/>
                <w:szCs w:val="11"/>
                <w:color w:val="auto"/>
              </w:rPr>
              <w:t>Biotechnology</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6"/>
          </w:tcPr>
          <w:p>
            <w:pPr>
              <w:spacing w:after="0" w:line="122" w:lineRule="exact"/>
              <w:rPr>
                <w:sz w:val="20"/>
                <w:szCs w:val="20"/>
                <w:color w:val="auto"/>
              </w:rPr>
            </w:pPr>
            <w:r>
              <w:rPr>
                <w:rFonts w:ascii="Times New Roman" w:cs="Times New Roman" w:eastAsia="Times New Roman" w:hAnsi="Times New Roman"/>
                <w:sz w:val="11"/>
                <w:szCs w:val="11"/>
                <w:color w:val="auto"/>
              </w:rPr>
              <w:t>Preferred Stock Warrant</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178,631</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93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3"/>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22"/>
        </w:trPr>
        <w:tc>
          <w:tcPr>
            <w:tcW w:w="2400" w:type="dxa"/>
            <w:vAlign w:val="bottom"/>
            <w:gridSpan w:val="4"/>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PDS Biotechnology Corporation (2)(5)(12)</w:t>
            </w: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4"/>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Biotechnology</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40" w:type="dxa"/>
            <w:vAlign w:val="bottom"/>
            <w:gridSpan w:val="6"/>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Common Stock Warrant</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381,625</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Pelthos Therapeutics, Inc. (2)(5)(12)</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4"/>
          </w:tcPr>
          <w:p>
            <w:pPr>
              <w:ind w:left="120"/>
              <w:spacing w:after="0" w:line="122" w:lineRule="exact"/>
              <w:rPr>
                <w:sz w:val="20"/>
                <w:szCs w:val="20"/>
                <w:color w:val="auto"/>
              </w:rPr>
            </w:pPr>
            <w:r>
              <w:rPr>
                <w:rFonts w:ascii="Times New Roman" w:cs="Times New Roman" w:eastAsia="Times New Roman" w:hAnsi="Times New Roman"/>
                <w:sz w:val="11"/>
                <w:szCs w:val="11"/>
                <w:color w:val="auto"/>
              </w:rPr>
              <w:t>Biotechnology</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6"/>
          </w:tcPr>
          <w:p>
            <w:pPr>
              <w:spacing w:after="0" w:line="122" w:lineRule="exact"/>
              <w:rPr>
                <w:sz w:val="20"/>
                <w:szCs w:val="20"/>
                <w:color w:val="auto"/>
              </w:rPr>
            </w:pPr>
            <w:r>
              <w:rPr>
                <w:rFonts w:ascii="Times New Roman" w:cs="Times New Roman" w:eastAsia="Times New Roman" w:hAnsi="Times New Roman"/>
                <w:sz w:val="11"/>
                <w:szCs w:val="11"/>
                <w:color w:val="auto"/>
              </w:rPr>
              <w:t>Common Stock Warrant</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65,488</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369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3"/>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201</w:t>
            </w:r>
          </w:p>
        </w:tc>
        <w:tc>
          <w:tcPr>
            <w:tcW w:w="0" w:type="dxa"/>
            <w:vAlign w:val="bottom"/>
          </w:tcPr>
          <w:p>
            <w:pPr>
              <w:spacing w:after="0"/>
              <w:rPr>
                <w:sz w:val="1"/>
                <w:szCs w:val="1"/>
                <w:color w:val="auto"/>
              </w:rPr>
            </w:pPr>
          </w:p>
        </w:tc>
      </w:tr>
      <w:tr>
        <w:trPr>
          <w:trHeight w:val="122"/>
        </w:trPr>
        <w:tc>
          <w:tcPr>
            <w:tcW w:w="1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Provivi, Inc. (2)(12)</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4"/>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Biotechnology</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40" w:type="dxa"/>
            <w:vAlign w:val="bottom"/>
            <w:gridSpan w:val="6"/>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Common Stock Warrant</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175,098</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Provivi, Inc. (2)(12)</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4"/>
          </w:tcPr>
          <w:p>
            <w:pPr>
              <w:ind w:left="120"/>
              <w:spacing w:after="0" w:line="122" w:lineRule="exact"/>
              <w:rPr>
                <w:sz w:val="20"/>
                <w:szCs w:val="20"/>
                <w:color w:val="auto"/>
              </w:rPr>
            </w:pPr>
            <w:r>
              <w:rPr>
                <w:rFonts w:ascii="Times New Roman" w:cs="Times New Roman" w:eastAsia="Times New Roman" w:hAnsi="Times New Roman"/>
                <w:sz w:val="11"/>
                <w:szCs w:val="11"/>
                <w:color w:val="auto"/>
              </w:rPr>
              <w:t>Biotechnology</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6"/>
          </w:tcPr>
          <w:p>
            <w:pPr>
              <w:spacing w:after="0" w:line="122" w:lineRule="exact"/>
              <w:rPr>
                <w:sz w:val="20"/>
                <w:szCs w:val="20"/>
                <w:color w:val="auto"/>
              </w:rPr>
            </w:pPr>
            <w:r>
              <w:rPr>
                <w:rFonts w:ascii="Times New Roman" w:cs="Times New Roman" w:eastAsia="Times New Roman" w:hAnsi="Times New Roman"/>
                <w:sz w:val="11"/>
                <w:szCs w:val="11"/>
                <w:color w:val="auto"/>
              </w:rPr>
              <w:t>Preferred Stock Warrant</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709,980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312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Stealth Biotherapeutics Inc. (2)(12)</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4"/>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Biotechnology</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40" w:type="dxa"/>
            <w:vAlign w:val="bottom"/>
            <w:gridSpan w:val="6"/>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Common Stock Warrant</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454,544</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3"/>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22"/>
        </w:trPr>
        <w:tc>
          <w:tcPr>
            <w:tcW w:w="1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Xeris Pharmaceuticals, Inc. (2)(5)(12)</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4"/>
          </w:tcPr>
          <w:p>
            <w:pPr>
              <w:ind w:left="120"/>
              <w:spacing w:after="0" w:line="122" w:lineRule="exact"/>
              <w:rPr>
                <w:sz w:val="20"/>
                <w:szCs w:val="20"/>
                <w:color w:val="auto"/>
              </w:rPr>
            </w:pPr>
            <w:r>
              <w:rPr>
                <w:rFonts w:ascii="Times New Roman" w:cs="Times New Roman" w:eastAsia="Times New Roman" w:hAnsi="Times New Roman"/>
                <w:sz w:val="11"/>
                <w:szCs w:val="11"/>
                <w:color w:val="auto"/>
              </w:rPr>
              <w:t>Biotechnology</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6"/>
          </w:tcPr>
          <w:p>
            <w:pPr>
              <w:spacing w:after="0" w:line="122" w:lineRule="exact"/>
              <w:rPr>
                <w:sz w:val="20"/>
                <w:szCs w:val="20"/>
                <w:color w:val="auto"/>
              </w:rPr>
            </w:pPr>
            <w:r>
              <w:rPr>
                <w:rFonts w:ascii="Times New Roman" w:cs="Times New Roman" w:eastAsia="Times New Roman" w:hAnsi="Times New Roman"/>
                <w:sz w:val="11"/>
                <w:szCs w:val="11"/>
                <w:color w:val="auto"/>
              </w:rPr>
              <w:t>Common Stock Warrant</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126,000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73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3"/>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434</w:t>
            </w:r>
          </w:p>
        </w:tc>
        <w:tc>
          <w:tcPr>
            <w:tcW w:w="0" w:type="dxa"/>
            <w:vAlign w:val="bottom"/>
          </w:tcPr>
          <w:p>
            <w:pPr>
              <w:spacing w:after="0"/>
              <w:rPr>
                <w:sz w:val="1"/>
                <w:szCs w:val="1"/>
                <w:color w:val="auto"/>
              </w:rPr>
            </w:pPr>
          </w:p>
        </w:tc>
      </w:tr>
      <w:tr>
        <w:trPr>
          <w:trHeight w:val="121"/>
        </w:trPr>
        <w:tc>
          <w:tcPr>
            <w:tcW w:w="1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Aerin Medical, Inc. (2)(12)</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4"/>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w w:val="97"/>
              </w:rPr>
              <w:t>Medical Device</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40" w:type="dxa"/>
            <w:vAlign w:val="bottom"/>
            <w:gridSpan w:val="6"/>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Preferred Stock Warrant</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1,818,183</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3"/>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1,335</w:t>
            </w:r>
          </w:p>
        </w:tc>
        <w:tc>
          <w:tcPr>
            <w:tcW w:w="0" w:type="dxa"/>
            <w:vAlign w:val="bottom"/>
          </w:tcPr>
          <w:p>
            <w:pPr>
              <w:spacing w:after="0"/>
              <w:rPr>
                <w:sz w:val="1"/>
                <w:szCs w:val="1"/>
                <w:color w:val="auto"/>
              </w:rPr>
            </w:pPr>
          </w:p>
        </w:tc>
      </w:tr>
      <w:tr>
        <w:trPr>
          <w:trHeight w:val="122"/>
        </w:trPr>
        <w:tc>
          <w:tcPr>
            <w:tcW w:w="1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Avive Solutions, Inc. (2)(12)</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4"/>
          </w:tcPr>
          <w:p>
            <w:pPr>
              <w:ind w:left="120"/>
              <w:spacing w:after="0" w:line="122" w:lineRule="exact"/>
              <w:rPr>
                <w:sz w:val="20"/>
                <w:szCs w:val="20"/>
                <w:color w:val="auto"/>
              </w:rPr>
            </w:pPr>
            <w:r>
              <w:rPr>
                <w:rFonts w:ascii="Times New Roman" w:cs="Times New Roman" w:eastAsia="Times New Roman" w:hAnsi="Times New Roman"/>
                <w:sz w:val="11"/>
                <w:szCs w:val="11"/>
                <w:color w:val="auto"/>
                <w:w w:val="97"/>
              </w:rPr>
              <w:t>Medical Device</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6"/>
          </w:tcPr>
          <w:p>
            <w:pPr>
              <w:spacing w:after="0" w:line="122" w:lineRule="exact"/>
              <w:rPr>
                <w:sz w:val="20"/>
                <w:szCs w:val="20"/>
                <w:color w:val="auto"/>
              </w:rPr>
            </w:pPr>
            <w:r>
              <w:rPr>
                <w:rFonts w:ascii="Times New Roman" w:cs="Times New Roman" w:eastAsia="Times New Roman" w:hAnsi="Times New Roman"/>
                <w:sz w:val="11"/>
                <w:szCs w:val="11"/>
                <w:color w:val="auto"/>
              </w:rPr>
              <w:t>Preferred Stock Warrant</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1,434,720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86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3"/>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86</w:t>
            </w:r>
          </w:p>
        </w:tc>
        <w:tc>
          <w:tcPr>
            <w:tcW w:w="0" w:type="dxa"/>
            <w:vAlign w:val="bottom"/>
          </w:tcPr>
          <w:p>
            <w:pPr>
              <w:spacing w:after="0"/>
              <w:rPr>
                <w:sz w:val="1"/>
                <w:szCs w:val="1"/>
                <w:color w:val="auto"/>
              </w:rPr>
            </w:pPr>
          </w:p>
        </w:tc>
      </w:tr>
      <w:tr>
        <w:trPr>
          <w:trHeight w:val="122"/>
        </w:trPr>
        <w:tc>
          <w:tcPr>
            <w:tcW w:w="1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Canary Medical Inc. (2)(12)</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4"/>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w w:val="97"/>
              </w:rPr>
              <w:t>Medical Device</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40" w:type="dxa"/>
            <w:vAlign w:val="bottom"/>
            <w:gridSpan w:val="6"/>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Preferred Stock Warrant</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12,153</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Ceribell, Inc. (2)(5)(12)</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4"/>
          </w:tcPr>
          <w:p>
            <w:pPr>
              <w:ind w:left="120"/>
              <w:spacing w:after="0" w:line="122" w:lineRule="exact"/>
              <w:rPr>
                <w:sz w:val="20"/>
                <w:szCs w:val="20"/>
                <w:color w:val="auto"/>
              </w:rPr>
            </w:pPr>
            <w:r>
              <w:rPr>
                <w:rFonts w:ascii="Times New Roman" w:cs="Times New Roman" w:eastAsia="Times New Roman" w:hAnsi="Times New Roman"/>
                <w:sz w:val="11"/>
                <w:szCs w:val="11"/>
                <w:color w:val="auto"/>
                <w:w w:val="97"/>
              </w:rPr>
              <w:t>Medical Device</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6"/>
          </w:tcPr>
          <w:p>
            <w:pPr>
              <w:spacing w:after="0" w:line="122" w:lineRule="exact"/>
              <w:rPr>
                <w:sz w:val="20"/>
                <w:szCs w:val="20"/>
                <w:color w:val="auto"/>
              </w:rPr>
            </w:pPr>
            <w:r>
              <w:rPr>
                <w:rFonts w:ascii="Times New Roman" w:cs="Times New Roman" w:eastAsia="Times New Roman" w:hAnsi="Times New Roman"/>
                <w:sz w:val="11"/>
                <w:szCs w:val="11"/>
                <w:color w:val="auto"/>
              </w:rPr>
              <w:t>Common Stock Warrant</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89,903</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147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3"/>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892</w:t>
            </w:r>
          </w:p>
        </w:tc>
        <w:tc>
          <w:tcPr>
            <w:tcW w:w="0" w:type="dxa"/>
            <w:vAlign w:val="bottom"/>
          </w:tcPr>
          <w:p>
            <w:pPr>
              <w:spacing w:after="0"/>
              <w:rPr>
                <w:sz w:val="1"/>
                <w:szCs w:val="1"/>
                <w:color w:val="auto"/>
              </w:rPr>
            </w:pPr>
          </w:p>
        </w:tc>
      </w:tr>
      <w:tr>
        <w:trPr>
          <w:trHeight w:val="122"/>
        </w:trPr>
        <w:tc>
          <w:tcPr>
            <w:tcW w:w="1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Cognoa, Inc. (2)(12)</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4"/>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w w:val="97"/>
              </w:rPr>
              <w:t>Medical Device</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40" w:type="dxa"/>
            <w:vAlign w:val="bottom"/>
            <w:gridSpan w:val="6"/>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Common Stock Warrant</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61,170</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3"/>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21"/>
        </w:trPr>
        <w:tc>
          <w:tcPr>
            <w:tcW w:w="1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Cognoa, Inc. (2)(12)</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4"/>
          </w:tcPr>
          <w:p>
            <w:pPr>
              <w:ind w:left="120"/>
              <w:spacing w:after="0" w:line="122" w:lineRule="exact"/>
              <w:rPr>
                <w:sz w:val="20"/>
                <w:szCs w:val="20"/>
                <w:color w:val="auto"/>
              </w:rPr>
            </w:pPr>
            <w:r>
              <w:rPr>
                <w:rFonts w:ascii="Times New Roman" w:cs="Times New Roman" w:eastAsia="Times New Roman" w:hAnsi="Times New Roman"/>
                <w:sz w:val="11"/>
                <w:szCs w:val="11"/>
                <w:color w:val="auto"/>
                <w:w w:val="97"/>
              </w:rPr>
              <w:t>Medical Device</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6"/>
          </w:tcPr>
          <w:p>
            <w:pPr>
              <w:spacing w:after="0" w:line="122" w:lineRule="exact"/>
              <w:rPr>
                <w:sz w:val="20"/>
                <w:szCs w:val="20"/>
                <w:color w:val="auto"/>
              </w:rPr>
            </w:pPr>
            <w:r>
              <w:rPr>
                <w:rFonts w:ascii="Times New Roman" w:cs="Times New Roman" w:eastAsia="Times New Roman" w:hAnsi="Times New Roman"/>
                <w:sz w:val="11"/>
                <w:szCs w:val="11"/>
                <w:color w:val="auto"/>
              </w:rPr>
              <w:t>Preferred Stock Warrant</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7,152,669</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162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3"/>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22"/>
        </w:trPr>
        <w:tc>
          <w:tcPr>
            <w:tcW w:w="1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Conventus Orthopaedics, Inc. (2)(12)</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4"/>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w w:val="97"/>
              </w:rPr>
              <w:t>Medical Device</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40" w:type="dxa"/>
            <w:vAlign w:val="bottom"/>
            <w:gridSpan w:val="6"/>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Preferred Stock Warrant</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13,203,395</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CSA Medical, Inc. (2)(12)</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4"/>
          </w:tcPr>
          <w:p>
            <w:pPr>
              <w:ind w:left="120"/>
              <w:spacing w:after="0" w:line="122" w:lineRule="exact"/>
              <w:rPr>
                <w:sz w:val="20"/>
                <w:szCs w:val="20"/>
                <w:color w:val="auto"/>
              </w:rPr>
            </w:pPr>
            <w:r>
              <w:rPr>
                <w:rFonts w:ascii="Times New Roman" w:cs="Times New Roman" w:eastAsia="Times New Roman" w:hAnsi="Times New Roman"/>
                <w:sz w:val="11"/>
                <w:szCs w:val="11"/>
                <w:color w:val="auto"/>
                <w:w w:val="97"/>
              </w:rPr>
              <w:t>Medical Device</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6"/>
          </w:tcPr>
          <w:p>
            <w:pPr>
              <w:spacing w:after="0" w:line="122" w:lineRule="exact"/>
              <w:rPr>
                <w:sz w:val="20"/>
                <w:szCs w:val="20"/>
                <w:color w:val="auto"/>
              </w:rPr>
            </w:pPr>
            <w:r>
              <w:rPr>
                <w:rFonts w:ascii="Times New Roman" w:cs="Times New Roman" w:eastAsia="Times New Roman" w:hAnsi="Times New Roman"/>
                <w:sz w:val="11"/>
                <w:szCs w:val="11"/>
                <w:color w:val="auto"/>
              </w:rPr>
              <w:t>Preferred Stock Warrant</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4,939,813</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174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3"/>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468</w:t>
            </w:r>
          </w:p>
        </w:tc>
        <w:tc>
          <w:tcPr>
            <w:tcW w:w="0" w:type="dxa"/>
            <w:vAlign w:val="bottom"/>
          </w:tcPr>
          <w:p>
            <w:pPr>
              <w:spacing w:after="0"/>
              <w:rPr>
                <w:sz w:val="1"/>
                <w:szCs w:val="1"/>
                <w:color w:val="auto"/>
              </w:rPr>
            </w:pPr>
          </w:p>
        </w:tc>
      </w:tr>
      <w:tr>
        <w:trPr>
          <w:trHeight w:val="122"/>
        </w:trPr>
        <w:tc>
          <w:tcPr>
            <w:tcW w:w="1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CVRx, Inc. (2)(5)(12)</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4"/>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w w:val="97"/>
              </w:rPr>
              <w:t>Medical Device</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40" w:type="dxa"/>
            <w:vAlign w:val="bottom"/>
            <w:gridSpan w:val="6"/>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Common Stock Warrant</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47,410</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3"/>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62</w:t>
            </w:r>
          </w:p>
        </w:tc>
        <w:tc>
          <w:tcPr>
            <w:tcW w:w="0" w:type="dxa"/>
            <w:vAlign w:val="bottom"/>
          </w:tcPr>
          <w:p>
            <w:pPr>
              <w:spacing w:after="0"/>
              <w:rPr>
                <w:sz w:val="1"/>
                <w:szCs w:val="1"/>
                <w:color w:val="auto"/>
              </w:rPr>
            </w:pPr>
          </w:p>
        </w:tc>
      </w:tr>
      <w:tr>
        <w:trPr>
          <w:trHeight w:val="121"/>
        </w:trPr>
        <w:tc>
          <w:tcPr>
            <w:tcW w:w="1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Hyperfine, Inc. (2)(5)(12)</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4"/>
          </w:tcPr>
          <w:p>
            <w:pPr>
              <w:ind w:left="120"/>
              <w:spacing w:after="0" w:line="122" w:lineRule="exact"/>
              <w:rPr>
                <w:sz w:val="20"/>
                <w:szCs w:val="20"/>
                <w:color w:val="auto"/>
              </w:rPr>
            </w:pPr>
            <w:r>
              <w:rPr>
                <w:rFonts w:ascii="Times New Roman" w:cs="Times New Roman" w:eastAsia="Times New Roman" w:hAnsi="Times New Roman"/>
                <w:sz w:val="11"/>
                <w:szCs w:val="11"/>
                <w:color w:val="auto"/>
                <w:w w:val="97"/>
              </w:rPr>
              <w:t>Medical Device</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6"/>
          </w:tcPr>
          <w:p>
            <w:pPr>
              <w:spacing w:after="0" w:line="122" w:lineRule="exact"/>
              <w:rPr>
                <w:sz w:val="20"/>
                <w:szCs w:val="20"/>
                <w:color w:val="auto"/>
              </w:rPr>
            </w:pPr>
            <w:r>
              <w:rPr>
                <w:rFonts w:ascii="Times New Roman" w:cs="Times New Roman" w:eastAsia="Times New Roman" w:hAnsi="Times New Roman"/>
                <w:sz w:val="11"/>
                <w:szCs w:val="11"/>
                <w:color w:val="auto"/>
              </w:rPr>
              <w:t>Common Stock Warrant</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562,500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173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3"/>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102</w:t>
            </w:r>
          </w:p>
        </w:tc>
        <w:tc>
          <w:tcPr>
            <w:tcW w:w="0" w:type="dxa"/>
            <w:vAlign w:val="bottom"/>
          </w:tcPr>
          <w:p>
            <w:pPr>
              <w:spacing w:after="0"/>
              <w:rPr>
                <w:sz w:val="1"/>
                <w:szCs w:val="1"/>
                <w:color w:val="auto"/>
              </w:rPr>
            </w:pPr>
          </w:p>
        </w:tc>
      </w:tr>
      <w:tr>
        <w:trPr>
          <w:trHeight w:val="121"/>
        </w:trPr>
        <w:tc>
          <w:tcPr>
            <w:tcW w:w="17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Infobionic, Inc. (2)(12)</w:t>
            </w: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4"/>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w w:val="97"/>
              </w:rPr>
              <w:t>Medical Device</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40" w:type="dxa"/>
            <w:vAlign w:val="bottom"/>
            <w:gridSpan w:val="6"/>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Preferred Stock Warrant</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8,488,456</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361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3"/>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709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(1)(3)</w:t>
            </w:r>
          </w:p>
        </w:tc>
        <w:tc>
          <w:tcPr>
            <w:tcW w:w="240" w:type="dxa"/>
            <w:vAlign w:val="bottom"/>
            <w:vMerge w:val="restart"/>
          </w:tcPr>
          <w:p>
            <w:pPr>
              <w:spacing w:after="0"/>
              <w:rPr>
                <w:sz w:val="13"/>
                <w:szCs w:val="13"/>
                <w:color w:val="auto"/>
              </w:rPr>
            </w:pPr>
          </w:p>
        </w:tc>
        <w:tc>
          <w:tcPr>
            <w:tcW w:w="11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240" w:type="dxa"/>
            <w:vAlign w:val="bottom"/>
          </w:tcPr>
          <w:p>
            <w:pPr>
              <w:spacing w:after="0"/>
              <w:rPr>
                <w:sz w:val="13"/>
                <w:szCs w:val="13"/>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Type of Investment (7)</w:t>
            </w:r>
          </w:p>
        </w:tc>
        <w:tc>
          <w:tcPr>
            <w:tcW w:w="120" w:type="dxa"/>
            <w:vAlign w:val="bottom"/>
          </w:tcPr>
          <w:p>
            <w:pPr>
              <w:spacing w:after="0"/>
              <w:rPr>
                <w:sz w:val="13"/>
                <w:szCs w:val="13"/>
                <w:color w:val="auto"/>
              </w:rPr>
            </w:pPr>
          </w:p>
        </w:tc>
        <w:tc>
          <w:tcPr>
            <w:tcW w:w="14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vMerge w:val="restart"/>
          </w:tcPr>
          <w:p>
            <w:pPr>
              <w:spacing w:after="0"/>
              <w:rPr>
                <w:sz w:val="13"/>
                <w:szCs w:val="13"/>
                <w:color w:val="auto"/>
              </w:rPr>
            </w:pPr>
          </w:p>
        </w:tc>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30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Investments (6)(9)</w:t>
            </w:r>
          </w:p>
        </w:tc>
        <w:tc>
          <w:tcPr>
            <w:tcW w:w="200" w:type="dxa"/>
            <w:vAlign w:val="bottom"/>
          </w:tcPr>
          <w:p>
            <w:pPr>
              <w:spacing w:after="0"/>
              <w:rPr>
                <w:sz w:val="15"/>
                <w:szCs w:val="15"/>
                <w:color w:val="auto"/>
              </w:rPr>
            </w:pPr>
          </w:p>
        </w:tc>
        <w:tc>
          <w:tcPr>
            <w:tcW w:w="14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Value (9)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Magnolia Medical Technologies, Inc. (2)(12)</w:t>
            </w:r>
          </w:p>
        </w:tc>
        <w:tc>
          <w:tcPr>
            <w:tcW w:w="1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Medical Device</w:t>
            </w:r>
          </w:p>
        </w:tc>
        <w:tc>
          <w:tcPr>
            <w:tcW w:w="1820" w:type="dxa"/>
            <w:vAlign w:val="bottom"/>
            <w:gridSpan w:val="2"/>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900,043</w:t>
            </w:r>
          </w:p>
        </w:tc>
        <w:tc>
          <w:tcPr>
            <w:tcW w:w="166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194</w:t>
            </w:r>
          </w:p>
        </w:tc>
        <w:tc>
          <w:tcPr>
            <w:tcW w:w="15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48"/>
        </w:trPr>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Meditrina, Inc. (12)</w:t>
            </w:r>
          </w:p>
        </w:tc>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18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233,993</w:t>
            </w:r>
          </w:p>
        </w:tc>
        <w:tc>
          <w:tcPr>
            <w:tcW w:w="1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26"/>
        </w:trPr>
        <w:tc>
          <w:tcPr>
            <w:tcW w:w="32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Mobia Medical, Inc. fka Microtransponder, Inc. (2)</w:t>
            </w:r>
          </w:p>
        </w:tc>
        <w:tc>
          <w:tcPr>
            <w:tcW w:w="1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Medical Device</w:t>
            </w:r>
          </w:p>
        </w:tc>
        <w:tc>
          <w:tcPr>
            <w:tcW w:w="18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103,172</w:t>
            </w:r>
          </w:p>
        </w:tc>
        <w:tc>
          <w:tcPr>
            <w:tcW w:w="1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w:t>
            </w:r>
          </w:p>
        </w:tc>
        <w:tc>
          <w:tcPr>
            <w:tcW w:w="1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820" w:type="dxa"/>
            <w:vAlign w:val="bottom"/>
            <w:gridSpan w:val="2"/>
            <w:vMerge w:val="continue"/>
            <w:shd w:val="clear" w:color="auto" w:fill="CCEEFF"/>
          </w:tcPr>
          <w:p>
            <w:pPr>
              <w:spacing w:after="0"/>
              <w:rPr>
                <w:sz w:val="14"/>
                <w:szCs w:val="14"/>
                <w:color w:val="auto"/>
              </w:rPr>
            </w:pPr>
          </w:p>
        </w:tc>
        <w:tc>
          <w:tcPr>
            <w:tcW w:w="1800" w:type="dxa"/>
            <w:vAlign w:val="bottom"/>
            <w:gridSpan w:val="3"/>
            <w:vMerge w:val="continue"/>
            <w:shd w:val="clear" w:color="auto" w:fill="CCEEFF"/>
          </w:tcPr>
          <w:p>
            <w:pPr>
              <w:spacing w:after="0"/>
              <w:rPr>
                <w:sz w:val="14"/>
                <w:szCs w:val="14"/>
                <w:color w:val="auto"/>
              </w:rPr>
            </w:pPr>
          </w:p>
        </w:tc>
        <w:tc>
          <w:tcPr>
            <w:tcW w:w="1660" w:type="dxa"/>
            <w:vAlign w:val="bottom"/>
            <w:gridSpan w:val="2"/>
            <w:vMerge w:val="continue"/>
            <w:shd w:val="clear" w:color="auto" w:fill="CCEEFF"/>
          </w:tcPr>
          <w:p>
            <w:pPr>
              <w:spacing w:after="0"/>
              <w:rPr>
                <w:sz w:val="14"/>
                <w:szCs w:val="14"/>
                <w:color w:val="auto"/>
              </w:rPr>
            </w:pPr>
          </w:p>
        </w:tc>
        <w:tc>
          <w:tcPr>
            <w:tcW w:w="1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Onkos Surgical, Inc. (2)(12)</w:t>
            </w:r>
          </w:p>
        </w:tc>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18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443,674</w:t>
            </w:r>
          </w:p>
        </w:tc>
        <w:tc>
          <w:tcPr>
            <w:tcW w:w="1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1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Ossio, Inc. (2)(12)</w:t>
            </w:r>
          </w:p>
        </w:tc>
        <w:tc>
          <w:tcPr>
            <w:tcW w:w="1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18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34,066</w:t>
            </w:r>
          </w:p>
        </w:tc>
        <w:tc>
          <w:tcPr>
            <w:tcW w:w="1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1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48"/>
        </w:trPr>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Scientia Vascular, Inc (2)(12)</w:t>
            </w:r>
          </w:p>
        </w:tc>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18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Common Stock Warrant</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24,000</w:t>
            </w:r>
          </w:p>
        </w:tc>
        <w:tc>
          <w:tcPr>
            <w:tcW w:w="1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Scientia Vascular, Inc (2)(12)</w:t>
            </w:r>
          </w:p>
        </w:tc>
        <w:tc>
          <w:tcPr>
            <w:tcW w:w="1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18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49,157</w:t>
            </w:r>
          </w:p>
        </w:tc>
        <w:tc>
          <w:tcPr>
            <w:tcW w:w="1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1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48"/>
        </w:trPr>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Sonex Health, Inc. (2)(12)</w:t>
            </w:r>
          </w:p>
        </w:tc>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18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5,592,571</w:t>
            </w:r>
          </w:p>
        </w:tc>
        <w:tc>
          <w:tcPr>
            <w:tcW w:w="1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443</w:t>
            </w:r>
          </w:p>
        </w:tc>
        <w:tc>
          <w:tcPr>
            <w:tcW w:w="1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Spineology, Inc. (2)(12)</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Medical Device</w:t>
            </w:r>
          </w:p>
        </w:tc>
        <w:tc>
          <w:tcPr>
            <w:tcW w:w="1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Warrant</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27,139</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65</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Spineology, Inc. (2)(12)</w:t>
            </w:r>
          </w:p>
        </w:tc>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18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45,101</w:t>
            </w:r>
          </w:p>
        </w:tc>
        <w:tc>
          <w:tcPr>
            <w:tcW w:w="1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VERO Biotech LLC (2)(12)</w:t>
            </w:r>
          </w:p>
        </w:tc>
        <w:tc>
          <w:tcPr>
            <w:tcW w:w="1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18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3,701</w:t>
            </w:r>
          </w:p>
        </w:tc>
        <w:tc>
          <w:tcPr>
            <w:tcW w:w="1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1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42"/>
        </w:trPr>
        <w:tc>
          <w:tcPr>
            <w:tcW w:w="32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Non-Affiliate Warrants — Life Science</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6,258</w:t>
            </w:r>
          </w:p>
        </w:tc>
        <w:tc>
          <w:tcPr>
            <w:tcW w:w="20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Non-Affiliate Warrants — Sustainability — 0.0% (8)</w:t>
            </w: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SparkCharge, Inc. (2)(12)</w:t>
            </w:r>
          </w:p>
        </w:tc>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Alternative Energy</w:t>
            </w:r>
          </w:p>
        </w:tc>
        <w:tc>
          <w:tcPr>
            <w:tcW w:w="18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2,264,151</w:t>
            </w:r>
          </w:p>
        </w:tc>
        <w:tc>
          <w:tcPr>
            <w:tcW w:w="1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Pivot Bio, Inc. (2)(12)</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Energy Efficiency</w:t>
            </w:r>
          </w:p>
        </w:tc>
        <w:tc>
          <w:tcPr>
            <w:tcW w:w="1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210,418</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26"/>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LiquiGlide, Inc. (2)(12)</w:t>
            </w:r>
          </w:p>
        </w:tc>
        <w:tc>
          <w:tcPr>
            <w:tcW w:w="1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w:t>
            </w: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122,717</w:t>
            </w:r>
          </w:p>
        </w:tc>
        <w:tc>
          <w:tcPr>
            <w:tcW w:w="1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1"/>
        </w:trPr>
        <w:tc>
          <w:tcPr>
            <w:tcW w:w="3280" w:type="dxa"/>
            <w:vAlign w:val="bottom"/>
            <w:gridSpan w:val="2"/>
            <w:vMerge w:val="continue"/>
          </w:tcPr>
          <w:p>
            <w:pPr>
              <w:spacing w:after="0"/>
              <w:rPr>
                <w:sz w:val="14"/>
                <w:szCs w:val="1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Sustainability</w:t>
            </w:r>
          </w:p>
        </w:tc>
        <w:tc>
          <w:tcPr>
            <w:tcW w:w="1820" w:type="dxa"/>
            <w:vAlign w:val="bottom"/>
            <w:gridSpan w:val="2"/>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Temperpack Technologies, Inc. (2)(12)</w:t>
            </w:r>
          </w:p>
        </w:tc>
        <w:tc>
          <w:tcPr>
            <w:tcW w:w="1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w:t>
            </w:r>
          </w:p>
        </w:tc>
        <w:tc>
          <w:tcPr>
            <w:tcW w:w="18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66,605</w:t>
            </w:r>
          </w:p>
        </w:tc>
        <w:tc>
          <w:tcPr>
            <w:tcW w:w="1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185</w:t>
            </w:r>
          </w:p>
        </w:tc>
        <w:tc>
          <w:tcPr>
            <w:tcW w:w="1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1"/>
        </w:trPr>
        <w:tc>
          <w:tcPr>
            <w:tcW w:w="3280" w:type="dxa"/>
            <w:vAlign w:val="bottom"/>
            <w:gridSpan w:val="2"/>
            <w:vMerge w:val="continue"/>
            <w:shd w:val="clear" w:color="auto" w:fill="CCEEFF"/>
          </w:tcPr>
          <w:p>
            <w:pPr>
              <w:spacing w:after="0"/>
              <w:rPr>
                <w:sz w:val="14"/>
                <w:szCs w:val="14"/>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Sustainability</w:t>
            </w:r>
          </w:p>
        </w:tc>
        <w:tc>
          <w:tcPr>
            <w:tcW w:w="1820" w:type="dxa"/>
            <w:vAlign w:val="bottom"/>
            <w:gridSpan w:val="2"/>
            <w:vMerge w:val="continue"/>
            <w:shd w:val="clear" w:color="auto" w:fill="CCEEFF"/>
          </w:tcPr>
          <w:p>
            <w:pPr>
              <w:spacing w:after="0"/>
              <w:rPr>
                <w:sz w:val="14"/>
                <w:szCs w:val="14"/>
                <w:color w:val="auto"/>
              </w:rPr>
            </w:pPr>
          </w:p>
        </w:tc>
        <w:tc>
          <w:tcPr>
            <w:tcW w:w="1800" w:type="dxa"/>
            <w:vAlign w:val="bottom"/>
            <w:gridSpan w:val="3"/>
            <w:vMerge w:val="continue"/>
            <w:shd w:val="clear" w:color="auto" w:fill="CCEEFF"/>
          </w:tcPr>
          <w:p>
            <w:pPr>
              <w:spacing w:after="0"/>
              <w:rPr>
                <w:sz w:val="14"/>
                <w:szCs w:val="14"/>
                <w:color w:val="auto"/>
              </w:rPr>
            </w:pPr>
          </w:p>
        </w:tc>
        <w:tc>
          <w:tcPr>
            <w:tcW w:w="1660" w:type="dxa"/>
            <w:vAlign w:val="bottom"/>
            <w:gridSpan w:val="2"/>
            <w:vMerge w:val="continue"/>
            <w:shd w:val="clear" w:color="auto" w:fill="CCEEFF"/>
          </w:tcPr>
          <w:p>
            <w:pPr>
              <w:spacing w:after="0"/>
              <w:rPr>
                <w:sz w:val="14"/>
                <w:szCs w:val="14"/>
                <w:color w:val="auto"/>
              </w:rPr>
            </w:pPr>
          </w:p>
        </w:tc>
        <w:tc>
          <w:tcPr>
            <w:tcW w:w="1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Non-Affiliate Warrants — Sustainability</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297</w:t>
            </w:r>
          </w:p>
        </w:tc>
        <w:tc>
          <w:tcPr>
            <w:tcW w:w="20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Non-Affiliate Warrants — Technology — 2.8% (8)</w:t>
            </w: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Axiom Space Holdings, Inc. (2)(12)</w:t>
            </w:r>
          </w:p>
        </w:tc>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18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Common Stock Warrant</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2,654</w:t>
            </w:r>
          </w:p>
        </w:tc>
        <w:tc>
          <w:tcPr>
            <w:tcW w:w="1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Intelepeer Holdings, Inc. (2)(12)</w:t>
            </w:r>
          </w:p>
        </w:tc>
        <w:tc>
          <w:tcPr>
            <w:tcW w:w="1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18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2,936,535</w:t>
            </w:r>
          </w:p>
        </w:tc>
        <w:tc>
          <w:tcPr>
            <w:tcW w:w="1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2,737</w:t>
            </w:r>
          </w:p>
        </w:tc>
        <w:tc>
          <w:tcPr>
            <w:tcW w:w="0" w:type="dxa"/>
            <w:vAlign w:val="bottom"/>
          </w:tcPr>
          <w:p>
            <w:pPr>
              <w:spacing w:after="0"/>
              <w:rPr>
                <w:sz w:val="1"/>
                <w:szCs w:val="1"/>
                <w:color w:val="auto"/>
              </w:rPr>
            </w:pPr>
          </w:p>
        </w:tc>
      </w:tr>
      <w:tr>
        <w:trPr>
          <w:trHeight w:val="126"/>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Alula Holdings, Inc. (2)(12)</w:t>
            </w:r>
          </w:p>
        </w:tc>
        <w:tc>
          <w:tcPr>
            <w:tcW w:w="1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20,000</w:t>
            </w:r>
          </w:p>
        </w:tc>
        <w:tc>
          <w:tcPr>
            <w:tcW w:w="1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93</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3280" w:type="dxa"/>
            <w:vAlign w:val="bottom"/>
            <w:gridSpan w:val="2"/>
            <w:vMerge w:val="continue"/>
          </w:tcPr>
          <w:p>
            <w:pPr>
              <w:spacing w:after="0"/>
              <w:rPr>
                <w:sz w:val="14"/>
                <w:szCs w:val="1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Technologies</w:t>
            </w:r>
          </w:p>
        </w:tc>
        <w:tc>
          <w:tcPr>
            <w:tcW w:w="1820" w:type="dxa"/>
            <w:vAlign w:val="bottom"/>
            <w:gridSpan w:val="2"/>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CAMP NYC, Inc. (2)(12)</w:t>
            </w:r>
          </w:p>
        </w:tc>
        <w:tc>
          <w:tcPr>
            <w:tcW w:w="1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18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224,712</w:t>
            </w:r>
          </w:p>
        </w:tc>
        <w:tc>
          <w:tcPr>
            <w:tcW w:w="1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w:t>
            </w:r>
          </w:p>
        </w:tc>
        <w:tc>
          <w:tcPr>
            <w:tcW w:w="1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71"/>
        </w:trPr>
        <w:tc>
          <w:tcPr>
            <w:tcW w:w="3280" w:type="dxa"/>
            <w:vAlign w:val="bottom"/>
            <w:gridSpan w:val="2"/>
            <w:vMerge w:val="continue"/>
            <w:shd w:val="clear" w:color="auto" w:fill="CCEEFF"/>
          </w:tcPr>
          <w:p>
            <w:pPr>
              <w:spacing w:after="0"/>
              <w:rPr>
                <w:sz w:val="14"/>
                <w:szCs w:val="14"/>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Technologies</w:t>
            </w:r>
          </w:p>
        </w:tc>
        <w:tc>
          <w:tcPr>
            <w:tcW w:w="1820" w:type="dxa"/>
            <w:vAlign w:val="bottom"/>
            <w:gridSpan w:val="2"/>
            <w:vMerge w:val="continue"/>
            <w:shd w:val="clear" w:color="auto" w:fill="CCEEFF"/>
          </w:tcPr>
          <w:p>
            <w:pPr>
              <w:spacing w:after="0"/>
              <w:rPr>
                <w:sz w:val="14"/>
                <w:szCs w:val="14"/>
                <w:color w:val="auto"/>
              </w:rPr>
            </w:pPr>
          </w:p>
        </w:tc>
        <w:tc>
          <w:tcPr>
            <w:tcW w:w="1800" w:type="dxa"/>
            <w:vAlign w:val="bottom"/>
            <w:gridSpan w:val="3"/>
            <w:vMerge w:val="continue"/>
            <w:shd w:val="clear" w:color="auto" w:fill="CCEEFF"/>
          </w:tcPr>
          <w:p>
            <w:pPr>
              <w:spacing w:after="0"/>
              <w:rPr>
                <w:sz w:val="14"/>
                <w:szCs w:val="14"/>
                <w:color w:val="auto"/>
              </w:rPr>
            </w:pPr>
          </w:p>
        </w:tc>
        <w:tc>
          <w:tcPr>
            <w:tcW w:w="1660" w:type="dxa"/>
            <w:vAlign w:val="bottom"/>
            <w:gridSpan w:val="2"/>
            <w:vMerge w:val="continue"/>
            <w:shd w:val="clear" w:color="auto" w:fill="CCEEFF"/>
          </w:tcPr>
          <w:p>
            <w:pPr>
              <w:spacing w:after="0"/>
              <w:rPr>
                <w:sz w:val="14"/>
                <w:szCs w:val="14"/>
                <w:color w:val="auto"/>
              </w:rPr>
            </w:pPr>
          </w:p>
        </w:tc>
        <w:tc>
          <w:tcPr>
            <w:tcW w:w="1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Clara Foods Co. (2)(12)</w:t>
            </w:r>
          </w:p>
        </w:tc>
        <w:tc>
          <w:tcPr>
            <w:tcW w:w="1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46,745</w:t>
            </w:r>
          </w:p>
        </w:tc>
        <w:tc>
          <w:tcPr>
            <w:tcW w:w="1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30</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1"/>
        </w:trPr>
        <w:tc>
          <w:tcPr>
            <w:tcW w:w="3280" w:type="dxa"/>
            <w:vAlign w:val="bottom"/>
            <w:gridSpan w:val="2"/>
            <w:vMerge w:val="continue"/>
          </w:tcPr>
          <w:p>
            <w:pPr>
              <w:spacing w:after="0"/>
              <w:rPr>
                <w:sz w:val="14"/>
                <w:szCs w:val="1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Technologies</w:t>
            </w:r>
          </w:p>
        </w:tc>
        <w:tc>
          <w:tcPr>
            <w:tcW w:w="1820" w:type="dxa"/>
            <w:vAlign w:val="bottom"/>
            <w:gridSpan w:val="2"/>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Divergent Technologies, Inc. (2)(12)</w:t>
            </w:r>
          </w:p>
        </w:tc>
        <w:tc>
          <w:tcPr>
            <w:tcW w:w="1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18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Warrant</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13,068</w:t>
            </w:r>
          </w:p>
        </w:tc>
        <w:tc>
          <w:tcPr>
            <w:tcW w:w="1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w:t>
            </w:r>
          </w:p>
        </w:tc>
        <w:tc>
          <w:tcPr>
            <w:tcW w:w="1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71"/>
        </w:trPr>
        <w:tc>
          <w:tcPr>
            <w:tcW w:w="3280" w:type="dxa"/>
            <w:vAlign w:val="bottom"/>
            <w:gridSpan w:val="2"/>
            <w:vMerge w:val="continue"/>
            <w:shd w:val="clear" w:color="auto" w:fill="CCEEFF"/>
          </w:tcPr>
          <w:p>
            <w:pPr>
              <w:spacing w:after="0"/>
              <w:rPr>
                <w:sz w:val="14"/>
                <w:szCs w:val="14"/>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Technologies</w:t>
            </w:r>
          </w:p>
        </w:tc>
        <w:tc>
          <w:tcPr>
            <w:tcW w:w="1820" w:type="dxa"/>
            <w:vAlign w:val="bottom"/>
            <w:gridSpan w:val="2"/>
            <w:vMerge w:val="continue"/>
            <w:shd w:val="clear" w:color="auto" w:fill="CCEEFF"/>
          </w:tcPr>
          <w:p>
            <w:pPr>
              <w:spacing w:after="0"/>
              <w:rPr>
                <w:sz w:val="14"/>
                <w:szCs w:val="14"/>
                <w:color w:val="auto"/>
              </w:rPr>
            </w:pPr>
          </w:p>
        </w:tc>
        <w:tc>
          <w:tcPr>
            <w:tcW w:w="1800" w:type="dxa"/>
            <w:vAlign w:val="bottom"/>
            <w:gridSpan w:val="3"/>
            <w:vMerge w:val="continue"/>
            <w:shd w:val="clear" w:color="auto" w:fill="CCEEFF"/>
          </w:tcPr>
          <w:p>
            <w:pPr>
              <w:spacing w:after="0"/>
              <w:rPr>
                <w:sz w:val="14"/>
                <w:szCs w:val="14"/>
                <w:color w:val="auto"/>
              </w:rPr>
            </w:pPr>
          </w:p>
        </w:tc>
        <w:tc>
          <w:tcPr>
            <w:tcW w:w="1660" w:type="dxa"/>
            <w:vAlign w:val="bottom"/>
            <w:gridSpan w:val="2"/>
            <w:vMerge w:val="continue"/>
            <w:shd w:val="clear" w:color="auto" w:fill="CCEEFF"/>
          </w:tcPr>
          <w:p>
            <w:pPr>
              <w:spacing w:after="0"/>
              <w:rPr>
                <w:sz w:val="14"/>
                <w:szCs w:val="14"/>
                <w:color w:val="auto"/>
              </w:rPr>
            </w:pPr>
          </w:p>
        </w:tc>
        <w:tc>
          <w:tcPr>
            <w:tcW w:w="1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Divergent Technologies, Inc. (2)(12)</w:t>
            </w:r>
          </w:p>
        </w:tc>
        <w:tc>
          <w:tcPr>
            <w:tcW w:w="1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71,014</w:t>
            </w:r>
          </w:p>
        </w:tc>
        <w:tc>
          <w:tcPr>
            <w:tcW w:w="1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538</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771</w:t>
            </w:r>
          </w:p>
        </w:tc>
        <w:tc>
          <w:tcPr>
            <w:tcW w:w="0" w:type="dxa"/>
            <w:vAlign w:val="bottom"/>
          </w:tcPr>
          <w:p>
            <w:pPr>
              <w:spacing w:after="0"/>
              <w:rPr>
                <w:sz w:val="1"/>
                <w:szCs w:val="1"/>
                <w:color w:val="auto"/>
              </w:rPr>
            </w:pPr>
          </w:p>
        </w:tc>
      </w:tr>
      <w:tr>
        <w:trPr>
          <w:trHeight w:val="171"/>
        </w:trPr>
        <w:tc>
          <w:tcPr>
            <w:tcW w:w="3280" w:type="dxa"/>
            <w:vAlign w:val="bottom"/>
            <w:gridSpan w:val="2"/>
            <w:vMerge w:val="continue"/>
          </w:tcPr>
          <w:p>
            <w:pPr>
              <w:spacing w:after="0"/>
              <w:rPr>
                <w:sz w:val="14"/>
                <w:szCs w:val="1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Technologies</w:t>
            </w:r>
          </w:p>
        </w:tc>
        <w:tc>
          <w:tcPr>
            <w:tcW w:w="1820" w:type="dxa"/>
            <w:vAlign w:val="bottom"/>
            <w:gridSpan w:val="2"/>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Havenly, Inc. (2)(12)</w:t>
            </w:r>
          </w:p>
        </w:tc>
        <w:tc>
          <w:tcPr>
            <w:tcW w:w="1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18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Stock Warrant</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1,633,929</w:t>
            </w:r>
          </w:p>
        </w:tc>
        <w:tc>
          <w:tcPr>
            <w:tcW w:w="1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3,463</w:t>
            </w:r>
          </w:p>
        </w:tc>
        <w:tc>
          <w:tcPr>
            <w:tcW w:w="1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3,510</w:t>
            </w:r>
          </w:p>
        </w:tc>
        <w:tc>
          <w:tcPr>
            <w:tcW w:w="0" w:type="dxa"/>
            <w:vAlign w:val="bottom"/>
          </w:tcPr>
          <w:p>
            <w:pPr>
              <w:spacing w:after="0"/>
              <w:rPr>
                <w:sz w:val="1"/>
                <w:szCs w:val="1"/>
                <w:color w:val="auto"/>
              </w:rPr>
            </w:pPr>
          </w:p>
        </w:tc>
      </w:tr>
      <w:tr>
        <w:trPr>
          <w:trHeight w:val="171"/>
        </w:trPr>
        <w:tc>
          <w:tcPr>
            <w:tcW w:w="3280" w:type="dxa"/>
            <w:vAlign w:val="bottom"/>
            <w:gridSpan w:val="2"/>
            <w:vMerge w:val="continue"/>
            <w:shd w:val="clear" w:color="auto" w:fill="CCEEFF"/>
          </w:tcPr>
          <w:p>
            <w:pPr>
              <w:spacing w:after="0"/>
              <w:rPr>
                <w:sz w:val="14"/>
                <w:szCs w:val="14"/>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Technologies</w:t>
            </w:r>
          </w:p>
        </w:tc>
        <w:tc>
          <w:tcPr>
            <w:tcW w:w="1820" w:type="dxa"/>
            <w:vAlign w:val="bottom"/>
            <w:gridSpan w:val="2"/>
            <w:vMerge w:val="continue"/>
            <w:shd w:val="clear" w:color="auto" w:fill="CCEEFF"/>
          </w:tcPr>
          <w:p>
            <w:pPr>
              <w:spacing w:after="0"/>
              <w:rPr>
                <w:sz w:val="14"/>
                <w:szCs w:val="14"/>
                <w:color w:val="auto"/>
              </w:rPr>
            </w:pPr>
          </w:p>
        </w:tc>
        <w:tc>
          <w:tcPr>
            <w:tcW w:w="1800" w:type="dxa"/>
            <w:vAlign w:val="bottom"/>
            <w:gridSpan w:val="3"/>
            <w:vMerge w:val="continue"/>
            <w:shd w:val="clear" w:color="auto" w:fill="CCEEFF"/>
          </w:tcPr>
          <w:p>
            <w:pPr>
              <w:spacing w:after="0"/>
              <w:rPr>
                <w:sz w:val="14"/>
                <w:szCs w:val="14"/>
                <w:color w:val="auto"/>
              </w:rPr>
            </w:pPr>
          </w:p>
        </w:tc>
        <w:tc>
          <w:tcPr>
            <w:tcW w:w="1660" w:type="dxa"/>
            <w:vAlign w:val="bottom"/>
            <w:gridSpan w:val="2"/>
            <w:vMerge w:val="continue"/>
            <w:shd w:val="clear" w:color="auto" w:fill="CCEEFF"/>
          </w:tcPr>
          <w:p>
            <w:pPr>
              <w:spacing w:after="0"/>
              <w:rPr>
                <w:sz w:val="14"/>
                <w:szCs w:val="14"/>
                <w:color w:val="auto"/>
              </w:rPr>
            </w:pPr>
          </w:p>
        </w:tc>
        <w:tc>
          <w:tcPr>
            <w:tcW w:w="1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MyForest Foods Co. (2)(12)</w:t>
            </w:r>
          </w:p>
        </w:tc>
        <w:tc>
          <w:tcPr>
            <w:tcW w:w="1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500</w:t>
            </w:r>
          </w:p>
        </w:tc>
        <w:tc>
          <w:tcPr>
            <w:tcW w:w="1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41</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71"/>
        </w:trPr>
        <w:tc>
          <w:tcPr>
            <w:tcW w:w="3280" w:type="dxa"/>
            <w:vAlign w:val="bottom"/>
            <w:gridSpan w:val="2"/>
            <w:vMerge w:val="continue"/>
          </w:tcPr>
          <w:p>
            <w:pPr>
              <w:spacing w:after="0"/>
              <w:rPr>
                <w:sz w:val="14"/>
                <w:szCs w:val="1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Technologies</w:t>
            </w:r>
          </w:p>
        </w:tc>
        <w:tc>
          <w:tcPr>
            <w:tcW w:w="1820" w:type="dxa"/>
            <w:vAlign w:val="bottom"/>
            <w:gridSpan w:val="2"/>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Primary Kids, Inc. (2)(12)</w:t>
            </w:r>
          </w:p>
        </w:tc>
        <w:tc>
          <w:tcPr>
            <w:tcW w:w="1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18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553,778</w:t>
            </w:r>
          </w:p>
        </w:tc>
        <w:tc>
          <w:tcPr>
            <w:tcW w:w="1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w:t>
            </w:r>
          </w:p>
        </w:tc>
        <w:tc>
          <w:tcPr>
            <w:tcW w:w="1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71"/>
        </w:trPr>
        <w:tc>
          <w:tcPr>
            <w:tcW w:w="3280" w:type="dxa"/>
            <w:vAlign w:val="bottom"/>
            <w:gridSpan w:val="2"/>
            <w:vMerge w:val="continue"/>
            <w:shd w:val="clear" w:color="auto" w:fill="CCEEFF"/>
          </w:tcPr>
          <w:p>
            <w:pPr>
              <w:spacing w:after="0"/>
              <w:rPr>
                <w:sz w:val="14"/>
                <w:szCs w:val="14"/>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Technologies</w:t>
            </w:r>
          </w:p>
        </w:tc>
        <w:tc>
          <w:tcPr>
            <w:tcW w:w="1820" w:type="dxa"/>
            <w:vAlign w:val="bottom"/>
            <w:gridSpan w:val="2"/>
            <w:vMerge w:val="continue"/>
            <w:shd w:val="clear" w:color="auto" w:fill="CCEEFF"/>
          </w:tcPr>
          <w:p>
            <w:pPr>
              <w:spacing w:after="0"/>
              <w:rPr>
                <w:sz w:val="14"/>
                <w:szCs w:val="14"/>
                <w:color w:val="auto"/>
              </w:rPr>
            </w:pPr>
          </w:p>
        </w:tc>
        <w:tc>
          <w:tcPr>
            <w:tcW w:w="1800" w:type="dxa"/>
            <w:vAlign w:val="bottom"/>
            <w:gridSpan w:val="3"/>
            <w:vMerge w:val="continue"/>
            <w:shd w:val="clear" w:color="auto" w:fill="CCEEFF"/>
          </w:tcPr>
          <w:p>
            <w:pPr>
              <w:spacing w:after="0"/>
              <w:rPr>
                <w:sz w:val="14"/>
                <w:szCs w:val="14"/>
                <w:color w:val="auto"/>
              </w:rPr>
            </w:pPr>
          </w:p>
        </w:tc>
        <w:tc>
          <w:tcPr>
            <w:tcW w:w="1660" w:type="dxa"/>
            <w:vAlign w:val="bottom"/>
            <w:gridSpan w:val="2"/>
            <w:vMerge w:val="continue"/>
            <w:shd w:val="clear" w:color="auto" w:fill="CCEEFF"/>
          </w:tcPr>
          <w:p>
            <w:pPr>
              <w:spacing w:after="0"/>
              <w:rPr>
                <w:sz w:val="14"/>
                <w:szCs w:val="14"/>
                <w:color w:val="auto"/>
              </w:rPr>
            </w:pPr>
          </w:p>
        </w:tc>
        <w:tc>
          <w:tcPr>
            <w:tcW w:w="1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Quip NYC Inc. (2)(12)</w:t>
            </w:r>
          </w:p>
        </w:tc>
        <w:tc>
          <w:tcPr>
            <w:tcW w:w="1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10,833</w:t>
            </w:r>
          </w:p>
        </w:tc>
        <w:tc>
          <w:tcPr>
            <w:tcW w:w="1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325</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gridSpan w:val="2"/>
            <w:vMerge w:val="continue"/>
          </w:tcPr>
          <w:p>
            <w:pPr>
              <w:spacing w:after="0"/>
              <w:rPr>
                <w:sz w:val="14"/>
                <w:szCs w:val="1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Technologies</w:t>
            </w:r>
          </w:p>
        </w:tc>
        <w:tc>
          <w:tcPr>
            <w:tcW w:w="1820" w:type="dxa"/>
            <w:vAlign w:val="bottom"/>
            <w:gridSpan w:val="2"/>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Updater, Inc.(2)(12)</w:t>
            </w:r>
          </w:p>
        </w:tc>
        <w:tc>
          <w:tcPr>
            <w:tcW w:w="11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18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108,333</w:t>
            </w:r>
          </w:p>
        </w:tc>
        <w:tc>
          <w:tcPr>
            <w:tcW w:w="1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w:t>
            </w:r>
          </w:p>
        </w:tc>
        <w:tc>
          <w:tcPr>
            <w:tcW w:w="1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gridSpan w:val="2"/>
            <w:vMerge w:val="continue"/>
            <w:shd w:val="clear" w:color="auto" w:fill="CCEEFF"/>
          </w:tcPr>
          <w:p>
            <w:pPr>
              <w:spacing w:after="0"/>
              <w:rPr>
                <w:sz w:val="14"/>
                <w:szCs w:val="14"/>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Technologies</w:t>
            </w:r>
          </w:p>
        </w:tc>
        <w:tc>
          <w:tcPr>
            <w:tcW w:w="1820" w:type="dxa"/>
            <w:vAlign w:val="bottom"/>
            <w:gridSpan w:val="2"/>
            <w:vMerge w:val="continue"/>
            <w:shd w:val="clear" w:color="auto" w:fill="CCEEFF"/>
          </w:tcPr>
          <w:p>
            <w:pPr>
              <w:spacing w:after="0"/>
              <w:rPr>
                <w:sz w:val="14"/>
                <w:szCs w:val="14"/>
                <w:color w:val="auto"/>
              </w:rPr>
            </w:pPr>
          </w:p>
        </w:tc>
        <w:tc>
          <w:tcPr>
            <w:tcW w:w="1800" w:type="dxa"/>
            <w:vAlign w:val="bottom"/>
            <w:gridSpan w:val="3"/>
            <w:vMerge w:val="continue"/>
            <w:shd w:val="clear" w:color="auto" w:fill="CCEEFF"/>
          </w:tcPr>
          <w:p>
            <w:pPr>
              <w:spacing w:after="0"/>
              <w:rPr>
                <w:sz w:val="14"/>
                <w:szCs w:val="14"/>
                <w:color w:val="auto"/>
              </w:rPr>
            </w:pPr>
          </w:p>
        </w:tc>
        <w:tc>
          <w:tcPr>
            <w:tcW w:w="1660" w:type="dxa"/>
            <w:vAlign w:val="bottom"/>
            <w:gridSpan w:val="2"/>
            <w:vMerge w:val="continue"/>
            <w:shd w:val="clear" w:color="auto" w:fill="CCEEFF"/>
          </w:tcPr>
          <w:p>
            <w:pPr>
              <w:spacing w:after="0"/>
              <w:rPr>
                <w:sz w:val="14"/>
                <w:szCs w:val="14"/>
                <w:color w:val="auto"/>
              </w:rPr>
            </w:pPr>
          </w:p>
        </w:tc>
        <w:tc>
          <w:tcPr>
            <w:tcW w:w="1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CPG Beyond, Inc. (2)(12)</w:t>
            </w:r>
          </w:p>
        </w:tc>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Data Storage</w:t>
            </w:r>
          </w:p>
        </w:tc>
        <w:tc>
          <w:tcPr>
            <w:tcW w:w="18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Silk, Inc. (2)(12)</w:t>
            </w:r>
          </w:p>
        </w:tc>
        <w:tc>
          <w:tcPr>
            <w:tcW w:w="1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Data Storage</w:t>
            </w:r>
          </w:p>
        </w:tc>
        <w:tc>
          <w:tcPr>
            <w:tcW w:w="18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394,110</w:t>
            </w:r>
          </w:p>
        </w:tc>
        <w:tc>
          <w:tcPr>
            <w:tcW w:w="1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48"/>
        </w:trPr>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Global Worldwide LLC (2)(12)</w:t>
            </w:r>
          </w:p>
        </w:tc>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Internet and Media</w:t>
            </w:r>
          </w:p>
        </w:tc>
        <w:tc>
          <w:tcPr>
            <w:tcW w:w="18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245,810</w:t>
            </w:r>
          </w:p>
        </w:tc>
        <w:tc>
          <w:tcPr>
            <w:tcW w:w="1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Rocket Lawyer Incorporated (2)(12)</w:t>
            </w:r>
          </w:p>
        </w:tc>
        <w:tc>
          <w:tcPr>
            <w:tcW w:w="1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Internet and Media</w:t>
            </w:r>
          </w:p>
        </w:tc>
        <w:tc>
          <w:tcPr>
            <w:tcW w:w="18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261,721</w:t>
            </w:r>
          </w:p>
        </w:tc>
        <w:tc>
          <w:tcPr>
            <w:tcW w:w="1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48"/>
        </w:trPr>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Skillshare, Inc. (2)(12)</w:t>
            </w:r>
          </w:p>
        </w:tc>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Internet and Media</w:t>
            </w:r>
          </w:p>
        </w:tc>
        <w:tc>
          <w:tcPr>
            <w:tcW w:w="18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139,316</w:t>
            </w:r>
          </w:p>
        </w:tc>
        <w:tc>
          <w:tcPr>
            <w:tcW w:w="1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1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Liqid, Inc. (2)(12)</w:t>
            </w:r>
          </w:p>
        </w:tc>
        <w:tc>
          <w:tcPr>
            <w:tcW w:w="1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Networking</w:t>
            </w:r>
          </w:p>
        </w:tc>
        <w:tc>
          <w:tcPr>
            <w:tcW w:w="18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Common Stock Warrant</w:t>
            </w:r>
          </w:p>
        </w:tc>
        <w:tc>
          <w:tcPr>
            <w:tcW w:w="1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344,102</w:t>
            </w:r>
          </w:p>
        </w:tc>
        <w:tc>
          <w:tcPr>
            <w:tcW w:w="1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1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Apkudo, Inc. (2)(12)</w:t>
            </w:r>
          </w:p>
        </w:tc>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18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31,848</w:t>
            </w:r>
          </w:p>
        </w:tc>
        <w:tc>
          <w:tcPr>
            <w:tcW w:w="1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BriteCore Holdings, Inc. (2)(12)</w:t>
            </w:r>
          </w:p>
        </w:tc>
        <w:tc>
          <w:tcPr>
            <w:tcW w:w="1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18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194,570</w:t>
            </w:r>
          </w:p>
        </w:tc>
        <w:tc>
          <w:tcPr>
            <w:tcW w:w="1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148"/>
        </w:trPr>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Crafty Holdings, Inc. (2)(12)</w:t>
            </w:r>
          </w:p>
        </w:tc>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18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Common Stock Warrant</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260,972</w:t>
            </w:r>
          </w:p>
        </w:tc>
        <w:tc>
          <w:tcPr>
            <w:tcW w:w="1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Dropoff, Inc. (2)(12)</w:t>
            </w:r>
          </w:p>
        </w:tc>
        <w:tc>
          <w:tcPr>
            <w:tcW w:w="1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18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Common Stock Warrant</w:t>
            </w:r>
          </w:p>
        </w:tc>
        <w:tc>
          <w:tcPr>
            <w:tcW w:w="1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723,228</w:t>
            </w:r>
          </w:p>
        </w:tc>
        <w:tc>
          <w:tcPr>
            <w:tcW w:w="1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455</w:t>
            </w:r>
          </w:p>
        </w:tc>
        <w:tc>
          <w:tcPr>
            <w:tcW w:w="1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HappyCo, Inc. (2)(12)</w:t>
            </w:r>
          </w:p>
        </w:tc>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18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96,228</w:t>
            </w:r>
          </w:p>
        </w:tc>
        <w:tc>
          <w:tcPr>
            <w:tcW w:w="1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Everstream Holdings, LLC (2)(12)</w:t>
            </w:r>
          </w:p>
        </w:tc>
        <w:tc>
          <w:tcPr>
            <w:tcW w:w="1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18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525,000</w:t>
            </w:r>
          </w:p>
        </w:tc>
        <w:tc>
          <w:tcPr>
            <w:tcW w:w="1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Lemongrass Holdings, Inc. (2)(12)</w:t>
            </w:r>
          </w:p>
        </w:tc>
        <w:tc>
          <w:tcPr>
            <w:tcW w:w="1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18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Preferred Stock Warrant</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202,616</w:t>
            </w:r>
          </w:p>
        </w:tc>
        <w:tc>
          <w:tcPr>
            <w:tcW w:w="1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Mirantis, Inc. (2)(12)</w:t>
            </w:r>
          </w:p>
        </w:tc>
        <w:tc>
          <w:tcPr>
            <w:tcW w:w="1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182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Common Stock Warrant</w:t>
            </w:r>
          </w:p>
        </w:tc>
        <w:tc>
          <w:tcPr>
            <w:tcW w:w="1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948,275</w:t>
            </w:r>
          </w:p>
        </w:tc>
        <w:tc>
          <w:tcPr>
            <w:tcW w:w="1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1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07"/>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(1)(3)</w:t>
            </w:r>
          </w:p>
        </w:tc>
        <w:tc>
          <w:tcPr>
            <w:tcW w:w="120" w:type="dxa"/>
            <w:vAlign w:val="bottom"/>
          </w:tcPr>
          <w:p>
            <w:pPr>
              <w:spacing w:after="0"/>
              <w:rPr>
                <w:sz w:val="9"/>
                <w:szCs w:val="9"/>
                <w:color w:val="auto"/>
              </w:rPr>
            </w:pPr>
          </w:p>
        </w:tc>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1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Investments (6)(9)</w:t>
            </w:r>
          </w:p>
        </w:tc>
        <w:tc>
          <w:tcPr>
            <w:tcW w:w="1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Value (9)</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Noodle Partners, Inc. (2)(12)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Preferred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84,037</w:t>
            </w:r>
          </w:p>
        </w:tc>
        <w:tc>
          <w:tcPr>
            <w:tcW w:w="1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OneNetworks, Inc. (2)(12)</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120" w:type="dxa"/>
            <w:vAlign w:val="bottom"/>
          </w:tcPr>
          <w:p>
            <w:pPr>
              <w:spacing w:after="0"/>
              <w:rPr>
                <w:sz w:val="10"/>
                <w:szCs w:val="10"/>
                <w:color w:val="auto"/>
              </w:rPr>
            </w:pPr>
          </w:p>
        </w:tc>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184,646</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Revinate Holdings, Inc. (2)(12)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682,034</w:t>
            </w:r>
          </w:p>
        </w:tc>
        <w:tc>
          <w:tcPr>
            <w:tcW w:w="1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SIGNiX, Inc. (12)</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120" w:type="dxa"/>
            <w:vAlign w:val="bottom"/>
          </w:tcPr>
          <w:p>
            <w:pPr>
              <w:spacing w:after="0"/>
              <w:rPr>
                <w:sz w:val="10"/>
                <w:szCs w:val="10"/>
                <w:color w:val="auto"/>
              </w:rPr>
            </w:pPr>
          </w:p>
        </w:tc>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186,235</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Slingshot Aerospace, Inc. (2)(12)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309,208</w:t>
            </w:r>
          </w:p>
        </w:tc>
        <w:tc>
          <w:tcPr>
            <w:tcW w:w="1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Supply Network Visibility Holdings LLC (2)(12)</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120" w:type="dxa"/>
            <w:vAlign w:val="bottom"/>
          </w:tcPr>
          <w:p>
            <w:pPr>
              <w:spacing w:after="0"/>
              <w:rPr>
                <w:sz w:val="10"/>
                <w:szCs w:val="10"/>
                <w:color w:val="auto"/>
              </w:rPr>
            </w:pPr>
          </w:p>
        </w:tc>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682</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Topia Mobility, Inc. (2)(12)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30,496</w:t>
            </w:r>
          </w:p>
        </w:tc>
        <w:tc>
          <w:tcPr>
            <w:tcW w:w="1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Ursa Space Systems, Inc. (2)(12)</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120" w:type="dxa"/>
            <w:vAlign w:val="bottom"/>
          </w:tcPr>
          <w:p>
            <w:pPr>
              <w:spacing w:after="0"/>
              <w:rPr>
                <w:sz w:val="10"/>
                <w:szCs w:val="10"/>
                <w:color w:val="auto"/>
              </w:rPr>
            </w:pPr>
          </w:p>
        </w:tc>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1,075,072</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Viken Detection Corporation (2)(12)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345,443</w:t>
            </w:r>
          </w:p>
        </w:tc>
        <w:tc>
          <w:tcPr>
            <w:tcW w:w="12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280" w:type="dxa"/>
            <w:vAlign w:val="bottom"/>
            <w:tcBorders>
              <w:bottom w:val="single" w:sz="8" w:color="CCEEFF"/>
            </w:tcBorders>
            <w:vMerge w:val="continue"/>
            <w:shd w:val="clear" w:color="auto" w:fill="CCEEFF"/>
          </w:tcPr>
          <w:p>
            <w:pPr>
              <w:spacing w:after="0"/>
              <w:rPr>
                <w:sz w:val="13"/>
                <w:szCs w:val="13"/>
                <w:color w:val="auto"/>
              </w:rPr>
            </w:pPr>
          </w:p>
        </w:tc>
        <w:tc>
          <w:tcPr>
            <w:tcW w:w="146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Warrant</w:t>
            </w:r>
          </w:p>
        </w:tc>
        <w:tc>
          <w:tcPr>
            <w:tcW w:w="1800" w:type="dxa"/>
            <w:vAlign w:val="bottom"/>
            <w:tcBorders>
              <w:bottom w:val="single" w:sz="8" w:color="CCEEFF"/>
            </w:tcBorders>
            <w:gridSpan w:val="3"/>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Non-Affiliate Warrants — Technology</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8,167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9,442</w:t>
            </w:r>
          </w:p>
        </w:tc>
        <w:tc>
          <w:tcPr>
            <w:tcW w:w="0" w:type="dxa"/>
            <w:vAlign w:val="bottom"/>
          </w:tcPr>
          <w:p>
            <w:pPr>
              <w:spacing w:after="0"/>
              <w:rPr>
                <w:sz w:val="1"/>
                <w:szCs w:val="1"/>
                <w:color w:val="auto"/>
              </w:rPr>
            </w:pPr>
          </w:p>
        </w:tc>
      </w:tr>
      <w:tr>
        <w:trPr>
          <w:trHeight w:val="117"/>
        </w:trPr>
        <w:tc>
          <w:tcPr>
            <w:tcW w:w="32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Non-Affiliate Warrants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Healthcare information</w:t>
            </w: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and services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0.1% (8)</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GT Medical Technologies, Inc. (2)(12)</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Other Healthcare</w:t>
            </w:r>
          </w:p>
        </w:tc>
        <w:tc>
          <w:tcPr>
            <w:tcW w:w="120" w:type="dxa"/>
            <w:vAlign w:val="bottom"/>
          </w:tcPr>
          <w:p>
            <w:pPr>
              <w:spacing w:after="0"/>
              <w:rPr>
                <w:sz w:val="10"/>
                <w:szCs w:val="10"/>
                <w:color w:val="auto"/>
              </w:rPr>
            </w:pPr>
          </w:p>
        </w:tc>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326,640</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BrightInsight, Inc. (2)(12)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232,871</w:t>
            </w:r>
          </w:p>
        </w:tc>
        <w:tc>
          <w:tcPr>
            <w:tcW w:w="1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Elligo Health Research, Inc. (2)(12)</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120" w:type="dxa"/>
            <w:vAlign w:val="bottom"/>
          </w:tcPr>
          <w:p>
            <w:pPr>
              <w:spacing w:after="0"/>
              <w:rPr>
                <w:sz w:val="10"/>
                <w:szCs w:val="10"/>
                <w:color w:val="auto"/>
              </w:rPr>
            </w:pPr>
          </w:p>
        </w:tc>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652,250</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SafelyYou, Inc. (2)(12)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206,983</w:t>
            </w:r>
          </w:p>
        </w:tc>
        <w:tc>
          <w:tcPr>
            <w:tcW w:w="12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280" w:type="dxa"/>
            <w:vAlign w:val="bottom"/>
            <w:tcBorders>
              <w:bottom w:val="single" w:sz="8" w:color="CCEEFF"/>
            </w:tcBorders>
            <w:vMerge w:val="continue"/>
            <w:shd w:val="clear" w:color="auto" w:fill="CCEEFF"/>
          </w:tcPr>
          <w:p>
            <w:pPr>
              <w:spacing w:after="0"/>
              <w:rPr>
                <w:sz w:val="13"/>
                <w:szCs w:val="13"/>
                <w:color w:val="auto"/>
              </w:rPr>
            </w:pPr>
          </w:p>
        </w:tc>
        <w:tc>
          <w:tcPr>
            <w:tcW w:w="146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Warrant</w:t>
            </w:r>
          </w:p>
        </w:tc>
        <w:tc>
          <w:tcPr>
            <w:tcW w:w="1800" w:type="dxa"/>
            <w:vAlign w:val="bottom"/>
            <w:tcBorders>
              <w:bottom w:val="single" w:sz="8" w:color="CCEEFF"/>
            </w:tcBorders>
            <w:gridSpan w:val="3"/>
            <w:vMerge w:val="continue"/>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Total Non-Affiliate Warrants — Healthcare information and services</w:t>
            </w: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Non-Affiliate Warrants</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15,388</w:t>
            </w:r>
          </w:p>
        </w:tc>
        <w:tc>
          <w:tcPr>
            <w:tcW w:w="360" w:type="dxa"/>
            <w:vAlign w:val="bottom"/>
            <w:gridSpan w:val="2"/>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16,685</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Non-Affiliate Other Investments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0.7% (8)</w:t>
            </w:r>
          </w:p>
        </w:tc>
        <w:tc>
          <w:tcPr>
            <w:tcW w:w="120" w:type="dxa"/>
            <w:vAlign w:val="bottom"/>
            <w:tcBorders>
              <w:top w:val="single" w:sz="8" w:color="CCEEFF"/>
            </w:tcBorders>
          </w:tcPr>
          <w:p>
            <w:pPr>
              <w:spacing w:after="0"/>
              <w:rPr>
                <w:sz w:val="12"/>
                <w:szCs w:val="12"/>
                <w:color w:val="auto"/>
              </w:rPr>
            </w:pPr>
          </w:p>
        </w:tc>
        <w:tc>
          <w:tcPr>
            <w:tcW w:w="1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3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2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 xml:space="preserve">Non-Affiliate Other Investments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Life Science </w:t>
            </w: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0.7% (8)</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BioVaxys Technology Corp. (5)(12)</w:t>
            </w:r>
          </w:p>
        </w:tc>
        <w:tc>
          <w:tcPr>
            <w:tcW w:w="1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Royalty Agreement</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5,073</w:t>
            </w:r>
          </w:p>
        </w:tc>
        <w:tc>
          <w:tcPr>
            <w:tcW w:w="3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Aerobiotix, LLC (12)</w:t>
            </w:r>
          </w:p>
        </w:tc>
        <w:tc>
          <w:tcPr>
            <w:tcW w:w="1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Royalty Agreement</w:t>
            </w: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1,372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1,827</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Lumithera, Inc. (12)</w:t>
            </w:r>
          </w:p>
        </w:tc>
        <w:tc>
          <w:tcPr>
            <w:tcW w:w="1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1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Royalty Agreement</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1,083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148"/>
        </w:trPr>
        <w:tc>
          <w:tcPr>
            <w:tcW w:w="32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Robin Healthcare, Inc. (2)(12)</w:t>
            </w:r>
          </w:p>
        </w:tc>
        <w:tc>
          <w:tcPr>
            <w:tcW w:w="1460" w:type="dxa"/>
            <w:vAlign w:val="bottom"/>
            <w:tcBorders>
              <w:bottom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1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Royalty Agreement</w:t>
            </w:r>
          </w:p>
        </w:tc>
        <w:tc>
          <w:tcPr>
            <w:tcW w:w="12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Non-Affiliate Other Investments — Life Science</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14,858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2,178</w:t>
            </w:r>
          </w:p>
        </w:tc>
        <w:tc>
          <w:tcPr>
            <w:tcW w:w="0" w:type="dxa"/>
            <w:vAlign w:val="bottom"/>
          </w:tcPr>
          <w:p>
            <w:pPr>
              <w:spacing w:after="0"/>
              <w:rPr>
                <w:sz w:val="1"/>
                <w:szCs w:val="1"/>
                <w:color w:val="auto"/>
              </w:rPr>
            </w:pPr>
          </w:p>
        </w:tc>
      </w:tr>
      <w:tr>
        <w:trPr>
          <w:trHeight w:val="117"/>
        </w:trPr>
        <w:tc>
          <w:tcPr>
            <w:tcW w:w="32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Non-Affiliate Other Investments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Technology </w:t>
            </w: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0.0% (8)</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Better Place Forests Co. (12)(16)</w:t>
            </w:r>
          </w:p>
        </w:tc>
        <w:tc>
          <w:tcPr>
            <w:tcW w:w="146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120" w:type="dxa"/>
            <w:vAlign w:val="bottom"/>
          </w:tcPr>
          <w:p>
            <w:pPr>
              <w:spacing w:after="0"/>
              <w:rPr>
                <w:sz w:val="10"/>
                <w:szCs w:val="10"/>
                <w:color w:val="auto"/>
              </w:rPr>
            </w:pPr>
          </w:p>
        </w:tc>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Investment</w:t>
            </w: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10,149</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280" w:type="dxa"/>
            <w:vAlign w:val="bottom"/>
            <w:vMerge w:val="continue"/>
          </w:tcPr>
          <w:p>
            <w:pPr>
              <w:spacing w:after="0"/>
              <w:rPr>
                <w:sz w:val="13"/>
                <w:szCs w:val="13"/>
                <w:color w:val="auto"/>
              </w:rPr>
            </w:pPr>
          </w:p>
        </w:tc>
        <w:tc>
          <w:tcPr>
            <w:tcW w:w="146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color w:val="auto"/>
              </w:rPr>
              <w:t>Technologies</w:t>
            </w:r>
          </w:p>
        </w:tc>
        <w:tc>
          <w:tcPr>
            <w:tcW w:w="12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Non-Affiliate Other Investments — Technology</w:t>
            </w:r>
          </w:p>
        </w:tc>
        <w:tc>
          <w:tcPr>
            <w:tcW w:w="12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10,149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Non-Affiliate Other Investments</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25,007</w:t>
            </w:r>
          </w:p>
        </w:tc>
        <w:tc>
          <w:tcPr>
            <w:tcW w:w="36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2,178</w:t>
            </w: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Non-Affiliate Equity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1.6% (8)</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BioVaxys Technology Corp. (5)(12)</w:t>
            </w:r>
          </w:p>
        </w:tc>
        <w:tc>
          <w:tcPr>
            <w:tcW w:w="1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66,170</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3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Cadrenal Therapeutics, Inc. (5)</w:t>
            </w:r>
          </w:p>
        </w:tc>
        <w:tc>
          <w:tcPr>
            <w:tcW w:w="1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Castle Creek Biosciences, Inc. (12)</w:t>
            </w:r>
          </w:p>
        </w:tc>
        <w:tc>
          <w:tcPr>
            <w:tcW w:w="1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1,162</w:t>
            </w:r>
          </w:p>
        </w:tc>
        <w:tc>
          <w:tcPr>
            <w:tcW w:w="120" w:type="dxa"/>
            <w:vAlign w:val="bottom"/>
          </w:tcPr>
          <w:p>
            <w:pPr>
              <w:spacing w:after="0"/>
              <w:rPr>
                <w:sz w:val="12"/>
                <w:szCs w:val="12"/>
                <w:color w:val="auto"/>
              </w:rPr>
            </w:pPr>
          </w:p>
        </w:tc>
        <w:tc>
          <w:tcPr>
            <w:tcW w:w="1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Emalex Biosciences, Inc. (12)</w:t>
            </w:r>
          </w:p>
        </w:tc>
        <w:tc>
          <w:tcPr>
            <w:tcW w:w="1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47,461</w:t>
            </w: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Axiom Space Holdings, Inc. (12)</w:t>
            </w:r>
          </w:p>
        </w:tc>
        <w:tc>
          <w:tcPr>
            <w:tcW w:w="1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1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1,810</w:t>
            </w:r>
          </w:p>
        </w:tc>
        <w:tc>
          <w:tcPr>
            <w:tcW w:w="120" w:type="dxa"/>
            <w:vAlign w:val="bottom"/>
          </w:tcPr>
          <w:p>
            <w:pPr>
              <w:spacing w:after="0"/>
              <w:rPr>
                <w:sz w:val="12"/>
                <w:szCs w:val="12"/>
                <w:color w:val="auto"/>
              </w:rPr>
            </w:pPr>
          </w:p>
        </w:tc>
        <w:tc>
          <w:tcPr>
            <w:tcW w:w="1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PebblePost, Inc. (2)(12)</w:t>
            </w:r>
          </w:p>
        </w:tc>
        <w:tc>
          <w:tcPr>
            <w:tcW w:w="1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56,212</w:t>
            </w: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SnagAJob.com, Inc. (12)</w:t>
            </w:r>
          </w:p>
        </w:tc>
        <w:tc>
          <w:tcPr>
            <w:tcW w:w="146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120" w:type="dxa"/>
            <w:vAlign w:val="bottom"/>
          </w:tcPr>
          <w:p>
            <w:pPr>
              <w:spacing w:after="0"/>
              <w:rPr>
                <w:sz w:val="10"/>
                <w:szCs w:val="10"/>
                <w:color w:val="auto"/>
              </w:rPr>
            </w:pPr>
          </w:p>
        </w:tc>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82,974</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Technologies</w:t>
            </w:r>
          </w:p>
        </w:tc>
        <w:tc>
          <w:tcPr>
            <w:tcW w:w="1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Cognoa, Inc. (2)(12)</w:t>
            </w:r>
          </w:p>
        </w:tc>
        <w:tc>
          <w:tcPr>
            <w:tcW w:w="1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16,247,754</w:t>
            </w: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976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Cognoa, Inc. (2)(12)</w:t>
            </w:r>
          </w:p>
        </w:tc>
        <w:tc>
          <w:tcPr>
            <w:tcW w:w="1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1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2,119,272</w:t>
            </w:r>
          </w:p>
        </w:tc>
        <w:tc>
          <w:tcPr>
            <w:tcW w:w="120" w:type="dxa"/>
            <w:vAlign w:val="bottom"/>
          </w:tcPr>
          <w:p>
            <w:pPr>
              <w:spacing w:after="0"/>
              <w:rPr>
                <w:sz w:val="12"/>
                <w:szCs w:val="12"/>
                <w:color w:val="auto"/>
              </w:rPr>
            </w:pPr>
          </w:p>
        </w:tc>
        <w:tc>
          <w:tcPr>
            <w:tcW w:w="1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Tigo Energy, Inc. (5)</w:t>
            </w:r>
          </w:p>
        </w:tc>
        <w:tc>
          <w:tcPr>
            <w:tcW w:w="1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Sustainability</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5,205</w:t>
            </w: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Decisyon, Inc. (12)</w:t>
            </w:r>
          </w:p>
        </w:tc>
        <w:tc>
          <w:tcPr>
            <w:tcW w:w="1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120" w:type="dxa"/>
            <w:vAlign w:val="bottom"/>
          </w:tcPr>
          <w:p>
            <w:pPr>
              <w:spacing w:after="0"/>
              <w:rPr>
                <w:sz w:val="12"/>
                <w:szCs w:val="12"/>
                <w:color w:val="auto"/>
              </w:rPr>
            </w:pPr>
          </w:p>
        </w:tc>
        <w:tc>
          <w:tcPr>
            <w:tcW w:w="1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280,000</w:t>
            </w:r>
          </w:p>
        </w:tc>
        <w:tc>
          <w:tcPr>
            <w:tcW w:w="120" w:type="dxa"/>
            <w:vAlign w:val="bottom"/>
          </w:tcPr>
          <w:p>
            <w:pPr>
              <w:spacing w:after="0"/>
              <w:rPr>
                <w:sz w:val="12"/>
                <w:szCs w:val="12"/>
                <w:color w:val="auto"/>
              </w:rPr>
            </w:pPr>
          </w:p>
        </w:tc>
        <w:tc>
          <w:tcPr>
            <w:tcW w:w="1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2,800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Kodiak Robotics, Inc. (2)(5)</w:t>
            </w:r>
          </w:p>
        </w:tc>
        <w:tc>
          <w:tcPr>
            <w:tcW w:w="1460" w:type="dxa"/>
            <w:vAlign w:val="bottom"/>
            <w:tcBorders>
              <w:bottom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1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tcBorders>
              <w:bottom w:val="single" w:sz="8" w:color="CCEEFF"/>
            </w:tcBorders>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338,798</w:t>
            </w: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2,351</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Non-Affiliate Equity</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8,639</w:t>
            </w:r>
          </w:p>
        </w:tc>
        <w:tc>
          <w:tcPr>
            <w:tcW w:w="36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5,308</w:t>
            </w: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Non-Affiliate Portfolio Investment Assets</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668,376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631,495</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March 31, 2026</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Type of</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Investment</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Cash Rate</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Investments</w:t>
            </w:r>
          </w:p>
        </w:tc>
        <w:tc>
          <w:tcPr>
            <w:tcW w:w="2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5"/>
        </w:trPr>
        <w:tc>
          <w:tcPr>
            <w:tcW w:w="1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20" w:type="dxa"/>
            <w:vAlign w:val="bottom"/>
          </w:tcPr>
          <w:p>
            <w:pPr>
              <w:spacing w:after="0"/>
              <w:rPr>
                <w:sz w:val="13"/>
                <w:szCs w:val="13"/>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(7)</w:t>
            </w:r>
          </w:p>
        </w:tc>
        <w:tc>
          <w:tcPr>
            <w:tcW w:w="76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(4)</w:t>
            </w:r>
          </w:p>
        </w:tc>
        <w:tc>
          <w:tcPr>
            <w:tcW w:w="2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Floor</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Ceiling</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ETP (10)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3"/>
                <w:szCs w:val="13"/>
                <w:color w:val="auto"/>
              </w:rPr>
            </w:pPr>
          </w:p>
        </w:tc>
        <w:tc>
          <w:tcPr>
            <w:tcW w:w="5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(6)(9)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58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Non-Controlled Affiliate</w:t>
            </w:r>
          </w:p>
        </w:tc>
        <w:tc>
          <w:tcPr>
            <w:tcW w:w="120" w:type="dxa"/>
            <w:vAlign w:val="bottom"/>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Investments — 19.2% (8)</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58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Non-Controlled Affiliate</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Debt Investments — 11.5%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(8)</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8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Hound Labs II, LLC (12)</w:t>
            </w:r>
          </w:p>
        </w:tc>
        <w:tc>
          <w:tcPr>
            <w:tcW w:w="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Diagnostics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12.75(11)</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9.25%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7,008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7,008</w:t>
            </w:r>
          </w:p>
        </w:tc>
        <w:tc>
          <w:tcPr>
            <w:tcW w:w="3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6,809</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9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3"/>
                <w:szCs w:val="13"/>
                <w:color w:val="auto"/>
              </w:rPr>
              <w:t>Consumer-</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NextCar Holding Company,</w:t>
            </w:r>
          </w:p>
        </w:tc>
        <w:tc>
          <w:tcPr>
            <w:tcW w:w="92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color w:val="auto"/>
              </w:rPr>
              <w:t>related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March 31,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Inc. (12)(14)</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Technologies</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10.00%</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Fixed</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0.00%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1,005</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9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Nexii, Inc. (12)</w:t>
            </w:r>
          </w:p>
        </w:tc>
        <w:tc>
          <w:tcPr>
            <w:tcW w:w="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Sustainability</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10.00%</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Fixed</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790</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Term Loan</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10.00%</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Fixed</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0.00%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Shengrow, Inc. aka Soli</w:t>
            </w:r>
          </w:p>
        </w:tc>
        <w:tc>
          <w:tcPr>
            <w:tcW w:w="920" w:type="dxa"/>
            <w:vAlign w:val="bottom"/>
            <w:gridSpan w:val="3"/>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w:t>
            </w:r>
          </w:p>
        </w:tc>
        <w:tc>
          <w:tcPr>
            <w:tcW w:w="62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Organic, Inc. (2)(12)</w:t>
            </w:r>
          </w:p>
        </w:tc>
        <w:tc>
          <w:tcPr>
            <w:tcW w:w="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Sustainability</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11.75(11)</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5,402</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5,402</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11.75(11)</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3,601</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3,557</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8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11.75(11)</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1,801</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1,778</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11.75(11)</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3,601</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3,556</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8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11.75(11)</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1,801</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1,778</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11.75(11)</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3,601</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3,554</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8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11.75(11)</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1,801</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1,777</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1,777</w:t>
            </w: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November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Revolver</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26, 2026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5,000</w:t>
            </w:r>
          </w:p>
        </w:tc>
        <w:tc>
          <w:tcPr>
            <w:tcW w:w="0" w:type="dxa"/>
            <w:vAlign w:val="bottom"/>
          </w:tcPr>
          <w:p>
            <w:pPr>
              <w:spacing w:after="0"/>
              <w:rPr>
                <w:sz w:val="1"/>
                <w:szCs w:val="1"/>
                <w:color w:val="auto"/>
              </w:rPr>
            </w:pP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November</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4,089</w:t>
            </w: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4,089</w:t>
            </w:r>
          </w:p>
        </w:tc>
        <w:tc>
          <w:tcPr>
            <w:tcW w:w="100" w:type="dxa"/>
            <w:vAlign w:val="bottom"/>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5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Revolver</w:t>
            </w:r>
          </w:p>
        </w:tc>
        <w:tc>
          <w:tcPr>
            <w:tcW w:w="980" w:type="dxa"/>
            <w:vAlign w:val="bottom"/>
            <w:tcBorders>
              <w:bottom w:val="single" w:sz="8" w:color="CCEEFF"/>
            </w:tcBorders>
            <w:gridSpan w:val="3"/>
            <w:shd w:val="clear" w:color="auto" w:fill="CCEEFF"/>
          </w:tcPr>
          <w:p>
            <w:pPr>
              <w:jc w:val="right"/>
              <w:ind w:right="120"/>
              <w:spacing w:after="0" w:line="140" w:lineRule="exact"/>
              <w:rPr>
                <w:sz w:val="20"/>
                <w:szCs w:val="20"/>
                <w:color w:val="auto"/>
              </w:rPr>
            </w:pPr>
            <w:r>
              <w:rPr>
                <w:rFonts w:ascii="Times New Roman" w:cs="Times New Roman" w:eastAsia="Times New Roman" w:hAnsi="Times New Roman"/>
                <w:sz w:val="13"/>
                <w:szCs w:val="13"/>
                <w:color w:val="auto"/>
              </w:rPr>
              <w:t>11.75%</w:t>
            </w:r>
          </w:p>
        </w:tc>
        <w:tc>
          <w:tcPr>
            <w:tcW w:w="440" w:type="dxa"/>
            <w:vAlign w:val="bottom"/>
            <w:tcBorders>
              <w:bottom w:val="single" w:sz="8" w:color="CCEEFF"/>
            </w:tcBorders>
            <w:shd w:val="clear" w:color="auto" w:fill="CCEEFF"/>
          </w:tcPr>
          <w:p>
            <w:pPr>
              <w:ind w:left="80"/>
              <w:spacing w:after="0" w:line="140" w:lineRule="exact"/>
              <w:rPr>
                <w:sz w:val="20"/>
                <w:szCs w:val="20"/>
                <w:color w:val="auto"/>
              </w:rPr>
            </w:pPr>
            <w:r>
              <w:rPr>
                <w:rFonts w:ascii="Times New Roman" w:cs="Times New Roman" w:eastAsia="Times New Roman" w:hAnsi="Times New Roman"/>
                <w:sz w:val="13"/>
                <w:szCs w:val="13"/>
                <w:color w:val="auto"/>
              </w:rPr>
              <w:t>Prime</w:t>
            </w:r>
          </w:p>
        </w:tc>
        <w:tc>
          <w:tcPr>
            <w:tcW w:w="980" w:type="dxa"/>
            <w:vAlign w:val="bottom"/>
            <w:tcBorders>
              <w:bottom w:val="single" w:sz="8" w:color="CCEEFF"/>
            </w:tcBorders>
            <w:gridSpan w:val="3"/>
            <w:shd w:val="clear" w:color="auto" w:fill="CCEEFF"/>
          </w:tcPr>
          <w:p>
            <w:pPr>
              <w:jc w:val="right"/>
              <w:ind w:right="100"/>
              <w:spacing w:after="0" w:line="140" w:lineRule="exact"/>
              <w:rPr>
                <w:sz w:val="20"/>
                <w:szCs w:val="20"/>
                <w:color w:val="auto"/>
              </w:rPr>
            </w:pPr>
            <w:r>
              <w:rPr>
                <w:rFonts w:ascii="Times New Roman" w:cs="Times New Roman" w:eastAsia="Times New Roman" w:hAnsi="Times New Roman"/>
                <w:sz w:val="13"/>
                <w:szCs w:val="13"/>
                <w:color w:val="auto"/>
              </w:rPr>
              <w:t>5.00%</w:t>
            </w:r>
          </w:p>
        </w:tc>
        <w:tc>
          <w:tcPr>
            <w:tcW w:w="880" w:type="dxa"/>
            <w:vAlign w:val="bottom"/>
            <w:tcBorders>
              <w:bottom w:val="single" w:sz="8" w:color="CCEEFF"/>
            </w:tcBorders>
            <w:gridSpan w:val="2"/>
            <w:shd w:val="clear" w:color="auto" w:fill="CCEEFF"/>
          </w:tcPr>
          <w:p>
            <w:pPr>
              <w:jc w:val="right"/>
              <w:ind w:right="100"/>
              <w:spacing w:after="0" w:line="140" w:lineRule="exact"/>
              <w:rPr>
                <w:sz w:val="20"/>
                <w:szCs w:val="20"/>
                <w:color w:val="auto"/>
              </w:rPr>
            </w:pPr>
            <w:r>
              <w:rPr>
                <w:rFonts w:ascii="Times New Roman" w:cs="Times New Roman" w:eastAsia="Times New Roman" w:hAnsi="Times New Roman"/>
                <w:sz w:val="13"/>
                <w:szCs w:val="13"/>
                <w:color w:val="auto"/>
              </w:rPr>
              <w:t>9.75%</w:t>
            </w:r>
          </w:p>
        </w:tc>
        <w:tc>
          <w:tcPr>
            <w:tcW w:w="880" w:type="dxa"/>
            <w:vAlign w:val="bottom"/>
            <w:tcBorders>
              <w:bottom w:val="single" w:sz="8" w:color="CCEEFF"/>
            </w:tcBorders>
            <w:gridSpan w:val="2"/>
            <w:shd w:val="clear" w:color="auto" w:fill="CCEEFF"/>
          </w:tcPr>
          <w:p>
            <w:pPr>
              <w:ind w:left="5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gridSpan w:val="2"/>
            <w:shd w:val="clear" w:color="auto" w:fill="CCEEFF"/>
          </w:tcPr>
          <w:p>
            <w:pPr>
              <w:jc w:val="right"/>
              <w:ind w:right="120"/>
              <w:spacing w:after="0" w:line="140"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26, 2026</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220"/>
              <w:spacing w:after="0" w:line="140" w:lineRule="exact"/>
              <w:rPr>
                <w:sz w:val="20"/>
                <w:szCs w:val="20"/>
                <w:color w:val="auto"/>
              </w:rPr>
            </w:pPr>
            <w:r>
              <w:rPr>
                <w:rFonts w:ascii="Times New Roman" w:cs="Times New Roman" w:eastAsia="Times New Roman" w:hAnsi="Times New Roman"/>
                <w:sz w:val="13"/>
                <w:szCs w:val="13"/>
                <w:color w:val="auto"/>
              </w:rPr>
              <w:t>5,000</w:t>
            </w: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0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7"/>
              </w:rPr>
              <w:t>Total Non-Controlled Affiliate Debt Investments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35,706</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38,305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Cost of</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55"/>
        </w:trPr>
        <w:tc>
          <w:tcPr>
            <w:tcW w:w="3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220" w:type="dxa"/>
            <w:vAlign w:val="bottom"/>
          </w:tcPr>
          <w:p>
            <w:pPr>
              <w:spacing w:after="0"/>
              <w:rPr>
                <w:sz w:val="13"/>
                <w:szCs w:val="13"/>
                <w:color w:val="auto"/>
              </w:rPr>
            </w:pPr>
          </w:p>
        </w:tc>
        <w:tc>
          <w:tcPr>
            <w:tcW w:w="13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220" w:type="dxa"/>
            <w:vAlign w:val="bottom"/>
          </w:tcPr>
          <w:p>
            <w:pPr>
              <w:spacing w:after="0"/>
              <w:rPr>
                <w:sz w:val="13"/>
                <w:szCs w:val="13"/>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Type of Investment (7)</w:t>
            </w:r>
          </w:p>
        </w:tc>
        <w:tc>
          <w:tcPr>
            <w:tcW w:w="120" w:type="dxa"/>
            <w:vAlign w:val="bottom"/>
          </w:tcPr>
          <w:p>
            <w:pPr>
              <w:spacing w:after="0"/>
              <w:rPr>
                <w:sz w:val="13"/>
                <w:szCs w:val="13"/>
                <w:color w:val="auto"/>
              </w:rPr>
            </w:pPr>
          </w:p>
        </w:tc>
        <w:tc>
          <w:tcPr>
            <w:tcW w:w="1560" w:type="dxa"/>
            <w:vAlign w:val="bottom"/>
            <w:gridSpan w:val="4"/>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1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Investments (6)(9)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Value (9)</w:t>
            </w:r>
          </w:p>
        </w:tc>
      </w:tr>
      <w:tr>
        <w:trPr>
          <w:trHeight w:val="129"/>
        </w:trPr>
        <w:tc>
          <w:tcPr>
            <w:tcW w:w="35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Non-Controlled Affiliate Other Investments — 0.4% (8)</w:t>
            </w:r>
          </w:p>
        </w:tc>
        <w:tc>
          <w:tcPr>
            <w:tcW w:w="220" w:type="dxa"/>
            <w:vAlign w:val="bottom"/>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Evelo Holdings, Inc. (2)(5)(12)(15)</w:t>
            </w:r>
          </w:p>
        </w:tc>
        <w:tc>
          <w:tcPr>
            <w:tcW w:w="158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220" w:type="dxa"/>
            <w:vAlign w:val="bottom"/>
          </w:tcPr>
          <w:p>
            <w:pPr>
              <w:spacing w:after="0"/>
              <w:rPr>
                <w:sz w:val="11"/>
                <w:szCs w:val="11"/>
                <w:color w:val="auto"/>
              </w:rPr>
            </w:pPr>
          </w:p>
        </w:tc>
        <w:tc>
          <w:tcPr>
            <w:tcW w:w="15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Investment</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20,092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1,486</w:t>
            </w:r>
          </w:p>
        </w:tc>
      </w:tr>
      <w:tr>
        <w:trPr>
          <w:trHeight w:val="135"/>
        </w:trPr>
        <w:tc>
          <w:tcPr>
            <w:tcW w:w="35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Non-Controlled Affiliate Other Investments</w:t>
            </w: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20,092</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1,486</w:t>
            </w:r>
          </w:p>
        </w:tc>
      </w:tr>
      <w:tr>
        <w:trPr>
          <w:trHeight w:val="128"/>
        </w:trPr>
        <w:tc>
          <w:tcPr>
            <w:tcW w:w="3500" w:type="dxa"/>
            <w:vAlign w:val="bottom"/>
            <w:tcBorders>
              <w:top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Non-controlled Affiliate Equity — 7.3% (8)</w:t>
            </w:r>
          </w:p>
        </w:tc>
        <w:tc>
          <w:tcPr>
            <w:tcW w:w="220" w:type="dxa"/>
            <w:vAlign w:val="bottom"/>
            <w:tcBorders>
              <w:top w:val="single" w:sz="8" w:color="CCEEFF"/>
            </w:tcBorders>
          </w:tcPr>
          <w:p>
            <w:pPr>
              <w:spacing w:after="0"/>
              <w:rPr>
                <w:sz w:val="11"/>
                <w:szCs w:val="11"/>
                <w:color w:val="auto"/>
              </w:rPr>
            </w:pPr>
          </w:p>
        </w:tc>
        <w:tc>
          <w:tcPr>
            <w:tcW w:w="136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5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Aulea Medical, Inc. (12)</w:t>
            </w:r>
          </w:p>
        </w:tc>
        <w:tc>
          <w:tcPr>
            <w:tcW w:w="158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580" w:type="dxa"/>
            <w:vAlign w:val="bottom"/>
            <w:gridSpan w:val="4"/>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660,537</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Evelo Holdings, Inc. (2)(5)(12)</w:t>
            </w:r>
          </w:p>
        </w:tc>
        <w:tc>
          <w:tcPr>
            <w:tcW w:w="158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220" w:type="dxa"/>
            <w:vAlign w:val="bottom"/>
          </w:tcPr>
          <w:p>
            <w:pPr>
              <w:spacing w:after="0"/>
              <w:rPr>
                <w:sz w:val="11"/>
                <w:szCs w:val="11"/>
                <w:color w:val="auto"/>
              </w:rPr>
            </w:pPr>
          </w:p>
        </w:tc>
        <w:tc>
          <w:tcPr>
            <w:tcW w:w="15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580" w:type="dxa"/>
            <w:vAlign w:val="bottom"/>
            <w:gridSpan w:val="4"/>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2,164,502</w:t>
            </w:r>
          </w:p>
        </w:tc>
        <w:tc>
          <w:tcPr>
            <w:tcW w:w="100" w:type="dxa"/>
            <w:vAlign w:val="bottom"/>
          </w:tcPr>
          <w:p>
            <w:pPr>
              <w:spacing w:after="0"/>
              <w:rPr>
                <w:sz w:val="11"/>
                <w:szCs w:val="11"/>
                <w:color w:val="auto"/>
              </w:rPr>
            </w:pP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5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Hound Labs II, LLC (12)</w:t>
            </w:r>
          </w:p>
        </w:tc>
        <w:tc>
          <w:tcPr>
            <w:tcW w:w="158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Diagnostics</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w:t>
            </w:r>
          </w:p>
        </w:tc>
        <w:tc>
          <w:tcPr>
            <w:tcW w:w="1580" w:type="dxa"/>
            <w:vAlign w:val="bottom"/>
            <w:gridSpan w:val="4"/>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4,769</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4,764</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4,764</w:t>
            </w:r>
          </w:p>
        </w:tc>
      </w:tr>
      <w:tr>
        <w:trPr>
          <w:trHeight w:val="117"/>
        </w:trPr>
        <w:tc>
          <w:tcPr>
            <w:tcW w:w="3500" w:type="dxa"/>
            <w:vAlign w:val="bottom"/>
          </w:tcPr>
          <w:p>
            <w:pPr>
              <w:spacing w:after="0"/>
              <w:rPr>
                <w:sz w:val="10"/>
                <w:szCs w:val="10"/>
                <w:color w:val="auto"/>
              </w:rPr>
            </w:pPr>
          </w:p>
        </w:tc>
        <w:tc>
          <w:tcPr>
            <w:tcW w:w="1580" w:type="dxa"/>
            <w:vAlign w:val="bottom"/>
            <w:gridSpan w:val="2"/>
          </w:tcPr>
          <w:p>
            <w:pPr>
              <w:ind w:left="22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NextCar Holding Company, Inc. (2)(12)</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Technologies</w:t>
            </w:r>
          </w:p>
        </w:tc>
        <w:tc>
          <w:tcPr>
            <w:tcW w:w="22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158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2,688,971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5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Nexii, Inc. (2)(12)</w:t>
            </w:r>
          </w:p>
        </w:tc>
        <w:tc>
          <w:tcPr>
            <w:tcW w:w="158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Sustainability</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w:t>
            </w:r>
          </w:p>
        </w:tc>
        <w:tc>
          <w:tcPr>
            <w:tcW w:w="1580" w:type="dxa"/>
            <w:vAlign w:val="bottom"/>
            <w:gridSpan w:val="4"/>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168,377</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9,751</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Shengrow, Inc. aka Soli Organic, Inc. (2)(12)</w:t>
            </w:r>
          </w:p>
        </w:tc>
        <w:tc>
          <w:tcPr>
            <w:tcW w:w="158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Sustainability</w:t>
            </w:r>
          </w:p>
        </w:tc>
        <w:tc>
          <w:tcPr>
            <w:tcW w:w="220" w:type="dxa"/>
            <w:vAlign w:val="bottom"/>
          </w:tcPr>
          <w:p>
            <w:pPr>
              <w:spacing w:after="0"/>
              <w:rPr>
                <w:sz w:val="11"/>
                <w:szCs w:val="11"/>
                <w:color w:val="auto"/>
              </w:rPr>
            </w:pPr>
          </w:p>
        </w:tc>
        <w:tc>
          <w:tcPr>
            <w:tcW w:w="15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580" w:type="dxa"/>
            <w:vAlign w:val="bottom"/>
            <w:gridSpan w:val="4"/>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4,274,555</w:t>
            </w:r>
          </w:p>
        </w:tc>
        <w:tc>
          <w:tcPr>
            <w:tcW w:w="100" w:type="dxa"/>
            <w:vAlign w:val="bottom"/>
          </w:tcPr>
          <w:p>
            <w:pPr>
              <w:spacing w:after="0"/>
              <w:rPr>
                <w:sz w:val="11"/>
                <w:szCs w:val="11"/>
                <w:color w:val="auto"/>
              </w:rPr>
            </w:pPr>
          </w:p>
        </w:tc>
        <w:tc>
          <w:tcPr>
            <w:tcW w:w="1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1,292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1,292</w:t>
            </w:r>
          </w:p>
        </w:tc>
      </w:tr>
      <w:tr>
        <w:trPr>
          <w:trHeight w:val="135"/>
        </w:trPr>
        <w:tc>
          <w:tcPr>
            <w:tcW w:w="35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Shengrow, Inc. aka Soli Organic, Inc. (2)(12)</w:t>
            </w:r>
          </w:p>
        </w:tc>
        <w:tc>
          <w:tcPr>
            <w:tcW w:w="158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Sustainability</w:t>
            </w: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w:t>
            </w:r>
          </w:p>
        </w:tc>
        <w:tc>
          <w:tcPr>
            <w:tcW w:w="1580" w:type="dxa"/>
            <w:vAlign w:val="bottom"/>
            <w:gridSpan w:val="4"/>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1,964,733</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13,209</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18,355</w:t>
            </w:r>
          </w:p>
        </w:tc>
      </w:tr>
      <w:tr>
        <w:trPr>
          <w:trHeight w:val="128"/>
        </w:trPr>
        <w:tc>
          <w:tcPr>
            <w:tcW w:w="35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Total Non-Controlled Affiliate Equity</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34,016</w:t>
            </w:r>
          </w:p>
        </w:tc>
        <w:tc>
          <w:tcPr>
            <w:tcW w:w="22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24,411</w:t>
            </w:r>
          </w:p>
        </w:tc>
        <w:tc>
          <w:tcPr>
            <w:tcW w:w="100" w:type="dxa"/>
            <w:vAlign w:val="bottom"/>
          </w:tcPr>
          <w:p>
            <w:pPr>
              <w:spacing w:after="0"/>
              <w:rPr>
                <w:sz w:val="11"/>
                <w:szCs w:val="11"/>
                <w:color w:val="auto"/>
              </w:rPr>
            </w:pPr>
          </w:p>
        </w:tc>
      </w:tr>
      <w:tr>
        <w:trPr>
          <w:trHeight w:val="129"/>
        </w:trPr>
        <w:tc>
          <w:tcPr>
            <w:tcW w:w="35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Non-controlled Affiliate Warrants — 0.0% (8)</w:t>
            </w: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Evelo Holdings, Inc. (2)(5)(12)</w:t>
            </w:r>
          </w:p>
        </w:tc>
        <w:tc>
          <w:tcPr>
            <w:tcW w:w="158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220" w:type="dxa"/>
            <w:vAlign w:val="bottom"/>
          </w:tcPr>
          <w:p>
            <w:pPr>
              <w:spacing w:after="0"/>
              <w:rPr>
                <w:sz w:val="11"/>
                <w:szCs w:val="11"/>
                <w:color w:val="auto"/>
              </w:rPr>
            </w:pPr>
          </w:p>
        </w:tc>
        <w:tc>
          <w:tcPr>
            <w:tcW w:w="15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Stock Warrant</w:t>
            </w:r>
          </w:p>
        </w:tc>
        <w:tc>
          <w:tcPr>
            <w:tcW w:w="1580" w:type="dxa"/>
            <w:vAlign w:val="bottom"/>
            <w:gridSpan w:val="4"/>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23,196</w:t>
            </w: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127</w:t>
            </w: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r>
      <w:tr>
        <w:trPr>
          <w:trHeight w:val="128"/>
        </w:trPr>
        <w:tc>
          <w:tcPr>
            <w:tcW w:w="35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Non-Controlled Affiliate Warrants</w:t>
            </w:r>
          </w:p>
        </w:tc>
        <w:tc>
          <w:tcPr>
            <w:tcW w:w="220" w:type="dxa"/>
            <w:vAlign w:val="bottom"/>
            <w:tcBorders>
              <w:bottom w:val="single" w:sz="8" w:color="CCEEFF"/>
            </w:tcBorders>
            <w:shd w:val="clear" w:color="auto" w:fill="CCEEFF"/>
          </w:tcPr>
          <w:p>
            <w:pPr>
              <w:spacing w:after="0"/>
              <w:rPr>
                <w:sz w:val="11"/>
                <w:szCs w:val="11"/>
                <w:color w:val="auto"/>
              </w:rPr>
            </w:pPr>
          </w:p>
        </w:tc>
        <w:tc>
          <w:tcPr>
            <w:tcW w:w="13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5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127</w:t>
            </w:r>
          </w:p>
        </w:tc>
        <w:tc>
          <w:tcPr>
            <w:tcW w:w="2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r>
      <w:tr>
        <w:trPr>
          <w:trHeight w:val="155"/>
        </w:trPr>
        <w:tc>
          <w:tcPr>
            <w:tcW w:w="3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Non-Controlled Affiliate Portfolio Investment Assets</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89,941</w:t>
            </w:r>
          </w:p>
        </w:tc>
        <w:tc>
          <w:tcPr>
            <w:tcW w:w="44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64,202</w:t>
            </w:r>
          </w:p>
        </w:tc>
      </w:tr>
      <w:tr>
        <w:trPr>
          <w:trHeight w:val="169"/>
        </w:trPr>
        <w:tc>
          <w:tcPr>
            <w:tcW w:w="35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Portfolio Investment Assets — 208.4% (8)</w:t>
            </w:r>
          </w:p>
        </w:tc>
        <w:tc>
          <w:tcPr>
            <w:tcW w:w="2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spacing w:after="0"/>
              <w:rPr>
                <w:sz w:val="14"/>
                <w:szCs w:val="14"/>
                <w:color w:val="auto"/>
              </w:rPr>
            </w:pPr>
          </w:p>
        </w:tc>
        <w:tc>
          <w:tcPr>
            <w:tcW w:w="460" w:type="dxa"/>
            <w:vAlign w:val="bottom"/>
            <w:tcBorders>
              <w:bottom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758,317</w:t>
            </w:r>
          </w:p>
        </w:tc>
        <w:tc>
          <w:tcPr>
            <w:tcW w:w="2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695,697</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9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Short Term Investments - Unrestricted Investments - 10.8% (8)</w:t>
            </w: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5"/>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US Bank Money Market Deposit Account</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36,139</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36,139</w:t>
            </w:r>
          </w:p>
        </w:tc>
        <w:tc>
          <w:tcPr>
            <w:tcW w:w="100" w:type="dxa"/>
            <w:vAlign w:val="bottom"/>
          </w:tcPr>
          <w:p>
            <w:pPr>
              <w:spacing w:after="0"/>
              <w:rPr>
                <w:sz w:val="13"/>
                <w:szCs w:val="13"/>
                <w:color w:val="auto"/>
              </w:rPr>
            </w:pPr>
          </w:p>
        </w:tc>
      </w:tr>
      <w:tr>
        <w:trPr>
          <w:trHeight w:val="175"/>
        </w:trPr>
        <w:tc>
          <w:tcPr>
            <w:tcW w:w="35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Short Term Investments - Unrestricted Investments</w:t>
            </w: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36,139</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36,139</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15"/>
        </w:trPr>
        <w:tc>
          <w:tcPr>
            <w:tcW w:w="3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5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Short Term Investments - Restricted Investments - 0.8% (8)</w:t>
            </w:r>
          </w:p>
        </w:tc>
        <w:tc>
          <w:tcPr>
            <w:tcW w:w="2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6"/>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US Bank Money Market Deposit Account</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2,634</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2,634</w:t>
            </w:r>
          </w:p>
        </w:tc>
        <w:tc>
          <w:tcPr>
            <w:tcW w:w="100" w:type="dxa"/>
            <w:vAlign w:val="bottom"/>
          </w:tcPr>
          <w:p>
            <w:pPr>
              <w:spacing w:after="0"/>
              <w:rPr>
                <w:sz w:val="13"/>
                <w:szCs w:val="13"/>
                <w:color w:val="auto"/>
              </w:rPr>
            </w:pPr>
          </w:p>
        </w:tc>
      </w:tr>
      <w:tr>
        <w:trPr>
          <w:trHeight w:val="175"/>
        </w:trPr>
        <w:tc>
          <w:tcPr>
            <w:tcW w:w="35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Short Term Investments - Restricted Investments</w:t>
            </w:r>
          </w:p>
        </w:tc>
        <w:tc>
          <w:tcPr>
            <w:tcW w:w="2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2,634</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2,634</w:t>
            </w: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11" w:lineRule="exact"/>
        <w:rPr>
          <w:sz w:val="20"/>
          <w:szCs w:val="20"/>
          <w:color w:val="auto"/>
        </w:rPr>
      </w:pPr>
    </w:p>
    <w:p>
      <w:pPr>
        <w:ind w:left="340" w:hanging="332"/>
        <w:spacing w:after="0" w:line="269"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investments of the Company are in entities which are organized under the laws of the United States and have a principal place of business in the United States, unless otherwise noted.</w:t>
      </w:r>
    </w:p>
    <w:p>
      <w:pPr>
        <w:ind w:left="340" w:right="260" w:hanging="332"/>
        <w:spacing w:after="0" w:line="264"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been pledged as collateral under the revolving credit facility (the “Key Facility”) with KeyBank National Association (“Key”), a credit facility (the “NYL Facility”) led by New York Life Insurance Company and/or a credit facility (the “Nuveen Facility”, together with the Key Facility and the NYL Facility, the “Credit Facilities”) led by Nuveen Alternatives Advisors LLC.</w:t>
      </w:r>
    </w:p>
    <w:p>
      <w:pPr>
        <w:jc w:val="both"/>
        <w:ind w:left="340" w:hanging="332"/>
        <w:spacing w:after="0" w:line="264"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jc w:val="both"/>
        <w:ind w:left="340" w:hanging="332"/>
        <w:spacing w:after="0" w:line="264"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interest is payable in cash due monthly in arrears, unless otherwise indicated, and applies only to the Company’s debt investments. Interest rate is the annual interest rate on the debt investment and does not include end-of-term payments (“ETPs”), and any additional fees related to the investments, such as deferred interest, commitment fees or prepayment fees. Debt investments are at variable rates for the term of the debt investment, unless otherwise indicated. For each debt investment, the current interest rate in effect as of March 31, 2026 is provided.</w:t>
      </w: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Portfolio company is a public company.</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debt investments, represents principal balance less unearned income.</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Equity and Other Investments are non-income producing.</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 as a percent of net assets.</w:t>
      </w:r>
    </w:p>
    <w:p>
      <w:pPr>
        <w:spacing w:after="0" w:line="18" w:lineRule="exact"/>
        <w:rPr>
          <w:rFonts w:ascii="Times New Roman" w:cs="Times New Roman" w:eastAsia="Times New Roman" w:hAnsi="Times New Roman"/>
          <w:sz w:val="16"/>
          <w:szCs w:val="16"/>
          <w:color w:val="auto"/>
        </w:rPr>
      </w:pPr>
    </w:p>
    <w:p>
      <w:pPr>
        <w:jc w:val="both"/>
        <w:ind w:left="340" w:hanging="332"/>
        <w:spacing w:after="0" w:line="264"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2026, 0.6% and 0.0% the Company's total assets on a cost and fair value basis, respectively, are in non-qualifying assets under Section 55(a) of the 1940 Act. Under the 1940 Act, the Company may not acquire any non-qualifying assets unless, at the time the acquisition is made, qualifying assets represent at least 70% of the Company’s total assets.</w:t>
      </w:r>
    </w:p>
    <w:p>
      <w:pPr>
        <w:jc w:val="both"/>
        <w:ind w:left="340" w:hanging="332"/>
        <w:spacing w:after="0" w:line="264"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has a PIK feature in which the accrued interest or a portion of the accrued interest is added to the then-outstanding principal amount of the investment.</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investment was valued using significant unobservable inputs.</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investment is on non-accrual status as of March 31, 2026.</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investment is on non-accrual status as of March 31, 2026 and interest payments will be recognized as income on a cash basis.</w:t>
      </w:r>
    </w:p>
    <w:p>
      <w:pPr>
        <w:spacing w:after="0" w:line="18" w:lineRule="exact"/>
        <w:rPr>
          <w:rFonts w:ascii="Times New Roman" w:cs="Times New Roman" w:eastAsia="Times New Roman" w:hAnsi="Times New Roman"/>
          <w:sz w:val="16"/>
          <w:szCs w:val="16"/>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investment originally consisted of debt investments in Evelo Biosciences Inc. (“Evelo”). Evelo was a clinical stage life science company that was unable to raise additional capital to continue as a going concern and, through a series of transactions, Evelo became a subsidiary of Evelo Holdings, Inc. (“Evelo Holdings”) and Evelo Holdings assumed the indebtedness of Evelo to the Company. Evelo Holdings is not an operating company but holds certain contractual rights to contingent payments and owns equity in Evelo, as well as certain assets it seeks to sell. The Company has a first priority security interest in the assets of Evelo Holdings, so if any payments are received by Evelo Holdings or any of its equity holdings or other assets are sold, the Company will receive substantially all of the proceeds from the same, until such time, if ever, that all of the indebtedness is repaid. Accordingly, the Company characterizes this investment as an “Other Investment” rather than a “Debt Investment".</w:t>
      </w:r>
    </w:p>
    <w:p>
      <w:pPr>
        <w:spacing w:after="0" w:line="184" w:lineRule="exact"/>
        <w:rPr>
          <w:rFonts w:ascii="Times New Roman" w:cs="Times New Roman" w:eastAsia="Times New Roman" w:hAnsi="Times New Roman"/>
          <w:sz w:val="16"/>
          <w:szCs w:val="16"/>
          <w:color w:val="auto"/>
        </w:rPr>
      </w:pPr>
    </w:p>
    <w:p>
      <w:pPr>
        <w:jc w:val="both"/>
        <w:ind w:left="340" w:hanging="332"/>
        <w:spacing w:after="0" w:line="264"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investment originally consisted of debt investments in Better Place Forests Co. (“Better Place”). On April 30, 2025, Better Place transferred ownership of all of its right, title and interest in and to all of its tangible and intangible assets to Better Place ABC, LLC, a California limited liability company (“BP ABC”) and BP ABC sold a portion of such assets to Memorial Forests Foundation in consideration for, among other things, the assumption of certain liabilities of BP ABC. The Company has a first priority security interest in the remaining assets of BP ABC, including certain rights to employee retention tax credits, so if any payments are received by BP ABC, the Company will receive a portion of the proceeds from the same, until such time, if ever, that all of the obligations of BP ABC to the Company are repaid. Accordingly, the Company characterizes this investment as an “Other Investment” rather than a “Debt Investment".</w:t>
      </w:r>
    </w:p>
    <w:p>
      <w:pPr>
        <w:jc w:val="both"/>
        <w:ind w:left="300" w:hanging="292"/>
        <w:spacing w:after="0" w:line="270" w:lineRule="auto"/>
        <w:tabs>
          <w:tab w:leader="none" w:pos="3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6, 2025, the Company purchased a portfolio of debt and related investments of Powerscourt XXV LP, a fund managed by Waterfall Asset Management (“WAM”), for a purchase price of $22.5 million, which assets at the purchase date had a fair value of $36.5 million and included debt investments on accrual status with a principal balance of $34.9 million. WAM and the Advisor (as defined in Note 1) had previously entered into Master Program Agreement in March 2023 whereby the Advisor offered WAM the opportunity to participate, as a co-lender with the Company, in debt investments originated by the Advisor. WAM retained all investment decisions. In 2023, WAM ceased making new investments under the program, as it no longer wished to pursue a venture debt strategy.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Type of</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Cash Rate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7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Investments</w:t>
            </w:r>
          </w:p>
        </w:tc>
        <w:tc>
          <w:tcPr>
            <w:tcW w:w="1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5"/>
        </w:trPr>
        <w:tc>
          <w:tcPr>
            <w:tcW w:w="1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Sector</w:t>
            </w:r>
          </w:p>
        </w:tc>
        <w:tc>
          <w:tcPr>
            <w:tcW w:w="7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2"/>
              </w:rPr>
              <w:t>(7)</w:t>
            </w:r>
          </w:p>
        </w:tc>
        <w:tc>
          <w:tcPr>
            <w:tcW w:w="7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(4)</w:t>
            </w:r>
          </w:p>
        </w:tc>
        <w:tc>
          <w:tcPr>
            <w:tcW w:w="22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Index</w:t>
            </w: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Floor</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Ceiling</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ETP (10)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3"/>
                <w:szCs w:val="13"/>
                <w:color w:val="auto"/>
              </w:rPr>
            </w:pPr>
          </w:p>
        </w:tc>
        <w:tc>
          <w:tcPr>
            <w:tcW w:w="5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3"/>
                <w:szCs w:val="13"/>
                <w:color w:val="auto"/>
              </w:rPr>
            </w:pPr>
          </w:p>
        </w:tc>
      </w:tr>
      <w:tr>
        <w:trPr>
          <w:trHeight w:val="108"/>
        </w:trPr>
        <w:tc>
          <w:tcPr>
            <w:tcW w:w="150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Non-Affiliate Investments</w:t>
            </w:r>
          </w:p>
        </w:tc>
        <w:tc>
          <w:tcPr>
            <w:tcW w:w="10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55"/>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183.3% (8)</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5"/>
        </w:trPr>
        <w:tc>
          <w:tcPr>
            <w:tcW w:w="150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Non-Affiliate Debt</w:t>
            </w: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5"/>
        </w:trPr>
        <w:tc>
          <w:tcPr>
            <w:tcW w:w="1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Investments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175.4% (8)</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5"/>
        </w:trPr>
        <w:tc>
          <w:tcPr>
            <w:tcW w:w="150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Non-Affiliate Debt</w:t>
            </w: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15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Investments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Life</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5"/>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xml:space="preserve">Science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85.2% (8)</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15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Castle Creek Biosciences,</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Inc. (2)(12)</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Biotechnology</w:t>
            </w: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80" w:type="dxa"/>
            <w:vAlign w:val="bottom"/>
            <w:gridSpan w:val="3"/>
          </w:tcPr>
          <w:p>
            <w:pPr>
              <w:jc w:val="center"/>
              <w:ind w:left="317"/>
              <w:spacing w:after="0"/>
              <w:rPr>
                <w:sz w:val="20"/>
                <w:szCs w:val="20"/>
                <w:color w:val="auto"/>
              </w:rPr>
            </w:pPr>
            <w:r>
              <w:rPr>
                <w:rFonts w:ascii="Times New Roman" w:cs="Times New Roman" w:eastAsia="Times New Roman" w:hAnsi="Times New Roman"/>
                <w:sz w:val="13"/>
                <w:szCs w:val="13"/>
                <w:color w:val="auto"/>
                <w:w w:val="99"/>
              </w:rPr>
              <w:t>12.00%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4.25%</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10,000</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9,947</w:t>
            </w:r>
          </w:p>
        </w:tc>
        <w:tc>
          <w:tcPr>
            <w:tcW w:w="28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9,947</w:t>
            </w:r>
          </w:p>
        </w:tc>
      </w:tr>
      <w:tr>
        <w:trPr>
          <w:trHeight w:val="117"/>
        </w:trPr>
        <w:tc>
          <w:tcPr>
            <w:tcW w:w="1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80" w:type="dxa"/>
            <w:vAlign w:val="bottom"/>
            <w:gridSpan w:val="3"/>
            <w:shd w:val="clear" w:color="auto" w:fill="CCEEFF"/>
          </w:tcPr>
          <w:p>
            <w:pPr>
              <w:jc w:val="center"/>
              <w:ind w:left="317"/>
              <w:spacing w:after="0"/>
              <w:rPr>
                <w:sz w:val="20"/>
                <w:szCs w:val="20"/>
                <w:color w:val="auto"/>
              </w:rPr>
            </w:pPr>
            <w:r>
              <w:rPr>
                <w:rFonts w:ascii="Times New Roman" w:cs="Times New Roman" w:eastAsia="Times New Roman" w:hAnsi="Times New Roman"/>
                <w:sz w:val="13"/>
                <w:szCs w:val="13"/>
                <w:color w:val="auto"/>
                <w:w w:val="99"/>
              </w:rPr>
              <w:t>12.00%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4.25%</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5,500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5,471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5,471</w:t>
            </w:r>
          </w:p>
        </w:tc>
      </w:tr>
      <w:tr>
        <w:trPr>
          <w:trHeight w:val="117"/>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80" w:type="dxa"/>
            <w:vAlign w:val="bottom"/>
            <w:gridSpan w:val="3"/>
          </w:tcPr>
          <w:p>
            <w:pPr>
              <w:jc w:val="center"/>
              <w:ind w:left="317"/>
              <w:spacing w:after="0"/>
              <w:rPr>
                <w:sz w:val="20"/>
                <w:szCs w:val="20"/>
                <w:color w:val="auto"/>
              </w:rPr>
            </w:pPr>
            <w:r>
              <w:rPr>
                <w:rFonts w:ascii="Times New Roman" w:cs="Times New Roman" w:eastAsia="Times New Roman" w:hAnsi="Times New Roman"/>
                <w:sz w:val="13"/>
                <w:szCs w:val="13"/>
                <w:color w:val="auto"/>
                <w:w w:val="99"/>
              </w:rPr>
              <w:t>12.00%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4.25%</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4,974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4,974</w:t>
            </w:r>
          </w:p>
        </w:tc>
      </w:tr>
      <w:tr>
        <w:trPr>
          <w:trHeight w:val="117"/>
        </w:trPr>
        <w:tc>
          <w:tcPr>
            <w:tcW w:w="1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80" w:type="dxa"/>
            <w:vAlign w:val="bottom"/>
            <w:gridSpan w:val="3"/>
            <w:shd w:val="clear" w:color="auto" w:fill="CCEEFF"/>
          </w:tcPr>
          <w:p>
            <w:pPr>
              <w:jc w:val="center"/>
              <w:ind w:left="317"/>
              <w:spacing w:after="0"/>
              <w:rPr>
                <w:sz w:val="20"/>
                <w:szCs w:val="20"/>
                <w:color w:val="auto"/>
              </w:rPr>
            </w:pPr>
            <w:r>
              <w:rPr>
                <w:rFonts w:ascii="Times New Roman" w:cs="Times New Roman" w:eastAsia="Times New Roman" w:hAnsi="Times New Roman"/>
                <w:sz w:val="13"/>
                <w:szCs w:val="13"/>
                <w:color w:val="auto"/>
                <w:w w:val="99"/>
              </w:rPr>
              <w:t>12.00%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4.25%</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4,974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4,974</w:t>
            </w:r>
          </w:p>
        </w:tc>
      </w:tr>
      <w:tr>
        <w:trPr>
          <w:trHeight w:val="117"/>
        </w:trPr>
        <w:tc>
          <w:tcPr>
            <w:tcW w:w="15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8"/>
              </w:rPr>
              <w:t>Emalex Biosciences, Inc. (2)</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May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Biotechnology</w:t>
            </w: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80" w:type="dxa"/>
            <w:vAlign w:val="bottom"/>
            <w:gridSpan w:val="3"/>
          </w:tcPr>
          <w:p>
            <w:pPr>
              <w:jc w:val="center"/>
              <w:ind w:left="317"/>
              <w:spacing w:after="0"/>
              <w:rPr>
                <w:sz w:val="20"/>
                <w:szCs w:val="20"/>
                <w:color w:val="auto"/>
              </w:rPr>
            </w:pPr>
            <w:r>
              <w:rPr>
                <w:rFonts w:ascii="Times New Roman" w:cs="Times New Roman" w:eastAsia="Times New Roman" w:hAnsi="Times New Roman"/>
                <w:sz w:val="13"/>
                <w:szCs w:val="13"/>
                <w:color w:val="auto"/>
                <w:w w:val="99"/>
              </w:rPr>
              <w:t>11.47%</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4.72%</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1,667</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1,665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1,665</w:t>
            </w:r>
          </w:p>
        </w:tc>
      </w:tr>
      <w:tr>
        <w:trPr>
          <w:trHeight w:val="117"/>
        </w:trPr>
        <w:tc>
          <w:tcPr>
            <w:tcW w:w="15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KSQ Therapeutics, Inc. (2)</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Biotechnology</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80" w:type="dxa"/>
            <w:vAlign w:val="bottom"/>
            <w:gridSpan w:val="3"/>
            <w:shd w:val="clear" w:color="auto" w:fill="CCEEFF"/>
          </w:tcPr>
          <w:p>
            <w:pPr>
              <w:jc w:val="center"/>
              <w:ind w:left="317"/>
              <w:spacing w:after="0"/>
              <w:rPr>
                <w:sz w:val="20"/>
                <w:szCs w:val="20"/>
                <w:color w:val="auto"/>
              </w:rPr>
            </w:pPr>
            <w:r>
              <w:rPr>
                <w:rFonts w:ascii="Times New Roman" w:cs="Times New Roman" w:eastAsia="Times New Roman" w:hAnsi="Times New Roman"/>
                <w:sz w:val="13"/>
                <w:szCs w:val="13"/>
                <w:color w:val="auto"/>
                <w:w w:val="99"/>
              </w:rPr>
              <w:t>10.75%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3.75%</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4,250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4,237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4,237</w:t>
            </w:r>
          </w:p>
        </w:tc>
      </w:tr>
      <w:tr>
        <w:trPr>
          <w:trHeight w:val="117"/>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80" w:type="dxa"/>
            <w:vAlign w:val="bottom"/>
            <w:gridSpan w:val="3"/>
          </w:tcPr>
          <w:p>
            <w:pPr>
              <w:jc w:val="center"/>
              <w:ind w:left="317"/>
              <w:spacing w:after="0"/>
              <w:rPr>
                <w:sz w:val="20"/>
                <w:szCs w:val="20"/>
                <w:color w:val="auto"/>
              </w:rPr>
            </w:pPr>
            <w:r>
              <w:rPr>
                <w:rFonts w:ascii="Times New Roman" w:cs="Times New Roman" w:eastAsia="Times New Roman" w:hAnsi="Times New Roman"/>
                <w:sz w:val="13"/>
                <w:szCs w:val="13"/>
                <w:color w:val="auto"/>
                <w:w w:val="99"/>
              </w:rPr>
              <w:t>10.75%</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3.75%</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4,250</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4,237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4,237</w:t>
            </w:r>
          </w:p>
        </w:tc>
      </w:tr>
      <w:tr>
        <w:trPr>
          <w:trHeight w:val="117"/>
        </w:trPr>
        <w:tc>
          <w:tcPr>
            <w:tcW w:w="1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80" w:type="dxa"/>
            <w:vAlign w:val="bottom"/>
            <w:gridSpan w:val="3"/>
            <w:shd w:val="clear" w:color="auto" w:fill="CCEEFF"/>
          </w:tcPr>
          <w:p>
            <w:pPr>
              <w:jc w:val="center"/>
              <w:ind w:left="317"/>
              <w:spacing w:after="0"/>
              <w:rPr>
                <w:sz w:val="20"/>
                <w:szCs w:val="20"/>
                <w:color w:val="auto"/>
              </w:rPr>
            </w:pPr>
            <w:r>
              <w:rPr>
                <w:rFonts w:ascii="Times New Roman" w:cs="Times New Roman" w:eastAsia="Times New Roman" w:hAnsi="Times New Roman"/>
                <w:sz w:val="13"/>
                <w:szCs w:val="13"/>
                <w:color w:val="auto"/>
                <w:w w:val="99"/>
              </w:rPr>
              <w:t>10.75%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3.75%</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4,250</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4,237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4,237</w:t>
            </w:r>
          </w:p>
        </w:tc>
      </w:tr>
      <w:tr>
        <w:trPr>
          <w:trHeight w:val="117"/>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80" w:type="dxa"/>
            <w:vAlign w:val="bottom"/>
            <w:gridSpan w:val="3"/>
          </w:tcPr>
          <w:p>
            <w:pPr>
              <w:jc w:val="center"/>
              <w:ind w:left="317"/>
              <w:spacing w:after="0"/>
              <w:rPr>
                <w:sz w:val="20"/>
                <w:szCs w:val="20"/>
                <w:color w:val="auto"/>
              </w:rPr>
            </w:pPr>
            <w:r>
              <w:rPr>
                <w:rFonts w:ascii="Times New Roman" w:cs="Times New Roman" w:eastAsia="Times New Roman" w:hAnsi="Times New Roman"/>
                <w:sz w:val="13"/>
                <w:szCs w:val="13"/>
                <w:color w:val="auto"/>
                <w:w w:val="99"/>
              </w:rPr>
              <w:t>10.75%</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3.75%</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4,250</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4,237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4,237</w:t>
            </w:r>
          </w:p>
        </w:tc>
      </w:tr>
      <w:tr>
        <w:trPr>
          <w:trHeight w:val="117"/>
        </w:trPr>
        <w:tc>
          <w:tcPr>
            <w:tcW w:w="15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Long Grove</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5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Pharmaceuticals, LLC (2)</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1-month</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February</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Biotechnology</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7.87%(11)</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SOFR</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4.00%</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27, 2031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10,298</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10,086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10,086</w:t>
            </w:r>
          </w:p>
        </w:tc>
      </w:tr>
      <w:tr>
        <w:trPr>
          <w:trHeight w:val="117"/>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Provivi, Inc. (2)(12)(13)</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Biotechnology</w:t>
            </w: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80" w:type="dxa"/>
            <w:vAlign w:val="bottom"/>
            <w:gridSpan w:val="3"/>
          </w:tcPr>
          <w:p>
            <w:pPr>
              <w:jc w:val="center"/>
              <w:ind w:left="317"/>
              <w:spacing w:after="0"/>
              <w:rPr>
                <w:sz w:val="20"/>
                <w:szCs w:val="20"/>
                <w:color w:val="auto"/>
              </w:rPr>
            </w:pPr>
            <w:r>
              <w:rPr>
                <w:rFonts w:ascii="Times New Roman" w:cs="Times New Roman" w:eastAsia="Times New Roman" w:hAnsi="Times New Roman"/>
                <w:sz w:val="13"/>
                <w:szCs w:val="13"/>
                <w:color w:val="auto"/>
                <w:w w:val="97"/>
              </w:rPr>
              <w:t>12.11%(11)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5.36%</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1,906</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1,683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924</w:t>
            </w:r>
          </w:p>
        </w:tc>
      </w:tr>
      <w:tr>
        <w:trPr>
          <w:trHeight w:val="117"/>
        </w:trPr>
        <w:tc>
          <w:tcPr>
            <w:tcW w:w="1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80" w:type="dxa"/>
            <w:vAlign w:val="bottom"/>
            <w:gridSpan w:val="3"/>
            <w:shd w:val="clear" w:color="auto" w:fill="CCEEFF"/>
          </w:tcPr>
          <w:p>
            <w:pPr>
              <w:jc w:val="center"/>
              <w:ind w:left="317"/>
              <w:spacing w:after="0"/>
              <w:rPr>
                <w:sz w:val="20"/>
                <w:szCs w:val="20"/>
                <w:color w:val="auto"/>
              </w:rPr>
            </w:pPr>
            <w:r>
              <w:rPr>
                <w:rFonts w:ascii="Times New Roman" w:cs="Times New Roman" w:eastAsia="Times New Roman" w:hAnsi="Times New Roman"/>
                <w:sz w:val="13"/>
                <w:szCs w:val="13"/>
                <w:color w:val="auto"/>
                <w:w w:val="97"/>
              </w:rPr>
              <w:t>12.11%(11)</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5.36%</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1,906</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1,683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924</w:t>
            </w:r>
          </w:p>
        </w:tc>
      </w:tr>
      <w:tr>
        <w:trPr>
          <w:trHeight w:val="117"/>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80" w:type="dxa"/>
            <w:vAlign w:val="bottom"/>
            <w:gridSpan w:val="3"/>
          </w:tcPr>
          <w:p>
            <w:pPr>
              <w:jc w:val="center"/>
              <w:ind w:left="317"/>
              <w:spacing w:after="0"/>
              <w:rPr>
                <w:sz w:val="20"/>
                <w:szCs w:val="20"/>
                <w:color w:val="auto"/>
              </w:rPr>
            </w:pPr>
            <w:r>
              <w:rPr>
                <w:rFonts w:ascii="Times New Roman" w:cs="Times New Roman" w:eastAsia="Times New Roman" w:hAnsi="Times New Roman"/>
                <w:sz w:val="13"/>
                <w:szCs w:val="13"/>
                <w:color w:val="auto"/>
                <w:w w:val="97"/>
              </w:rPr>
              <w:t>12.11%(11)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5.36%</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953</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838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460</w:t>
            </w:r>
          </w:p>
        </w:tc>
      </w:tr>
      <w:tr>
        <w:trPr>
          <w:trHeight w:val="117"/>
        </w:trPr>
        <w:tc>
          <w:tcPr>
            <w:tcW w:w="1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80" w:type="dxa"/>
            <w:vAlign w:val="bottom"/>
            <w:gridSpan w:val="3"/>
            <w:shd w:val="clear" w:color="auto" w:fill="CCEEFF"/>
          </w:tcPr>
          <w:p>
            <w:pPr>
              <w:jc w:val="center"/>
              <w:ind w:left="317"/>
              <w:spacing w:after="0"/>
              <w:rPr>
                <w:sz w:val="20"/>
                <w:szCs w:val="20"/>
                <w:color w:val="auto"/>
              </w:rPr>
            </w:pPr>
            <w:r>
              <w:rPr>
                <w:rFonts w:ascii="Times New Roman" w:cs="Times New Roman" w:eastAsia="Times New Roman" w:hAnsi="Times New Roman"/>
                <w:sz w:val="13"/>
                <w:szCs w:val="13"/>
                <w:color w:val="auto"/>
                <w:w w:val="97"/>
              </w:rPr>
              <w:t>12.11%(11)</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5.36%</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953</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838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460</w:t>
            </w:r>
          </w:p>
        </w:tc>
      </w:tr>
      <w:tr>
        <w:trPr>
          <w:trHeight w:val="117"/>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80" w:type="dxa"/>
            <w:vAlign w:val="bottom"/>
            <w:gridSpan w:val="3"/>
          </w:tcPr>
          <w:p>
            <w:pPr>
              <w:jc w:val="center"/>
              <w:ind w:left="317"/>
              <w:spacing w:after="0"/>
              <w:rPr>
                <w:sz w:val="20"/>
                <w:szCs w:val="20"/>
                <w:color w:val="auto"/>
              </w:rPr>
            </w:pPr>
            <w:r>
              <w:rPr>
                <w:rFonts w:ascii="Times New Roman" w:cs="Times New Roman" w:eastAsia="Times New Roman" w:hAnsi="Times New Roman"/>
                <w:sz w:val="13"/>
                <w:szCs w:val="13"/>
                <w:color w:val="auto"/>
                <w:w w:val="97"/>
              </w:rPr>
              <w:t>12.11%(11)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5.36%</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953</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838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460</w:t>
            </w:r>
          </w:p>
        </w:tc>
      </w:tr>
      <w:tr>
        <w:trPr>
          <w:trHeight w:val="117"/>
        </w:trPr>
        <w:tc>
          <w:tcPr>
            <w:tcW w:w="1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80" w:type="dxa"/>
            <w:vAlign w:val="bottom"/>
            <w:gridSpan w:val="3"/>
            <w:shd w:val="clear" w:color="auto" w:fill="CCEEFF"/>
          </w:tcPr>
          <w:p>
            <w:pPr>
              <w:jc w:val="center"/>
              <w:ind w:left="317"/>
              <w:spacing w:after="0"/>
              <w:rPr>
                <w:sz w:val="20"/>
                <w:szCs w:val="20"/>
                <w:color w:val="auto"/>
              </w:rPr>
            </w:pPr>
            <w:r>
              <w:rPr>
                <w:rFonts w:ascii="Times New Roman" w:cs="Times New Roman" w:eastAsia="Times New Roman" w:hAnsi="Times New Roman"/>
                <w:sz w:val="13"/>
                <w:szCs w:val="13"/>
                <w:color w:val="auto"/>
                <w:w w:val="97"/>
              </w:rPr>
              <w:t>12.11%(11)</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Prime</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5.36%</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953</w:t>
            </w: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838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Type of</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Cost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Investment</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Cash Rate</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12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Investments</w:t>
            </w:r>
          </w:p>
        </w:tc>
        <w:tc>
          <w:tcPr>
            <w:tcW w:w="7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5"/>
        </w:trPr>
        <w:tc>
          <w:tcPr>
            <w:tcW w:w="1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00" w:type="dxa"/>
            <w:vAlign w:val="bottom"/>
          </w:tcPr>
          <w:p>
            <w:pPr>
              <w:spacing w:after="0"/>
              <w:rPr>
                <w:sz w:val="13"/>
                <w:szCs w:val="13"/>
                <w:color w:val="auto"/>
              </w:rPr>
            </w:pPr>
          </w:p>
        </w:tc>
        <w:tc>
          <w:tcPr>
            <w:tcW w:w="9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7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2"/>
              </w:rPr>
              <w:t>(7)</w:t>
            </w:r>
          </w:p>
        </w:tc>
        <w:tc>
          <w:tcPr>
            <w:tcW w:w="6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(4)</w:t>
            </w:r>
          </w:p>
        </w:tc>
        <w:tc>
          <w:tcPr>
            <w:tcW w:w="2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2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Floor</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Ceiling</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ETP (10)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(6)(9)</w:t>
            </w:r>
          </w:p>
        </w:tc>
        <w:tc>
          <w:tcPr>
            <w:tcW w:w="160" w:type="dxa"/>
            <w:vAlign w:val="bottom"/>
          </w:tcPr>
          <w:p>
            <w:pPr>
              <w:spacing w:after="0"/>
              <w:rPr>
                <w:sz w:val="13"/>
                <w:szCs w:val="13"/>
                <w:color w:val="auto"/>
              </w:rPr>
            </w:pPr>
          </w:p>
        </w:tc>
        <w:tc>
          <w:tcPr>
            <w:tcW w:w="6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3"/>
                <w:szCs w:val="13"/>
                <w:color w:val="auto"/>
              </w:rPr>
            </w:pPr>
          </w:p>
        </w:tc>
      </w:tr>
      <w:tr>
        <w:trPr>
          <w:trHeight w:val="110"/>
        </w:trPr>
        <w:tc>
          <w:tcPr>
            <w:tcW w:w="19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March 1,</w:t>
            </w:r>
          </w:p>
        </w:tc>
        <w:tc>
          <w:tcPr>
            <w:tcW w:w="12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53"/>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Ceribell, Inc. (2)(5)(12)</w:t>
            </w: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Medical Device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9.50%</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2.75%</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9.25%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4,833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4,833</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9.50%</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2.75%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9.25%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4,954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4,954</w:t>
            </w:r>
          </w:p>
        </w:tc>
      </w:tr>
      <w:tr>
        <w:trPr>
          <w:trHeight w:val="117"/>
        </w:trPr>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9.50%</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2.75%</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9.25%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3,963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3,963</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w w:val="97"/>
              </w:rPr>
              <w:t>Conventus Orthopaedics, Inc. (2)(12)</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Medical Device</w:t>
            </w: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13.07%</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6.32%</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10.75%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10.88%</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2,801</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2,785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2,785</w:t>
            </w:r>
          </w:p>
        </w:tc>
      </w:tr>
      <w:tr>
        <w:trPr>
          <w:trHeight w:val="117"/>
        </w:trPr>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13.07%</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6.32%</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10.75%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2,801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2,785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2,785</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Infobionic, Inc. (2)(12)</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Medical Device</w:t>
            </w: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4.50%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12.00%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1, 2029</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4,937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4,937</w:t>
            </w:r>
          </w:p>
        </w:tc>
      </w:tr>
      <w:tr>
        <w:trPr>
          <w:trHeight w:val="117"/>
        </w:trPr>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4.50%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4,937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4,937</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4.50%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12.00%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1, 2029</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4,937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4,937</w:t>
            </w:r>
          </w:p>
        </w:tc>
      </w:tr>
      <w:tr>
        <w:trPr>
          <w:trHeight w:val="117"/>
        </w:trPr>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2,379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2,379</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5.00%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12.00%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1, 2029</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2,500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2,429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2,429</w:t>
            </w:r>
          </w:p>
        </w:tc>
      </w:tr>
      <w:tr>
        <w:trPr>
          <w:trHeight w:val="117"/>
        </w:trPr>
        <w:tc>
          <w:tcPr>
            <w:tcW w:w="192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Mobia Medical, Inc. fka</w:t>
            </w: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January 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Microtransponder, Inc. (2)(12)</w:t>
            </w: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Medical Device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12.25%</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3.75%</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12.25%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3,750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3,710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3,710</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January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12.25%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3.75%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12.25%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3,750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3,710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3,710</w:t>
            </w:r>
          </w:p>
        </w:tc>
      </w:tr>
      <w:tr>
        <w:trPr>
          <w:trHeight w:val="117"/>
        </w:trPr>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0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MML US, Inc. (2)(12)</w:t>
            </w: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Medical Device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10.00(11)</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13.50%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2,565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2,444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2,444</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10.00(11)</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3.00%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2,565</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2,543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2,543</w:t>
            </w:r>
          </w:p>
        </w:tc>
      </w:tr>
      <w:tr>
        <w:trPr>
          <w:trHeight w:val="117"/>
        </w:trPr>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0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10.00(11)</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13.50%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5,129</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5,086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5,086</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10.00(11)</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3.00%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5,129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5,086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5,086</w:t>
            </w:r>
          </w:p>
        </w:tc>
      </w:tr>
      <w:tr>
        <w:trPr>
          <w:trHeight w:val="117"/>
        </w:trPr>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0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10.00(11)</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13.50%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5,091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5,046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5,046</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10.00(11)</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3.00%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5,091</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5,046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5,046</w:t>
            </w:r>
          </w:p>
        </w:tc>
      </w:tr>
      <w:tr>
        <w:trPr>
          <w:trHeight w:val="117"/>
        </w:trPr>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January 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Onkos Surgical, Inc. (2)(12)</w:t>
            </w: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Medical Device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3.25%</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10.75%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9,874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9,874</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January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3.25%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10.75%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10,000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9,874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9,874</w:t>
            </w:r>
          </w:p>
        </w:tc>
      </w:tr>
      <w:tr>
        <w:trPr>
          <w:trHeight w:val="117"/>
        </w:trPr>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January 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3.25%</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10.75%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4,937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4,937</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January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3.25%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10.75%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4,937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4,937</w:t>
            </w:r>
          </w:p>
        </w:tc>
      </w:tr>
      <w:tr>
        <w:trPr>
          <w:trHeight w:val="117"/>
        </w:trPr>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10.75%</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3.25%</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10.75%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4,926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4,926</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Scientia Vascular, Inc. (2)(12)</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Medical Device</w:t>
            </w: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2.75%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10.25%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10,000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9,890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9,890</w:t>
            </w:r>
          </w:p>
        </w:tc>
      </w:tr>
      <w:tr>
        <w:trPr>
          <w:trHeight w:val="117"/>
        </w:trPr>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2.75%</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10.25%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9,890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9,890</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2.75%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10.25%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4,945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4,945</w:t>
            </w:r>
          </w:p>
        </w:tc>
      </w:tr>
      <w:tr>
        <w:trPr>
          <w:trHeight w:val="117"/>
        </w:trPr>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2.75%</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10.25%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1,483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1,483</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2.75%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10.25%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3,500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3,459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3,459</w:t>
            </w:r>
          </w:p>
        </w:tc>
      </w:tr>
      <w:tr>
        <w:trPr>
          <w:trHeight w:val="117"/>
        </w:trPr>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Sonex Health, Inc. (2)(12)</w:t>
            </w:r>
          </w:p>
        </w:tc>
        <w:tc>
          <w:tcPr>
            <w:tcW w:w="1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Medical Device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11.75%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1, 2027</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2,489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2,489</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3.50%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11.75%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1, 2027</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2,500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2,489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2,489</w:t>
            </w:r>
          </w:p>
        </w:tc>
      </w:tr>
      <w:tr>
        <w:trPr>
          <w:trHeight w:val="117"/>
        </w:trPr>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11.75%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1, 2027</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4,977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4,977</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3.50%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11.75%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1, 2027</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4,977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4,977</w:t>
            </w:r>
          </w:p>
        </w:tc>
      </w:tr>
      <w:tr>
        <w:trPr>
          <w:trHeight w:val="117"/>
        </w:trPr>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11.75%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3,750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3,725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3,725</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3.50%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11.75%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3,750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3,725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3,725</w:t>
            </w:r>
          </w:p>
        </w:tc>
      </w:tr>
      <w:tr>
        <w:trPr>
          <w:trHeight w:val="117"/>
        </w:trPr>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11.75%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3,750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3,725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3,725</w:t>
            </w:r>
          </w:p>
        </w:tc>
      </w:tr>
      <w:tr>
        <w:trPr>
          <w:trHeight w:val="117"/>
        </w:trPr>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April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4"/>
        </w:trPr>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Term Loan</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3.50%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11.75%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3,750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3,725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3,725</w:t>
            </w: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Type of</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Cash Rate</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12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Investments</w:t>
            </w:r>
          </w:p>
        </w:tc>
        <w:tc>
          <w:tcPr>
            <w:tcW w:w="7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5"/>
        </w:trPr>
        <w:tc>
          <w:tcPr>
            <w:tcW w:w="1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20" w:type="dxa"/>
            <w:vAlign w:val="bottom"/>
          </w:tcPr>
          <w:p>
            <w:pPr>
              <w:spacing w:after="0"/>
              <w:rPr>
                <w:sz w:val="13"/>
                <w:szCs w:val="13"/>
                <w:color w:val="auto"/>
              </w:rPr>
            </w:pPr>
          </w:p>
        </w:tc>
        <w:tc>
          <w:tcPr>
            <w:tcW w:w="9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7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2"/>
              </w:rPr>
              <w:t>(7)</w:t>
            </w:r>
          </w:p>
        </w:tc>
        <w:tc>
          <w:tcPr>
            <w:tcW w:w="6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(4)</w:t>
            </w:r>
          </w:p>
        </w:tc>
        <w:tc>
          <w:tcPr>
            <w:tcW w:w="22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2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Floor</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Ceiling</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ETP (10)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(6)(9)</w:t>
            </w:r>
          </w:p>
        </w:tc>
        <w:tc>
          <w:tcPr>
            <w:tcW w:w="160" w:type="dxa"/>
            <w:vAlign w:val="bottom"/>
          </w:tcPr>
          <w:p>
            <w:pPr>
              <w:spacing w:after="0"/>
              <w:rPr>
                <w:sz w:val="13"/>
                <w:szCs w:val="13"/>
                <w:color w:val="auto"/>
              </w:rPr>
            </w:pPr>
          </w:p>
        </w:tc>
        <w:tc>
          <w:tcPr>
            <w:tcW w:w="6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8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August 1,</w:t>
            </w:r>
          </w:p>
        </w:tc>
        <w:tc>
          <w:tcPr>
            <w:tcW w:w="12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Spineology, Inc. (2)(12)</w:t>
            </w:r>
          </w:p>
        </w:tc>
        <w:tc>
          <w:tcPr>
            <w:tcW w:w="1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Medical Device</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12.00%</w:t>
            </w: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4,936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4,936</w:t>
            </w:r>
          </w:p>
        </w:tc>
        <w:tc>
          <w:tcPr>
            <w:tcW w:w="0" w:type="dxa"/>
            <w:vAlign w:val="bottom"/>
          </w:tcPr>
          <w:p>
            <w:pPr>
              <w:spacing w:after="0"/>
              <w:rPr>
                <w:sz w:val="1"/>
                <w:szCs w:val="1"/>
                <w:color w:val="auto"/>
              </w:rPr>
            </w:pPr>
          </w:p>
        </w:tc>
      </w:tr>
      <w:tr>
        <w:trPr>
          <w:trHeight w:val="117"/>
        </w:trPr>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12.00%</w:t>
            </w: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4,250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4,195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4,195</w:t>
            </w:r>
          </w:p>
        </w:tc>
        <w:tc>
          <w:tcPr>
            <w:tcW w:w="0" w:type="dxa"/>
            <w:vAlign w:val="bottom"/>
          </w:tcPr>
          <w:p>
            <w:pPr>
              <w:spacing w:after="0"/>
              <w:rPr>
                <w:sz w:val="1"/>
                <w:szCs w:val="1"/>
                <w:color w:val="auto"/>
              </w:rPr>
            </w:pPr>
          </w:p>
        </w:tc>
      </w:tr>
      <w:tr>
        <w:trPr>
          <w:trHeight w:val="117"/>
        </w:trPr>
        <w:tc>
          <w:tcPr>
            <w:tcW w:w="1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12.00%</w:t>
            </w: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4,250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4,196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4,196</w:t>
            </w:r>
          </w:p>
        </w:tc>
        <w:tc>
          <w:tcPr>
            <w:tcW w:w="0" w:type="dxa"/>
            <w:vAlign w:val="bottom"/>
          </w:tcPr>
          <w:p>
            <w:pPr>
              <w:spacing w:after="0"/>
              <w:rPr>
                <w:sz w:val="1"/>
                <w:szCs w:val="1"/>
                <w:color w:val="auto"/>
              </w:rPr>
            </w:pPr>
          </w:p>
        </w:tc>
      </w:tr>
      <w:tr>
        <w:trPr>
          <w:trHeight w:val="117"/>
        </w:trPr>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12.00%</w:t>
            </w: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2,500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2,468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2,468</w:t>
            </w:r>
          </w:p>
        </w:tc>
        <w:tc>
          <w:tcPr>
            <w:tcW w:w="0" w:type="dxa"/>
            <w:vAlign w:val="bottom"/>
          </w:tcPr>
          <w:p>
            <w:pPr>
              <w:spacing w:after="0"/>
              <w:rPr>
                <w:sz w:val="1"/>
                <w:szCs w:val="1"/>
                <w:color w:val="auto"/>
              </w:rPr>
            </w:pPr>
          </w:p>
        </w:tc>
      </w:tr>
      <w:tr>
        <w:trPr>
          <w:trHeight w:val="117"/>
        </w:trPr>
        <w:tc>
          <w:tcPr>
            <w:tcW w:w="1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January 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Vero Biotech, Inc. (2)(12)</w:t>
            </w:r>
          </w:p>
        </w:tc>
        <w:tc>
          <w:tcPr>
            <w:tcW w:w="1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Medical Device</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12.25%</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12.25%</w:t>
            </w: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14,803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14,803</w:t>
            </w:r>
          </w:p>
        </w:tc>
        <w:tc>
          <w:tcPr>
            <w:tcW w:w="0" w:type="dxa"/>
            <w:vAlign w:val="bottom"/>
          </w:tcPr>
          <w:p>
            <w:pPr>
              <w:spacing w:after="0"/>
              <w:rPr>
                <w:sz w:val="1"/>
                <w:szCs w:val="1"/>
                <w:color w:val="auto"/>
              </w:rPr>
            </w:pPr>
          </w:p>
        </w:tc>
      </w:tr>
      <w:tr>
        <w:trPr>
          <w:trHeight w:val="117"/>
        </w:trPr>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January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12.25%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3.75%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12.25%</w:t>
            </w: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10,000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9,869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9,869</w:t>
            </w:r>
          </w:p>
        </w:tc>
        <w:tc>
          <w:tcPr>
            <w:tcW w:w="0" w:type="dxa"/>
            <w:vAlign w:val="bottom"/>
          </w:tcPr>
          <w:p>
            <w:pPr>
              <w:spacing w:after="0"/>
              <w:rPr>
                <w:sz w:val="1"/>
                <w:szCs w:val="1"/>
                <w:color w:val="auto"/>
              </w:rPr>
            </w:pPr>
          </w:p>
        </w:tc>
      </w:tr>
      <w:tr>
        <w:trPr>
          <w:trHeight w:val="117"/>
        </w:trPr>
        <w:tc>
          <w:tcPr>
            <w:tcW w:w="1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January 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12.25%</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12.25%</w:t>
            </w: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4,933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4,933</w:t>
            </w:r>
          </w:p>
        </w:tc>
        <w:tc>
          <w:tcPr>
            <w:tcW w:w="0" w:type="dxa"/>
            <w:vAlign w:val="bottom"/>
          </w:tcPr>
          <w:p>
            <w:pPr>
              <w:spacing w:after="0"/>
              <w:rPr>
                <w:sz w:val="1"/>
                <w:szCs w:val="1"/>
                <w:color w:val="auto"/>
              </w:rPr>
            </w:pPr>
          </w:p>
        </w:tc>
      </w:tr>
      <w:tr>
        <w:trPr>
          <w:trHeight w:val="117"/>
        </w:trPr>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January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12.25%</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3.75%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12.25%</w:t>
            </w: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2,500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2,466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2,466</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Total Non-Affiliate Debt</w:t>
            </w: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8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274,306</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271,276</w:t>
            </w:r>
          </w:p>
        </w:tc>
        <w:tc>
          <w:tcPr>
            <w:tcW w:w="0" w:type="dxa"/>
            <w:vAlign w:val="bottom"/>
          </w:tcPr>
          <w:p>
            <w:pPr>
              <w:spacing w:after="0"/>
              <w:rPr>
                <w:sz w:val="1"/>
                <w:szCs w:val="1"/>
                <w:color w:val="auto"/>
              </w:rPr>
            </w:pPr>
          </w:p>
        </w:tc>
      </w:tr>
      <w:tr>
        <w:trPr>
          <w:trHeight w:val="140"/>
        </w:trPr>
        <w:tc>
          <w:tcPr>
            <w:tcW w:w="18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Investments — Life Science</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80" w:type="dxa"/>
            <w:vAlign w:val="bottom"/>
            <w:tcBorders>
              <w:top w:val="single" w:sz="8" w:color="CCEEFF"/>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Non-Affiliate Debt Investments —</w:t>
            </w:r>
          </w:p>
        </w:tc>
        <w:tc>
          <w:tcPr>
            <w:tcW w:w="120" w:type="dxa"/>
            <w:vAlign w:val="bottom"/>
            <w:tcBorders>
              <w:top w:val="single" w:sz="8" w:color="CCEEFF"/>
            </w:tcBorders>
          </w:tcPr>
          <w:p>
            <w:pPr>
              <w:spacing w:after="0"/>
              <w:rPr>
                <w:sz w:val="9"/>
                <w:szCs w:val="9"/>
                <w:color w:val="auto"/>
              </w:rPr>
            </w:pPr>
          </w:p>
        </w:tc>
        <w:tc>
          <w:tcPr>
            <w:tcW w:w="96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58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4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0" w:type="dxa"/>
            <w:vAlign w:val="bottom"/>
            <w:tcBorders>
              <w:top w:val="single" w:sz="8" w:color="CCEEFF"/>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640" w:type="dxa"/>
            <w:vAlign w:val="bottom"/>
            <w:tcBorders>
              <w:top w:val="single" w:sz="8" w:color="CCEEFF"/>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66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6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5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Sustainability — 1.5% (8)</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May 1,</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SparkCharge, Inc. (2)(12)</w:t>
            </w:r>
          </w:p>
        </w:tc>
        <w:tc>
          <w:tcPr>
            <w:tcW w:w="1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4"/>
              </w:rPr>
              <w:t>Alternative Energy</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4.00%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12.00%</w:t>
            </w: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2,398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2,398</w:t>
            </w:r>
          </w:p>
        </w:tc>
        <w:tc>
          <w:tcPr>
            <w:tcW w:w="0" w:type="dxa"/>
            <w:vAlign w:val="bottom"/>
          </w:tcPr>
          <w:p>
            <w:pPr>
              <w:spacing w:after="0"/>
              <w:rPr>
                <w:sz w:val="1"/>
                <w:szCs w:val="1"/>
                <w:color w:val="auto"/>
              </w:rPr>
            </w:pPr>
          </w:p>
        </w:tc>
      </w:tr>
      <w:tr>
        <w:trPr>
          <w:trHeight w:val="117"/>
        </w:trPr>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May 1,</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12.00%</w:t>
            </w: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2,500</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2,471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2,471</w:t>
            </w: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Total Non-Affiliate Debt</w:t>
            </w: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8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4,869</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4,869</w:t>
            </w:r>
          </w:p>
        </w:tc>
        <w:tc>
          <w:tcPr>
            <w:tcW w:w="0" w:type="dxa"/>
            <w:vAlign w:val="bottom"/>
          </w:tcPr>
          <w:p>
            <w:pPr>
              <w:spacing w:after="0"/>
              <w:rPr>
                <w:sz w:val="1"/>
                <w:szCs w:val="1"/>
                <w:color w:val="auto"/>
              </w:rPr>
            </w:pPr>
          </w:p>
        </w:tc>
      </w:tr>
      <w:tr>
        <w:trPr>
          <w:trHeight w:val="140"/>
        </w:trPr>
        <w:tc>
          <w:tcPr>
            <w:tcW w:w="18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Investments — Sustainability</w:t>
            </w: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Type of</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Cash Rate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57"/>
              <w:spacing w:after="0" w:line="142"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8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Investments</w:t>
            </w:r>
          </w:p>
        </w:tc>
        <w:tc>
          <w:tcPr>
            <w:tcW w:w="7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Fair Value</w:t>
            </w:r>
          </w:p>
        </w:tc>
      </w:tr>
      <w:tr>
        <w:trPr>
          <w:trHeight w:val="148"/>
        </w:trPr>
        <w:tc>
          <w:tcPr>
            <w:tcW w:w="1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20" w:type="dxa"/>
            <w:vAlign w:val="bottom"/>
          </w:tcPr>
          <w:p>
            <w:pPr>
              <w:spacing w:after="0"/>
              <w:rPr>
                <w:sz w:val="12"/>
                <w:szCs w:val="12"/>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7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rPr>
              <w:t>(7)</w:t>
            </w:r>
          </w:p>
        </w:tc>
        <w:tc>
          <w:tcPr>
            <w:tcW w:w="78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(4)</w:t>
            </w:r>
          </w:p>
        </w:tc>
        <w:tc>
          <w:tcPr>
            <w:tcW w:w="220" w:type="dxa"/>
            <w:vAlign w:val="bottom"/>
          </w:tcPr>
          <w:p>
            <w:pPr>
              <w:spacing w:after="0"/>
              <w:rPr>
                <w:sz w:val="12"/>
                <w:szCs w:val="12"/>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20" w:type="dxa"/>
            <w:vAlign w:val="bottom"/>
          </w:tcPr>
          <w:p>
            <w:pPr>
              <w:spacing w:after="0"/>
              <w:rPr>
                <w:sz w:val="12"/>
                <w:szCs w:val="12"/>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Floor</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Ceiling</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ETP (10)</w:t>
            </w:r>
          </w:p>
        </w:tc>
        <w:tc>
          <w:tcPr>
            <w:tcW w:w="66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(6)(9)</w:t>
            </w:r>
          </w:p>
        </w:tc>
        <w:tc>
          <w:tcPr>
            <w:tcW w:w="220" w:type="dxa"/>
            <w:vAlign w:val="bottom"/>
          </w:tcPr>
          <w:p>
            <w:pPr>
              <w:spacing w:after="0"/>
              <w:rPr>
                <w:sz w:val="12"/>
                <w:szCs w:val="12"/>
                <w:color w:val="auto"/>
              </w:rPr>
            </w:pPr>
          </w:p>
        </w:tc>
        <w:tc>
          <w:tcPr>
            <w:tcW w:w="6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2"/>
                <w:szCs w:val="12"/>
                <w:color w:val="auto"/>
              </w:rPr>
            </w:pPr>
          </w:p>
        </w:tc>
      </w:tr>
      <w:tr>
        <w:trPr>
          <w:trHeight w:val="108"/>
        </w:trPr>
        <w:tc>
          <w:tcPr>
            <w:tcW w:w="148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Non-Affiliate Debt</w:t>
            </w:r>
          </w:p>
        </w:tc>
        <w:tc>
          <w:tcPr>
            <w:tcW w:w="12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5"/>
        </w:trPr>
        <w:tc>
          <w:tcPr>
            <w:tcW w:w="1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Investments — Technology</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5"/>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63.3% (8)</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14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Havenly, Inc. (2)(12)</w:t>
            </w:r>
          </w:p>
        </w:tc>
        <w:tc>
          <w:tcPr>
            <w:tcW w:w="120" w:type="dxa"/>
            <w:vAlign w:val="bottom"/>
          </w:tcPr>
          <w:p>
            <w:pPr>
              <w:spacing w:after="0"/>
              <w:rPr>
                <w:sz w:val="10"/>
                <w:szCs w:val="10"/>
                <w:color w:val="auto"/>
              </w:rPr>
            </w:pPr>
          </w:p>
        </w:tc>
        <w:tc>
          <w:tcPr>
            <w:tcW w:w="6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Consumer-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related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color w:val="auto"/>
                <w:w w:val="97"/>
              </w:rPr>
              <w:t>March 1,</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auto"/>
                <w:w w:val="94"/>
              </w:rPr>
              <w:t>Technologies</w:t>
            </w: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6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9"/>
              </w:rPr>
              <w:t>2027</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1,111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982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982</w:t>
            </w:r>
          </w:p>
        </w:tc>
      </w:tr>
      <w:tr>
        <w:trPr>
          <w:trHeight w:val="117"/>
        </w:trPr>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7"/>
              </w:rPr>
              <w:t>March 1,</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66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9"/>
              </w:rPr>
              <w:t>2027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1,667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1,482</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1,482</w:t>
            </w:r>
          </w:p>
        </w:tc>
      </w:tr>
      <w:tr>
        <w:trPr>
          <w:trHeight w:val="117"/>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6"/>
              </w:rPr>
              <w:t>Term Loan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7"/>
              </w:rPr>
              <w:t>February</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2"/>
              </w:rPr>
              <w:t>(17)</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10.50%</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6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7"/>
              </w:rPr>
              <w:t>1, 2028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3,375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1,915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3,374</w:t>
            </w:r>
          </w:p>
        </w:tc>
      </w:tr>
      <w:tr>
        <w:trPr>
          <w:trHeight w:val="117"/>
        </w:trPr>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7"/>
              </w:rPr>
              <w:t>February</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10.50%</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66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7"/>
              </w:rPr>
              <w:t>1, 2028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2,813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2,813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2,813</w:t>
            </w:r>
          </w:p>
        </w:tc>
      </w:tr>
      <w:tr>
        <w:trPr>
          <w:trHeight w:val="117"/>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7"/>
              </w:rPr>
              <w:t>February</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10.50%</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6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7"/>
              </w:rPr>
              <w:t>1, 2028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2,813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2,813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2,813</w:t>
            </w:r>
          </w:p>
        </w:tc>
      </w:tr>
      <w:tr>
        <w:trPr>
          <w:trHeight w:val="117"/>
        </w:trPr>
        <w:tc>
          <w:tcPr>
            <w:tcW w:w="14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Lyrical Foods, Inc. (2)(12)</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Consumer-</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related</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center"/>
              <w:ind w:right="57"/>
              <w:spacing w:after="0" w:line="135" w:lineRule="exact"/>
              <w:rPr>
                <w:sz w:val="20"/>
                <w:szCs w:val="20"/>
                <w:color w:val="auto"/>
              </w:rPr>
            </w:pPr>
            <w:r>
              <w:rPr>
                <w:rFonts w:ascii="Times New Roman" w:cs="Times New Roman" w:eastAsia="Times New Roman" w:hAnsi="Times New Roman"/>
                <w:sz w:val="13"/>
                <w:szCs w:val="13"/>
                <w:color w:val="auto"/>
                <w:w w:val="97"/>
              </w:rPr>
              <w:t>July 1,</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4"/>
              </w:rPr>
              <w:t>Technologies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66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9"/>
              </w:rPr>
              <w:t>2028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2,679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2,771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2,400</w:t>
            </w:r>
          </w:p>
        </w:tc>
      </w:tr>
      <w:tr>
        <w:trPr>
          <w:trHeight w:val="117"/>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6"/>
              </w:rPr>
              <w:t>Term Loan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2"/>
              </w:rPr>
              <w:t>(17)</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6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9"/>
              </w:rPr>
              <w:t>2028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2,679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1,286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2,320</w:t>
            </w:r>
          </w:p>
        </w:tc>
      </w:tr>
      <w:tr>
        <w:trPr>
          <w:trHeight w:val="117"/>
        </w:trPr>
        <w:tc>
          <w:tcPr>
            <w:tcW w:w="14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Apkudo, Inc. (2)(12)</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Software</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11.25%</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66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9"/>
              </w:rPr>
              <w:t>2029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4,908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4,908</w:t>
            </w:r>
          </w:p>
        </w:tc>
      </w:tr>
      <w:tr>
        <w:trPr>
          <w:trHeight w:val="117"/>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11.25%</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6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9"/>
              </w:rPr>
              <w:t>2029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4,908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4,908</w:t>
            </w:r>
          </w:p>
        </w:tc>
      </w:tr>
      <w:tr>
        <w:trPr>
          <w:trHeight w:val="117"/>
        </w:trPr>
        <w:tc>
          <w:tcPr>
            <w:tcW w:w="14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9"/>
              </w:rPr>
              <w:t>BriteCore Holdings, Inc. (2)</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Software</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10.50%</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66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9"/>
              </w:rPr>
              <w:t>2031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10,000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9,831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9,831</w:t>
            </w:r>
          </w:p>
        </w:tc>
      </w:tr>
      <w:tr>
        <w:trPr>
          <w:trHeight w:val="117"/>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10.50%</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6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9"/>
              </w:rPr>
              <w:t>2031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7,500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7,410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7,410</w:t>
            </w:r>
          </w:p>
        </w:tc>
      </w:tr>
      <w:tr>
        <w:trPr>
          <w:trHeight w:val="117"/>
        </w:trPr>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10.50%</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66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9"/>
              </w:rPr>
              <w:t>2031</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2,470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2,470</w:t>
            </w:r>
          </w:p>
        </w:tc>
      </w:tr>
      <w:tr>
        <w:trPr>
          <w:trHeight w:val="117"/>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w w:val="96"/>
              </w:rPr>
              <w:t>Crafty Holdings, Inc. (2)(12)</w:t>
            </w:r>
          </w:p>
        </w:tc>
        <w:tc>
          <w:tcPr>
            <w:tcW w:w="12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auto"/>
              </w:rPr>
              <w:t>Software</w:t>
            </w: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6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9"/>
              </w:rPr>
              <w:t>2029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4,894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4,894</w:t>
            </w:r>
          </w:p>
        </w:tc>
      </w:tr>
      <w:tr>
        <w:trPr>
          <w:trHeight w:val="117"/>
        </w:trPr>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66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9"/>
              </w:rPr>
              <w:t>2029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4,933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4,933</w:t>
            </w:r>
          </w:p>
        </w:tc>
      </w:tr>
      <w:tr>
        <w:trPr>
          <w:trHeight w:val="117"/>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6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9"/>
              </w:rPr>
              <w:t>2029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4,933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4,933</w:t>
            </w:r>
          </w:p>
        </w:tc>
      </w:tr>
      <w:tr>
        <w:trPr>
          <w:trHeight w:val="117"/>
        </w:trPr>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66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9"/>
              </w:rPr>
              <w:t>2029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1,969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1,969</w:t>
            </w:r>
          </w:p>
        </w:tc>
      </w:tr>
      <w:tr>
        <w:trPr>
          <w:trHeight w:val="117"/>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6"/>
              </w:rPr>
              <w:t>Term Loan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Dropoff, Inc. (2)(12)</w:t>
            </w:r>
          </w:p>
        </w:tc>
        <w:tc>
          <w:tcPr>
            <w:tcW w:w="12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auto"/>
              </w:rPr>
              <w:t>Software</w:t>
            </w:r>
          </w:p>
        </w:tc>
        <w:tc>
          <w:tcPr>
            <w:tcW w:w="7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2"/>
              </w:rPr>
              <w:t>(17)</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13.25%</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6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9"/>
              </w:rPr>
              <w:t>2026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7,850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2,450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4,411</w:t>
            </w:r>
          </w:p>
        </w:tc>
      </w:tr>
      <w:tr>
        <w:trPr>
          <w:trHeight w:val="117"/>
        </w:trPr>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13.25%</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66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9"/>
              </w:rPr>
              <w:t>2026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6,804</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6,785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3,813</w:t>
            </w:r>
          </w:p>
        </w:tc>
      </w:tr>
      <w:tr>
        <w:trPr>
          <w:trHeight w:val="117"/>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13.25%</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6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9"/>
              </w:rPr>
              <w:t>2026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6,280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6,263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3,520</w:t>
            </w:r>
          </w:p>
        </w:tc>
      </w:tr>
      <w:tr>
        <w:trPr>
          <w:trHeight w:val="117"/>
        </w:trPr>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13.25%</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66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9"/>
              </w:rPr>
              <w:t>2026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2,617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2,613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1,468</w:t>
            </w:r>
          </w:p>
        </w:tc>
      </w:tr>
      <w:tr>
        <w:trPr>
          <w:trHeight w:val="117"/>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7"/>
              </w:rPr>
              <w:t>February</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HappyCo, Inc. (2)(12)</w:t>
            </w:r>
          </w:p>
        </w:tc>
        <w:tc>
          <w:tcPr>
            <w:tcW w:w="12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auto"/>
              </w:rPr>
              <w:t>Software</w:t>
            </w: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11.13%</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6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7"/>
              </w:rPr>
              <w:t>1, 2030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2,969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2,969</w:t>
            </w:r>
          </w:p>
        </w:tc>
      </w:tr>
      <w:tr>
        <w:trPr>
          <w:trHeight w:val="117"/>
        </w:trPr>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7"/>
              </w:rPr>
              <w:t>February</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11.13%</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66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7"/>
              </w:rPr>
              <w:t>1, 2030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2,969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2,969</w:t>
            </w:r>
          </w:p>
        </w:tc>
      </w:tr>
      <w:tr>
        <w:trPr>
          <w:trHeight w:val="117"/>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7"/>
              </w:rPr>
              <w:t>February</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11.13%</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66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auto"/>
                <w:w w:val="97"/>
              </w:rPr>
              <w:t>1, 2030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2,000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1,978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1,978</w:t>
            </w:r>
          </w:p>
        </w:tc>
      </w:tr>
      <w:tr>
        <w:trPr>
          <w:trHeight w:val="117"/>
        </w:trPr>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jc w:val="center"/>
              <w:ind w:right="57"/>
              <w:spacing w:after="0" w:line="117" w:lineRule="exact"/>
              <w:rPr>
                <w:sz w:val="20"/>
                <w:szCs w:val="20"/>
                <w:color w:val="auto"/>
              </w:rPr>
            </w:pPr>
            <w:r>
              <w:rPr>
                <w:rFonts w:ascii="Times New Roman" w:cs="Times New Roman" w:eastAsia="Times New Roman" w:hAnsi="Times New Roman"/>
                <w:sz w:val="13"/>
                <w:szCs w:val="13"/>
                <w:color w:val="auto"/>
                <w:w w:val="97"/>
              </w:rPr>
              <w:t>February</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11.13%</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66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3"/>
                <w:szCs w:val="13"/>
                <w:color w:val="auto"/>
                <w:w w:val="97"/>
              </w:rPr>
              <w:t>1, 2030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2,000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1,975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1,975</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Type of</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Cash Rate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8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Investments</w:t>
            </w:r>
          </w:p>
        </w:tc>
        <w:tc>
          <w:tcPr>
            <w:tcW w:w="7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5"/>
        </w:trPr>
        <w:tc>
          <w:tcPr>
            <w:tcW w:w="1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2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7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rPr>
              <w:t>(7)</w:t>
            </w:r>
          </w:p>
        </w:tc>
        <w:tc>
          <w:tcPr>
            <w:tcW w:w="78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(4)</w:t>
            </w:r>
          </w:p>
        </w:tc>
        <w:tc>
          <w:tcPr>
            <w:tcW w:w="220" w:type="dxa"/>
            <w:vAlign w:val="bottom"/>
          </w:tcPr>
          <w:p>
            <w:pPr>
              <w:spacing w:after="0"/>
              <w:rPr>
                <w:sz w:val="13"/>
                <w:szCs w:val="13"/>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Floor</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Ceiling</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ETP (10)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(6)(9)</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3"/>
                <w:szCs w:val="13"/>
                <w:color w:val="auto"/>
              </w:rPr>
            </w:pPr>
          </w:p>
        </w:tc>
      </w:tr>
      <w:tr>
        <w:trPr>
          <w:trHeight w:val="110"/>
        </w:trPr>
        <w:tc>
          <w:tcPr>
            <w:tcW w:w="15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center"/>
              <w:spacing w:after="0" w:line="110" w:lineRule="exact"/>
              <w:rPr>
                <w:sz w:val="20"/>
                <w:szCs w:val="20"/>
                <w:color w:val="auto"/>
              </w:rPr>
            </w:pPr>
            <w:r>
              <w:rPr>
                <w:rFonts w:ascii="Times New Roman" w:cs="Times New Roman" w:eastAsia="Times New Roman" w:hAnsi="Times New Roman"/>
                <w:sz w:val="12"/>
                <w:szCs w:val="12"/>
                <w:color w:val="auto"/>
              </w:rPr>
              <w:t>January 1,</w:t>
            </w: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Kodiak Robotics, Inc. (2)(12)</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3"/>
              </w:rPr>
              <w:t>Software</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15,000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14,599</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14,599</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7,500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7,300</w:t>
            </w:r>
          </w:p>
        </w:tc>
        <w:tc>
          <w:tcPr>
            <w:tcW w:w="2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7,300</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January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10.25%</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7,500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7,300</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7,300</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MasteryPrep, LLC (2)(12)</w:t>
            </w:r>
          </w:p>
        </w:tc>
        <w:tc>
          <w:tcPr>
            <w:tcW w:w="12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3"/>
              </w:rPr>
              <w:t>Software</w:t>
            </w: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11.50%</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7,500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7,383</w:t>
            </w:r>
          </w:p>
        </w:tc>
        <w:tc>
          <w:tcPr>
            <w:tcW w:w="2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7,383</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11.50%</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7,500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7,433</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7,433</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Mirantis, Inc. (2)(12)</w:t>
            </w:r>
          </w:p>
        </w:tc>
        <w:tc>
          <w:tcPr>
            <w:tcW w:w="12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3"/>
              </w:rPr>
              <w:t>Software</w:t>
            </w: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4,583</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4,541</w:t>
            </w:r>
          </w:p>
        </w:tc>
        <w:tc>
          <w:tcPr>
            <w:tcW w:w="2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4,541</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4,583</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4,541</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4,541</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4,583</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4,541</w:t>
            </w:r>
          </w:p>
        </w:tc>
        <w:tc>
          <w:tcPr>
            <w:tcW w:w="2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4,541</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4,583</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4,541</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4,541</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December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Samba TV, Inc. (2)(12)</w:t>
            </w:r>
          </w:p>
        </w:tc>
        <w:tc>
          <w:tcPr>
            <w:tcW w:w="12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3"/>
              </w:rPr>
              <w:t>Software</w:t>
            </w: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10.25(11)</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10,014</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9,792</w:t>
            </w:r>
          </w:p>
        </w:tc>
        <w:tc>
          <w:tcPr>
            <w:tcW w:w="2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9,792</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December</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10.25(11)</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7,510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7,400</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7,400</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December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10.25(11)</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1, 2030</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5,007</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4,934</w:t>
            </w:r>
          </w:p>
        </w:tc>
        <w:tc>
          <w:tcPr>
            <w:tcW w:w="2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4,934</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0" w:type="dxa"/>
            <w:vAlign w:val="bottom"/>
            <w:gridSpan w:val="3"/>
            <w:shd w:val="clear" w:color="auto" w:fill="CCEEFF"/>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3"/>
              </w:rPr>
              <w:t>December</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10.25(11)</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1, 2030</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2,503</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2,467</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2,467</w:t>
            </w:r>
          </w:p>
        </w:tc>
      </w:tr>
      <w:tr>
        <w:trPr>
          <w:trHeight w:val="117"/>
        </w:trPr>
        <w:tc>
          <w:tcPr>
            <w:tcW w:w="15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Supply Network Visibility</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Holdings LLC (2)(12)</w:t>
            </w:r>
          </w:p>
        </w:tc>
        <w:tc>
          <w:tcPr>
            <w:tcW w:w="12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3"/>
              </w:rPr>
              <w:t>Software</w:t>
            </w: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2,435</w:t>
            </w:r>
          </w:p>
        </w:tc>
        <w:tc>
          <w:tcPr>
            <w:tcW w:w="2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2,280</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3,500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3,495</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3,273</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2,496</w:t>
            </w:r>
          </w:p>
        </w:tc>
        <w:tc>
          <w:tcPr>
            <w:tcW w:w="2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2,338</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1,500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1,498</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1,403</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4,988</w:t>
            </w:r>
          </w:p>
        </w:tc>
        <w:tc>
          <w:tcPr>
            <w:tcW w:w="2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4,671</w:t>
            </w:r>
          </w:p>
        </w:tc>
      </w:tr>
      <w:tr>
        <w:trPr>
          <w:trHeight w:val="117"/>
        </w:trPr>
        <w:tc>
          <w:tcPr>
            <w:tcW w:w="15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Ursa Space Systems, Inc. (2)</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November</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3"/>
              </w:rPr>
              <w:t>Software</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2,460</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2,460</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November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2,460</w:t>
            </w:r>
          </w:p>
        </w:tc>
        <w:tc>
          <w:tcPr>
            <w:tcW w:w="2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2,460</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November</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2,445</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2,445</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November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12.00%</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2,445</w:t>
            </w:r>
          </w:p>
        </w:tc>
        <w:tc>
          <w:tcPr>
            <w:tcW w:w="2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2,445</w:t>
            </w:r>
          </w:p>
        </w:tc>
      </w:tr>
      <w:tr>
        <w:trPr>
          <w:trHeight w:val="117"/>
        </w:trPr>
        <w:tc>
          <w:tcPr>
            <w:tcW w:w="15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Viken Detection Corporation</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(2)(12)</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3"/>
              </w:rPr>
              <w:t>Software</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2,833</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2,814</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2,814</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1,417</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1,407</w:t>
            </w:r>
          </w:p>
        </w:tc>
        <w:tc>
          <w:tcPr>
            <w:tcW w:w="2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1,407</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2"/>
              </w:rPr>
              <w:t>June 1,</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11.75%</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1,417</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1,407</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1,407</w:t>
            </w:r>
          </w:p>
        </w:tc>
      </w:tr>
      <w:tr>
        <w:trPr>
          <w:trHeight w:val="128"/>
        </w:trPr>
        <w:tc>
          <w:tcPr>
            <w:tcW w:w="3000" w:type="dxa"/>
            <w:vAlign w:val="bottom"/>
            <w:gridSpan w:val="5"/>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Debt Investments — Technology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205,442</w:t>
            </w: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201,718</w:t>
            </w:r>
          </w:p>
        </w:tc>
        <w:tc>
          <w:tcPr>
            <w:tcW w:w="100" w:type="dxa"/>
            <w:vAlign w:val="bottom"/>
          </w:tcPr>
          <w:p>
            <w:pPr>
              <w:spacing w:after="0"/>
              <w:rPr>
                <w:sz w:val="11"/>
                <w:szCs w:val="1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Type of</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8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Cash Rate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Investments</w:t>
            </w:r>
          </w:p>
        </w:tc>
        <w:tc>
          <w:tcPr>
            <w:tcW w:w="1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5"/>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(7)</w:t>
            </w:r>
          </w:p>
        </w:tc>
        <w:tc>
          <w:tcPr>
            <w:tcW w:w="120" w:type="dxa"/>
            <w:vAlign w:val="bottom"/>
          </w:tcPr>
          <w:p>
            <w:pPr>
              <w:spacing w:after="0"/>
              <w:rPr>
                <w:sz w:val="13"/>
                <w:szCs w:val="13"/>
                <w:color w:val="auto"/>
              </w:rPr>
            </w:pPr>
          </w:p>
        </w:tc>
        <w:tc>
          <w:tcPr>
            <w:tcW w:w="68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(4)</w:t>
            </w:r>
          </w:p>
        </w:tc>
        <w:tc>
          <w:tcPr>
            <w:tcW w:w="120" w:type="dxa"/>
            <w:vAlign w:val="bottom"/>
          </w:tcPr>
          <w:p>
            <w:pPr>
              <w:spacing w:after="0"/>
              <w:rPr>
                <w:sz w:val="13"/>
                <w:szCs w:val="13"/>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Floor</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Ceiling</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ETP (10)</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(6)(9)</w:t>
            </w:r>
          </w:p>
        </w:tc>
        <w:tc>
          <w:tcPr>
            <w:tcW w:w="100" w:type="dxa"/>
            <w:vAlign w:val="bottom"/>
          </w:tcPr>
          <w:p>
            <w:pPr>
              <w:spacing w:after="0"/>
              <w:rPr>
                <w:sz w:val="13"/>
                <w:szCs w:val="13"/>
                <w:color w:val="auto"/>
              </w:rPr>
            </w:pPr>
          </w:p>
        </w:tc>
        <w:tc>
          <w:tcPr>
            <w:tcW w:w="78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3"/>
                <w:szCs w:val="13"/>
                <w:color w:val="auto"/>
              </w:rPr>
            </w:pPr>
          </w:p>
        </w:tc>
      </w:tr>
      <w:tr>
        <w:trPr>
          <w:trHeight w:val="108"/>
        </w:trPr>
        <w:tc>
          <w:tcPr>
            <w:tcW w:w="158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Non-Affiliate Debt</w:t>
            </w:r>
          </w:p>
        </w:tc>
        <w:tc>
          <w:tcPr>
            <w:tcW w:w="1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Investments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Healthcare</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information and services </w:t>
            </w: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5"/>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25.4% (8)</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2"/>
              </w:rPr>
              <w:t>Term Loan</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BrightInsight, Inc. (2)(12)</w:t>
            </w: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Software</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5,500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2,905</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5,105</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2"/>
              </w:rPr>
              <w:t>Term Loan</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6,417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6,398</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5,939</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2"/>
              </w:rPr>
              <w:t>Term Loan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3,208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3,199</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2,969</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2"/>
              </w:rPr>
              <w:t>Term Loan</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3,208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3,199</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2,969</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2"/>
              </w:rPr>
              <w:t>Term Loan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2,750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2,731</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2,535</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2"/>
              </w:rPr>
              <w:t>Term Loan</w:t>
            </w: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2,250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1,277</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2,089</w:t>
            </w:r>
          </w:p>
        </w:tc>
      </w:tr>
      <w:tr>
        <w:trPr>
          <w:trHeight w:val="117"/>
        </w:trPr>
        <w:tc>
          <w:tcPr>
            <w:tcW w:w="17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Elligo Health Research, Inc.</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(2)(12)</w:t>
            </w:r>
          </w:p>
        </w:tc>
        <w:tc>
          <w:tcPr>
            <w:tcW w:w="1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Software</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2"/>
              </w:rPr>
              <w:t>Term Loan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10,000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9,936</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9,936</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2"/>
              </w:rPr>
              <w:t>Term Loan</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4,968</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4,968</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2"/>
              </w:rPr>
              <w:t>Term Loan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4,968</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4,968</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2"/>
              </w:rPr>
              <w:t>Term Loan</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4,968</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4,968</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Other</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GT Medical Technologies, Inc.</w:t>
            </w:r>
          </w:p>
        </w:tc>
        <w:tc>
          <w:tcPr>
            <w:tcW w:w="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Healthcare</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8"/>
              </w:rPr>
              <w:t>October 1,</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(2)(12)</w:t>
            </w:r>
          </w:p>
        </w:tc>
        <w:tc>
          <w:tcPr>
            <w:tcW w:w="1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Services</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2"/>
              </w:rPr>
              <w:t>Term Loan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11.25%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3,750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3,604</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3,604</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2"/>
              </w:rPr>
              <w:t>Term Loan</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11.25%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3,750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3,705</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3,705</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8"/>
              </w:rPr>
              <w:t>October 1,</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2"/>
              </w:rPr>
              <w:t>Term Loan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11.25%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7,500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7,409</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7,409</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Other</w:t>
            </w: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Hometeam Technologies, Inc.</w:t>
            </w:r>
          </w:p>
        </w:tc>
        <w:tc>
          <w:tcPr>
            <w:tcW w:w="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Healthcare</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8"/>
              </w:rPr>
              <w:t>August 1,</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(2)(12)(13)</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Services</w:t>
            </w:r>
          </w:p>
        </w:tc>
        <w:tc>
          <w:tcPr>
            <w:tcW w:w="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2"/>
              </w:rPr>
              <w:t>Term Loan</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11.25%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4,821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4,781</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3,967</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2"/>
              </w:rPr>
              <w:t>Term Loan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11.25%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4,821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4,781</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3,967</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2"/>
              </w:rPr>
              <w:t>Term Loan</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11.25%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4,821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4,682</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3,883</w:t>
            </w:r>
          </w:p>
        </w:tc>
      </w:tr>
      <w:tr>
        <w:trPr>
          <w:trHeight w:val="117"/>
        </w:trPr>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2"/>
              </w:rPr>
              <w:t>Term Loan</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11.25%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4,821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4,781</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3,967</w:t>
            </w:r>
          </w:p>
        </w:tc>
      </w:tr>
      <w:tr>
        <w:trPr>
          <w:trHeight w:val="117"/>
        </w:trPr>
        <w:tc>
          <w:tcPr>
            <w:tcW w:w="1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8"/>
              </w:rPr>
              <w:t>August 1,</w:t>
            </w: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2"/>
              </w:rPr>
              <w:t>Term Loan</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Prime</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11.25%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4,821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4,781</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3,967</w:t>
            </w:r>
          </w:p>
        </w:tc>
      </w:tr>
      <w:tr>
        <w:trPr>
          <w:trHeight w:val="117"/>
        </w:trPr>
        <w:tc>
          <w:tcPr>
            <w:tcW w:w="3140" w:type="dxa"/>
            <w:vAlign w:val="bottom"/>
            <w:gridSpan w:val="6"/>
          </w:tcPr>
          <w:p>
            <w:pPr>
              <w:spacing w:after="0" w:line="117" w:lineRule="exact"/>
              <w:rPr>
                <w:sz w:val="20"/>
                <w:szCs w:val="20"/>
                <w:color w:val="auto"/>
              </w:rPr>
            </w:pPr>
            <w:r>
              <w:rPr>
                <w:rFonts w:ascii="Times New Roman" w:cs="Times New Roman" w:eastAsia="Times New Roman" w:hAnsi="Times New Roman"/>
                <w:sz w:val="13"/>
                <w:szCs w:val="13"/>
                <w:color w:val="auto"/>
              </w:rPr>
              <w:t>Total Non-Affiliate Debt Investments — Healthcare</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information and services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83,073</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80,915</w:t>
            </w:r>
          </w:p>
        </w:tc>
      </w:tr>
      <w:tr>
        <w:trPr>
          <w:trHeight w:val="128"/>
        </w:trPr>
        <w:tc>
          <w:tcPr>
            <w:tcW w:w="2400" w:type="dxa"/>
            <w:vAlign w:val="bottom"/>
            <w:tcBorders>
              <w:top w:val="single" w:sz="8" w:color="CCEEFF"/>
            </w:tcBorders>
            <w:gridSpan w:val="4"/>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 Affiliate Debt Investments</w:t>
            </w:r>
          </w:p>
        </w:tc>
        <w:tc>
          <w:tcPr>
            <w:tcW w:w="6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567,690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558,778</w:t>
            </w:r>
          </w:p>
        </w:tc>
        <w:tc>
          <w:tcPr>
            <w:tcW w:w="100" w:type="dxa"/>
            <w:vAlign w:val="bottom"/>
            <w:tcBorders>
              <w:top w:val="single" w:sz="8" w:color="CCEEFF"/>
            </w:tcBorders>
            <w:shd w:val="clear" w:color="auto" w:fill="CCEEFF"/>
          </w:tcPr>
          <w:p>
            <w:pPr>
              <w:spacing w:after="0"/>
              <w:rPr>
                <w:sz w:val="11"/>
                <w:szCs w:val="1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Cost of</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07"/>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(1)(3)</w:t>
            </w:r>
          </w:p>
        </w:tc>
        <w:tc>
          <w:tcPr>
            <w:tcW w:w="120" w:type="dxa"/>
            <w:vAlign w:val="bottom"/>
          </w:tcPr>
          <w:p>
            <w:pPr>
              <w:spacing w:after="0"/>
              <w:rPr>
                <w:sz w:val="9"/>
                <w:szCs w:val="9"/>
                <w:color w:val="auto"/>
              </w:rPr>
            </w:pPr>
          </w:p>
        </w:tc>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1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9"/>
                <w:szCs w:val="9"/>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 (6)(9)</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Value (9)</w:t>
            </w:r>
          </w:p>
        </w:tc>
        <w:tc>
          <w:tcPr>
            <w:tcW w:w="0" w:type="dxa"/>
            <w:vAlign w:val="bottom"/>
          </w:tcPr>
          <w:p>
            <w:pPr>
              <w:spacing w:after="0"/>
              <w:rPr>
                <w:sz w:val="1"/>
                <w:szCs w:val="1"/>
                <w:color w:val="auto"/>
              </w:rPr>
            </w:pPr>
          </w:p>
        </w:tc>
      </w:tr>
      <w:tr>
        <w:trPr>
          <w:trHeight w:val="173"/>
        </w:trPr>
        <w:tc>
          <w:tcPr>
            <w:tcW w:w="3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48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Non-Affiliate Warrant Investments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5.2% (8)</w:t>
            </w:r>
          </w:p>
        </w:tc>
        <w:tc>
          <w:tcPr>
            <w:tcW w:w="120" w:type="dxa"/>
            <w:vAlign w:val="bottom"/>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Non-Affiliate Warrants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Life Science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2.2% (8)</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Avalo Therapeutics, Inc. (2)(5)(12)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311</w:t>
            </w: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BioVaxys Technology Corp. (5)(12)</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tcPr>
          <w:p>
            <w:pPr>
              <w:spacing w:after="0"/>
              <w:rPr>
                <w:sz w:val="10"/>
                <w:szCs w:val="10"/>
                <w:color w:val="auto"/>
              </w:rPr>
            </w:pPr>
          </w:p>
        </w:tc>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Castle Creek Biosciences, Inc. (2)(12)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13,821</w:t>
            </w:r>
          </w:p>
        </w:tc>
        <w:tc>
          <w:tcPr>
            <w:tcW w:w="1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Emalex Biosciences, Inc. (2)(12)</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tcPr>
          <w:p>
            <w:pPr>
              <w:spacing w:after="0"/>
              <w:rPr>
                <w:sz w:val="10"/>
                <w:szCs w:val="10"/>
                <w:color w:val="auto"/>
              </w:rPr>
            </w:pPr>
          </w:p>
        </w:tc>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110,402</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Imunon, Inc. (2)(5)(12)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19,671</w:t>
            </w:r>
          </w:p>
        </w:tc>
        <w:tc>
          <w:tcPr>
            <w:tcW w:w="1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KSQ Therapeutics, Inc. (2)(12)</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tcPr>
          <w:p>
            <w:pPr>
              <w:spacing w:after="0"/>
              <w:rPr>
                <w:sz w:val="10"/>
                <w:szCs w:val="10"/>
                <w:color w:val="auto"/>
              </w:rPr>
            </w:pPr>
          </w:p>
        </w:tc>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134,614</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Mustang Bio, Inc. (2)(5)(12)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568</w:t>
            </w:r>
          </w:p>
        </w:tc>
        <w:tc>
          <w:tcPr>
            <w:tcW w:w="1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Native Microbials, Inc (2)(12)</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tcPr>
          <w:p>
            <w:pPr>
              <w:spacing w:after="0"/>
              <w:rPr>
                <w:sz w:val="10"/>
                <w:szCs w:val="10"/>
                <w:color w:val="auto"/>
              </w:rPr>
            </w:pPr>
          </w:p>
        </w:tc>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178,631</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PDS Biotechnology Corporation (2)(5)(12)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381,625</w:t>
            </w:r>
          </w:p>
        </w:tc>
        <w:tc>
          <w:tcPr>
            <w:tcW w:w="1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Provivi, Inc. (2)(12)</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tcPr>
          <w:p>
            <w:pPr>
              <w:spacing w:after="0"/>
              <w:rPr>
                <w:sz w:val="10"/>
                <w:szCs w:val="10"/>
                <w:color w:val="auto"/>
              </w:rPr>
            </w:pPr>
          </w:p>
        </w:tc>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175,098</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Provivi, Inc. (2)(12)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709,980</w:t>
            </w:r>
          </w:p>
        </w:tc>
        <w:tc>
          <w:tcPr>
            <w:tcW w:w="1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Stealth Biotherapeutics Inc. (2)(12)</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tcPr>
          <w:p>
            <w:pPr>
              <w:spacing w:after="0"/>
              <w:rPr>
                <w:sz w:val="10"/>
                <w:szCs w:val="10"/>
                <w:color w:val="auto"/>
              </w:rPr>
            </w:pPr>
          </w:p>
        </w:tc>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454,544</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Xeris Pharmaceuticals, Inc. (2)(5)(12)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Biotechnology</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126,000</w:t>
            </w:r>
          </w:p>
        </w:tc>
        <w:tc>
          <w:tcPr>
            <w:tcW w:w="1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Aerin Medical, Inc. (2)(12)</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Medical Device</w:t>
            </w:r>
          </w:p>
        </w:tc>
        <w:tc>
          <w:tcPr>
            <w:tcW w:w="120" w:type="dxa"/>
            <w:vAlign w:val="bottom"/>
          </w:tcPr>
          <w:p>
            <w:pPr>
              <w:spacing w:after="0"/>
              <w:rPr>
                <w:sz w:val="10"/>
                <w:szCs w:val="10"/>
                <w:color w:val="auto"/>
              </w:rPr>
            </w:pPr>
          </w:p>
        </w:tc>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1,818,183</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1,333</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Canary Medical Inc. (2)(12)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Medical Device</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12,153</w:t>
            </w:r>
          </w:p>
        </w:tc>
        <w:tc>
          <w:tcPr>
            <w:tcW w:w="1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Ceribell, Inc. (2)(5)(12)</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Medical Device</w:t>
            </w:r>
          </w:p>
        </w:tc>
        <w:tc>
          <w:tcPr>
            <w:tcW w:w="120" w:type="dxa"/>
            <w:vAlign w:val="bottom"/>
          </w:tcPr>
          <w:p>
            <w:pPr>
              <w:spacing w:after="0"/>
              <w:rPr>
                <w:sz w:val="10"/>
                <w:szCs w:val="10"/>
                <w:color w:val="auto"/>
              </w:rPr>
            </w:pPr>
          </w:p>
        </w:tc>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89,903</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1,205</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Cognoa, Inc. (2)(12)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Medical Device</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61,170</w:t>
            </w:r>
          </w:p>
        </w:tc>
        <w:tc>
          <w:tcPr>
            <w:tcW w:w="1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Cognoa, Inc. (2)(12)</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Medical Device</w:t>
            </w:r>
          </w:p>
        </w:tc>
        <w:tc>
          <w:tcPr>
            <w:tcW w:w="120" w:type="dxa"/>
            <w:vAlign w:val="bottom"/>
          </w:tcPr>
          <w:p>
            <w:pPr>
              <w:spacing w:after="0"/>
              <w:rPr>
                <w:sz w:val="10"/>
                <w:szCs w:val="10"/>
                <w:color w:val="auto"/>
              </w:rPr>
            </w:pPr>
          </w:p>
        </w:tc>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7,152,669</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Conventus Orthopaedics, Inc. (2)(12)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Medical Device</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13,203,395</w:t>
            </w:r>
          </w:p>
        </w:tc>
        <w:tc>
          <w:tcPr>
            <w:tcW w:w="1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CSA Medical, Inc. (2)(12)</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Medical Device</w:t>
            </w:r>
          </w:p>
        </w:tc>
        <w:tc>
          <w:tcPr>
            <w:tcW w:w="120" w:type="dxa"/>
            <w:vAlign w:val="bottom"/>
          </w:tcPr>
          <w:p>
            <w:pPr>
              <w:spacing w:after="0"/>
              <w:rPr>
                <w:sz w:val="10"/>
                <w:szCs w:val="10"/>
                <w:color w:val="auto"/>
              </w:rPr>
            </w:pPr>
          </w:p>
        </w:tc>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4,939,813</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CVRx, Inc. (2)(5)(12)</w:t>
            </w:r>
          </w:p>
        </w:tc>
        <w:tc>
          <w:tcPr>
            <w:tcW w:w="1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Medical Device</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w:t>
            </w:r>
          </w:p>
        </w:tc>
        <w:tc>
          <w:tcPr>
            <w:tcW w:w="180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47,410</w:t>
            </w:r>
          </w:p>
        </w:tc>
        <w:tc>
          <w:tcPr>
            <w:tcW w:w="1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1"/>
        </w:trPr>
        <w:tc>
          <w:tcPr>
            <w:tcW w:w="3280" w:type="dxa"/>
            <w:vAlign w:val="bottom"/>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Infobionic, Inc. (2)(12)</w:t>
            </w: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Medical Device</w:t>
            </w:r>
          </w:p>
        </w:tc>
        <w:tc>
          <w:tcPr>
            <w:tcW w:w="120" w:type="dxa"/>
            <w:vAlign w:val="bottom"/>
          </w:tcPr>
          <w:p>
            <w:pPr>
              <w:spacing w:after="0"/>
              <w:rPr>
                <w:sz w:val="10"/>
                <w:szCs w:val="10"/>
                <w:color w:val="auto"/>
              </w:rPr>
            </w:pPr>
          </w:p>
        </w:tc>
        <w:tc>
          <w:tcPr>
            <w:tcW w:w="13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Preferred Stock</w:t>
            </w:r>
          </w:p>
        </w:tc>
        <w:tc>
          <w:tcPr>
            <w:tcW w:w="18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8,488,456</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188"/>
        </w:trPr>
        <w:tc>
          <w:tcPr>
            <w:tcW w:w="328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Warrant</w:t>
            </w:r>
          </w:p>
        </w:tc>
        <w:tc>
          <w:tcPr>
            <w:tcW w:w="18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Cost of</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55"/>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20" w:type="dxa"/>
            <w:vAlign w:val="bottom"/>
          </w:tcPr>
          <w:p>
            <w:pPr>
              <w:spacing w:after="0"/>
              <w:rPr>
                <w:sz w:val="13"/>
                <w:szCs w:val="13"/>
                <w:color w:val="auto"/>
              </w:rPr>
            </w:pPr>
          </w:p>
        </w:tc>
        <w:tc>
          <w:tcPr>
            <w:tcW w:w="13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120" w:type="dxa"/>
            <w:vAlign w:val="bottom"/>
          </w:tcPr>
          <w:p>
            <w:pPr>
              <w:spacing w:after="0"/>
              <w:rPr>
                <w:sz w:val="13"/>
                <w:szCs w:val="13"/>
                <w:color w:val="auto"/>
              </w:rPr>
            </w:pPr>
          </w:p>
        </w:tc>
        <w:tc>
          <w:tcPr>
            <w:tcW w:w="1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w w:val="99"/>
              </w:rPr>
              <w:t>Type of Investment (7)</w:t>
            </w:r>
          </w:p>
        </w:tc>
        <w:tc>
          <w:tcPr>
            <w:tcW w:w="120" w:type="dxa"/>
            <w:vAlign w:val="bottom"/>
          </w:tcPr>
          <w:p>
            <w:pPr>
              <w:spacing w:after="0"/>
              <w:rPr>
                <w:sz w:val="13"/>
                <w:szCs w:val="13"/>
                <w:color w:val="auto"/>
              </w:rPr>
            </w:pPr>
          </w:p>
        </w:tc>
        <w:tc>
          <w:tcPr>
            <w:tcW w:w="14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200" w:type="dxa"/>
            <w:vAlign w:val="bottom"/>
          </w:tcPr>
          <w:p>
            <w:pPr>
              <w:spacing w:after="0"/>
              <w:rPr>
                <w:sz w:val="13"/>
                <w:szCs w:val="13"/>
                <w:color w:val="auto"/>
              </w:rPr>
            </w:pPr>
          </w:p>
        </w:tc>
        <w:tc>
          <w:tcPr>
            <w:tcW w:w="14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Investments (6)(9)</w:t>
            </w:r>
          </w:p>
        </w:tc>
        <w:tc>
          <w:tcPr>
            <w:tcW w:w="200" w:type="dxa"/>
            <w:vAlign w:val="bottom"/>
          </w:tcPr>
          <w:p>
            <w:pPr>
              <w:spacing w:after="0"/>
              <w:rPr>
                <w:sz w:val="13"/>
                <w:szCs w:val="13"/>
                <w:color w:val="auto"/>
              </w:rPr>
            </w:pPr>
          </w:p>
        </w:tc>
        <w:tc>
          <w:tcPr>
            <w:tcW w:w="14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Value (9)</w:t>
            </w:r>
          </w:p>
        </w:tc>
        <w:tc>
          <w:tcPr>
            <w:tcW w:w="100" w:type="dxa"/>
            <w:vAlign w:val="bottom"/>
          </w:tcPr>
          <w:p>
            <w:pPr>
              <w:spacing w:after="0"/>
              <w:rPr>
                <w:sz w:val="13"/>
                <w:szCs w:val="13"/>
                <w:color w:val="auto"/>
              </w:rPr>
            </w:pPr>
          </w:p>
        </w:tc>
      </w:tr>
      <w:tr>
        <w:trPr>
          <w:trHeight w:val="129"/>
        </w:trPr>
        <w:tc>
          <w:tcPr>
            <w:tcW w:w="3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Magnolia Medical Technologies, Inc. (2)(12)</w:t>
            </w:r>
          </w:p>
        </w:tc>
        <w:tc>
          <w:tcPr>
            <w:tcW w:w="146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Medical Device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900,043</w:t>
            </w:r>
          </w:p>
        </w:tc>
        <w:tc>
          <w:tcPr>
            <w:tcW w:w="166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194</w:t>
            </w:r>
          </w:p>
        </w:tc>
        <w:tc>
          <w:tcPr>
            <w:tcW w:w="156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321</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Meditrina, Inc. (12)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233,993</w:t>
            </w:r>
          </w:p>
        </w:tc>
        <w:tc>
          <w:tcPr>
            <w:tcW w:w="1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1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95</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Mobia Medical, Inc. fka Microtransponder,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103,172</w:t>
            </w:r>
          </w:p>
        </w:tc>
        <w:tc>
          <w:tcPr>
            <w:tcW w:w="1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47</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Onkos Surgical,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443,674</w:t>
            </w:r>
          </w:p>
        </w:tc>
        <w:tc>
          <w:tcPr>
            <w:tcW w:w="1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192</w:t>
            </w:r>
          </w:p>
        </w:tc>
        <w:tc>
          <w:tcPr>
            <w:tcW w:w="1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200</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Scientia Vascular,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Common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24,000</w:t>
            </w:r>
          </w:p>
        </w:tc>
        <w:tc>
          <w:tcPr>
            <w:tcW w:w="1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1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235</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Scientia Vascular,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49,157</w:t>
            </w:r>
          </w:p>
        </w:tc>
        <w:tc>
          <w:tcPr>
            <w:tcW w:w="1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206</w:t>
            </w:r>
          </w:p>
        </w:tc>
        <w:tc>
          <w:tcPr>
            <w:tcW w:w="1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481</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Sonex Health,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2,637,133</w:t>
            </w:r>
          </w:p>
        </w:tc>
        <w:tc>
          <w:tcPr>
            <w:tcW w:w="1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275</w:t>
            </w:r>
          </w:p>
        </w:tc>
        <w:tc>
          <w:tcPr>
            <w:tcW w:w="1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199</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Spineology,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27,139</w:t>
            </w:r>
          </w:p>
        </w:tc>
        <w:tc>
          <w:tcPr>
            <w:tcW w:w="1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1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41</w:t>
            </w:r>
          </w:p>
        </w:tc>
      </w:tr>
      <w:tr>
        <w:trPr>
          <w:trHeight w:val="148"/>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Spineology, Inc. (2)(12)</w:t>
            </w:r>
          </w:p>
        </w:tc>
        <w:tc>
          <w:tcPr>
            <w:tcW w:w="1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Medical Device</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45,101</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69</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VERO Biotech LLC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3,701</w:t>
            </w:r>
          </w:p>
        </w:tc>
        <w:tc>
          <w:tcPr>
            <w:tcW w:w="1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379</w:t>
            </w:r>
          </w:p>
        </w:tc>
        <w:tc>
          <w:tcPr>
            <w:tcW w:w="1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111</w:t>
            </w:r>
          </w:p>
        </w:tc>
      </w:tr>
      <w:tr>
        <w:trPr>
          <w:trHeight w:val="128"/>
        </w:trPr>
        <w:tc>
          <w:tcPr>
            <w:tcW w:w="32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Warrants — Life Science</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3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3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5,346</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6,964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28"/>
        </w:trPr>
        <w:tc>
          <w:tcPr>
            <w:tcW w:w="32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Non-Affiliate Warrants — Sustainability — 0.0% (8)</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SparkCharge,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Alternative Energy</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2,264,151</w:t>
            </w:r>
          </w:p>
        </w:tc>
        <w:tc>
          <w:tcPr>
            <w:tcW w:w="1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1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36</w:t>
            </w:r>
          </w:p>
        </w:tc>
      </w:tr>
      <w:tr>
        <w:trPr>
          <w:trHeight w:val="148"/>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Pivot Bio, Inc. (2)(12)</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Energy Efficiency</w:t>
            </w:r>
          </w:p>
        </w:tc>
        <w:tc>
          <w:tcPr>
            <w:tcW w:w="120" w:type="dxa"/>
            <w:vAlign w:val="bottom"/>
          </w:tcPr>
          <w:p>
            <w:pPr>
              <w:spacing w:after="0"/>
              <w:rPr>
                <w:sz w:val="12"/>
                <w:szCs w:val="12"/>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210,418</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New Aerofarms, Inc. assignee of Aerofarms,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Sustainability</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800,000</w:t>
            </w:r>
          </w:p>
        </w:tc>
        <w:tc>
          <w:tcPr>
            <w:tcW w:w="1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30</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LiquiGlide,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Sustainability</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122,717</w:t>
            </w:r>
          </w:p>
        </w:tc>
        <w:tc>
          <w:tcPr>
            <w:tcW w:w="1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1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47</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Temperpack Technologies,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Sustainability</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66,605</w:t>
            </w:r>
          </w:p>
        </w:tc>
        <w:tc>
          <w:tcPr>
            <w:tcW w:w="1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185</w:t>
            </w:r>
          </w:p>
        </w:tc>
        <w:tc>
          <w:tcPr>
            <w:tcW w:w="1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28</w:t>
            </w:r>
          </w:p>
        </w:tc>
      </w:tr>
      <w:tr>
        <w:trPr>
          <w:trHeight w:val="128"/>
        </w:trPr>
        <w:tc>
          <w:tcPr>
            <w:tcW w:w="32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Warrants — Sustainability</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385</w:t>
            </w:r>
          </w:p>
        </w:tc>
        <w:tc>
          <w:tcPr>
            <w:tcW w:w="200" w:type="dxa"/>
            <w:vAlign w:val="bottom"/>
          </w:tcPr>
          <w:p>
            <w:pPr>
              <w:spacing w:after="0"/>
              <w:rPr>
                <w:sz w:val="11"/>
                <w:szCs w:val="11"/>
                <w:color w:val="auto"/>
              </w:rPr>
            </w:pPr>
          </w:p>
        </w:tc>
        <w:tc>
          <w:tcPr>
            <w:tcW w:w="1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143</w:t>
            </w:r>
          </w:p>
        </w:tc>
        <w:tc>
          <w:tcPr>
            <w:tcW w:w="100" w:type="dxa"/>
            <w:vAlign w:val="bottom"/>
          </w:tcPr>
          <w:p>
            <w:pPr>
              <w:spacing w:after="0"/>
              <w:rPr>
                <w:sz w:val="11"/>
                <w:szCs w:val="11"/>
                <w:color w:val="auto"/>
              </w:rPr>
            </w:pPr>
          </w:p>
        </w:tc>
      </w:tr>
      <w:tr>
        <w:trPr>
          <w:trHeight w:val="129"/>
        </w:trPr>
        <w:tc>
          <w:tcPr>
            <w:tcW w:w="3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Non-Affiliate Warrants — Technology — 3.0% (8)</w:t>
            </w: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Axiom Space Holdings,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Communications</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2,654</w:t>
            </w:r>
          </w:p>
        </w:tc>
        <w:tc>
          <w:tcPr>
            <w:tcW w:w="1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33</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Intelepeer Holdings,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Communications</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2,936,535</w:t>
            </w:r>
          </w:p>
        </w:tc>
        <w:tc>
          <w:tcPr>
            <w:tcW w:w="1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1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2,730</w:t>
            </w:r>
          </w:p>
        </w:tc>
      </w:tr>
      <w:tr>
        <w:trPr>
          <w:trHeight w:val="117"/>
        </w:trPr>
        <w:tc>
          <w:tcPr>
            <w:tcW w:w="3280" w:type="dxa"/>
            <w:vAlign w:val="bottom"/>
          </w:tcPr>
          <w:p>
            <w:pPr>
              <w:spacing w:after="0"/>
              <w:rPr>
                <w:sz w:val="10"/>
                <w:szCs w:val="10"/>
                <w:color w:val="auto"/>
              </w:rPr>
            </w:pPr>
          </w:p>
        </w:tc>
        <w:tc>
          <w:tcPr>
            <w:tcW w:w="146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Alula Holdings, Inc. (2)(12)</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20,000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w:t>
            </w:r>
          </w:p>
        </w:tc>
      </w:tr>
      <w:tr>
        <w:trPr>
          <w:trHeight w:val="117"/>
        </w:trPr>
        <w:tc>
          <w:tcPr>
            <w:tcW w:w="32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CAMP NYC, Inc. (2)(12)</w:t>
            </w:r>
          </w:p>
        </w:tc>
        <w:tc>
          <w:tcPr>
            <w:tcW w:w="1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224,712</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76</w:t>
            </w:r>
          </w:p>
        </w:tc>
      </w:tr>
      <w:tr>
        <w:trPr>
          <w:trHeight w:val="117"/>
        </w:trPr>
        <w:tc>
          <w:tcPr>
            <w:tcW w:w="3280" w:type="dxa"/>
            <w:vAlign w:val="bottom"/>
          </w:tcPr>
          <w:p>
            <w:pPr>
              <w:spacing w:after="0"/>
              <w:rPr>
                <w:sz w:val="10"/>
                <w:szCs w:val="10"/>
                <w:color w:val="auto"/>
              </w:rPr>
            </w:pPr>
          </w:p>
        </w:tc>
        <w:tc>
          <w:tcPr>
            <w:tcW w:w="146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Clara Foods Co. (2)(12)</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46,745</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w:t>
            </w:r>
          </w:p>
        </w:tc>
      </w:tr>
      <w:tr>
        <w:trPr>
          <w:trHeight w:val="117"/>
        </w:trPr>
        <w:tc>
          <w:tcPr>
            <w:tcW w:w="32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Divergent Technologies, Inc. (2)(12)</w:t>
            </w:r>
          </w:p>
        </w:tc>
        <w:tc>
          <w:tcPr>
            <w:tcW w:w="1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Warrant</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13,068</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59</w:t>
            </w:r>
          </w:p>
        </w:tc>
      </w:tr>
      <w:tr>
        <w:trPr>
          <w:trHeight w:val="117"/>
        </w:trPr>
        <w:tc>
          <w:tcPr>
            <w:tcW w:w="3280" w:type="dxa"/>
            <w:vAlign w:val="bottom"/>
          </w:tcPr>
          <w:p>
            <w:pPr>
              <w:spacing w:after="0"/>
              <w:rPr>
                <w:sz w:val="10"/>
                <w:szCs w:val="10"/>
                <w:color w:val="auto"/>
              </w:rPr>
            </w:pPr>
          </w:p>
        </w:tc>
        <w:tc>
          <w:tcPr>
            <w:tcW w:w="146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Divergent Technologies, Inc. (2)(12)</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71,014</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538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771</w:t>
            </w:r>
          </w:p>
        </w:tc>
      </w:tr>
      <w:tr>
        <w:trPr>
          <w:trHeight w:val="117"/>
        </w:trPr>
        <w:tc>
          <w:tcPr>
            <w:tcW w:w="32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Havenly, Inc. (2)(12)</w:t>
            </w:r>
          </w:p>
        </w:tc>
        <w:tc>
          <w:tcPr>
            <w:tcW w:w="1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Warrant</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1,633,929</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3,463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3,510</w:t>
            </w:r>
          </w:p>
        </w:tc>
      </w:tr>
      <w:tr>
        <w:trPr>
          <w:trHeight w:val="117"/>
        </w:trPr>
        <w:tc>
          <w:tcPr>
            <w:tcW w:w="3280" w:type="dxa"/>
            <w:vAlign w:val="bottom"/>
          </w:tcPr>
          <w:p>
            <w:pPr>
              <w:spacing w:after="0"/>
              <w:rPr>
                <w:sz w:val="10"/>
                <w:szCs w:val="10"/>
                <w:color w:val="auto"/>
              </w:rPr>
            </w:pPr>
          </w:p>
        </w:tc>
        <w:tc>
          <w:tcPr>
            <w:tcW w:w="146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MyForest Foods Co. (2)(12)</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500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w:t>
            </w:r>
          </w:p>
        </w:tc>
      </w:tr>
      <w:tr>
        <w:trPr>
          <w:trHeight w:val="117"/>
        </w:trPr>
        <w:tc>
          <w:tcPr>
            <w:tcW w:w="32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Primary Kids, Inc. (2)(12)</w:t>
            </w:r>
          </w:p>
        </w:tc>
        <w:tc>
          <w:tcPr>
            <w:tcW w:w="1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553,778</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73</w:t>
            </w:r>
          </w:p>
        </w:tc>
      </w:tr>
      <w:tr>
        <w:trPr>
          <w:trHeight w:val="117"/>
        </w:trPr>
        <w:tc>
          <w:tcPr>
            <w:tcW w:w="3280" w:type="dxa"/>
            <w:vAlign w:val="bottom"/>
          </w:tcPr>
          <w:p>
            <w:pPr>
              <w:spacing w:after="0"/>
              <w:rPr>
                <w:sz w:val="10"/>
                <w:szCs w:val="10"/>
                <w:color w:val="auto"/>
              </w:rPr>
            </w:pPr>
          </w:p>
        </w:tc>
        <w:tc>
          <w:tcPr>
            <w:tcW w:w="146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Quip NYC Inc. (2)(12)</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10,833</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325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32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Updater, Inc.(2)(12)</w:t>
            </w:r>
          </w:p>
        </w:tc>
        <w:tc>
          <w:tcPr>
            <w:tcW w:w="1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108,333</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CPG Beyond,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Data Storage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500,000</w:t>
            </w:r>
          </w:p>
        </w:tc>
        <w:tc>
          <w:tcPr>
            <w:tcW w:w="1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242</w:t>
            </w:r>
          </w:p>
        </w:tc>
        <w:tc>
          <w:tcPr>
            <w:tcW w:w="1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57</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Silk,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Data Storage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394,110</w:t>
            </w:r>
          </w:p>
        </w:tc>
        <w:tc>
          <w:tcPr>
            <w:tcW w:w="1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175</w:t>
            </w:r>
          </w:p>
        </w:tc>
        <w:tc>
          <w:tcPr>
            <w:tcW w:w="1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173</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Global Worldwide LLC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Internet and Media</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245,810</w:t>
            </w:r>
          </w:p>
        </w:tc>
        <w:tc>
          <w:tcPr>
            <w:tcW w:w="1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1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Rocket Lawyer Incorporated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Internet and Media</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261,721</w:t>
            </w:r>
          </w:p>
        </w:tc>
        <w:tc>
          <w:tcPr>
            <w:tcW w:w="1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1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151</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Skillshare,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Internet and Media</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139,316</w:t>
            </w:r>
          </w:p>
        </w:tc>
        <w:tc>
          <w:tcPr>
            <w:tcW w:w="1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162</w:t>
            </w:r>
          </w:p>
        </w:tc>
        <w:tc>
          <w:tcPr>
            <w:tcW w:w="1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Liqid,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Networking</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Common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344,102</w:t>
            </w:r>
          </w:p>
        </w:tc>
        <w:tc>
          <w:tcPr>
            <w:tcW w:w="1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364</w:t>
            </w:r>
          </w:p>
        </w:tc>
        <w:tc>
          <w:tcPr>
            <w:tcW w:w="1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Apkudo,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31,848</w:t>
            </w:r>
          </w:p>
        </w:tc>
        <w:tc>
          <w:tcPr>
            <w:tcW w:w="1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97</w:t>
            </w:r>
          </w:p>
        </w:tc>
        <w:tc>
          <w:tcPr>
            <w:tcW w:w="1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118</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BriteCore Holdings,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194,570</w:t>
            </w:r>
          </w:p>
        </w:tc>
        <w:tc>
          <w:tcPr>
            <w:tcW w:w="1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137</w:t>
            </w:r>
          </w:p>
        </w:tc>
        <w:tc>
          <w:tcPr>
            <w:tcW w:w="1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229</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Crafty Holdings,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260,972</w:t>
            </w:r>
          </w:p>
        </w:tc>
        <w:tc>
          <w:tcPr>
            <w:tcW w:w="1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1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178</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Dropoff,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Common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723,228</w:t>
            </w:r>
          </w:p>
        </w:tc>
        <w:tc>
          <w:tcPr>
            <w:tcW w:w="1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455</w:t>
            </w:r>
          </w:p>
        </w:tc>
        <w:tc>
          <w:tcPr>
            <w:tcW w:w="1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HappyCo,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96,228</w:t>
            </w:r>
          </w:p>
        </w:tc>
        <w:tc>
          <w:tcPr>
            <w:tcW w:w="1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1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Everstream Holdings, LLC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525,000</w:t>
            </w:r>
          </w:p>
        </w:tc>
        <w:tc>
          <w:tcPr>
            <w:tcW w:w="1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1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Lemongrass Holdings,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202,616</w:t>
            </w:r>
          </w:p>
        </w:tc>
        <w:tc>
          <w:tcPr>
            <w:tcW w:w="1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1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96</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Mirantis,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Common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948,275</w:t>
            </w:r>
          </w:p>
        </w:tc>
        <w:tc>
          <w:tcPr>
            <w:tcW w:w="1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1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420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Cost of</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55"/>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20" w:type="dxa"/>
            <w:vAlign w:val="bottom"/>
          </w:tcPr>
          <w:p>
            <w:pPr>
              <w:spacing w:after="0"/>
              <w:rPr>
                <w:sz w:val="13"/>
                <w:szCs w:val="13"/>
                <w:color w:val="auto"/>
              </w:rPr>
            </w:pPr>
          </w:p>
        </w:tc>
        <w:tc>
          <w:tcPr>
            <w:tcW w:w="13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120" w:type="dxa"/>
            <w:vAlign w:val="bottom"/>
          </w:tcPr>
          <w:p>
            <w:pPr>
              <w:spacing w:after="0"/>
              <w:rPr>
                <w:sz w:val="13"/>
                <w:szCs w:val="13"/>
                <w:color w:val="auto"/>
              </w:rPr>
            </w:pPr>
          </w:p>
        </w:tc>
        <w:tc>
          <w:tcPr>
            <w:tcW w:w="1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w w:val="99"/>
              </w:rPr>
              <w:t>Type of Investment (7)</w:t>
            </w:r>
          </w:p>
        </w:tc>
        <w:tc>
          <w:tcPr>
            <w:tcW w:w="120" w:type="dxa"/>
            <w:vAlign w:val="bottom"/>
          </w:tcPr>
          <w:p>
            <w:pPr>
              <w:spacing w:after="0"/>
              <w:rPr>
                <w:sz w:val="13"/>
                <w:szCs w:val="13"/>
                <w:color w:val="auto"/>
              </w:rPr>
            </w:pPr>
          </w:p>
        </w:tc>
        <w:tc>
          <w:tcPr>
            <w:tcW w:w="14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Investments (6)(9)</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Value (9)</w:t>
            </w:r>
          </w:p>
        </w:tc>
        <w:tc>
          <w:tcPr>
            <w:tcW w:w="100" w:type="dxa"/>
            <w:vAlign w:val="bottom"/>
          </w:tcPr>
          <w:p>
            <w:pPr>
              <w:spacing w:after="0"/>
              <w:rPr>
                <w:sz w:val="13"/>
                <w:szCs w:val="13"/>
                <w:color w:val="auto"/>
              </w:rPr>
            </w:pPr>
          </w:p>
        </w:tc>
      </w:tr>
      <w:tr>
        <w:trPr>
          <w:trHeight w:val="129"/>
        </w:trPr>
        <w:tc>
          <w:tcPr>
            <w:tcW w:w="3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Noodle Partners, Inc. (2)(12)</w:t>
            </w:r>
          </w:p>
        </w:tc>
        <w:tc>
          <w:tcPr>
            <w:tcW w:w="146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84,037</w:t>
            </w:r>
          </w:p>
        </w:tc>
        <w:tc>
          <w:tcPr>
            <w:tcW w:w="1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116</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OneNetworks,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184,646</w:t>
            </w:r>
          </w:p>
        </w:tc>
        <w:tc>
          <w:tcPr>
            <w:tcW w:w="160" w:type="dxa"/>
            <w:vAlign w:val="bottom"/>
          </w:tcPr>
          <w:p>
            <w:pPr>
              <w:spacing w:after="0"/>
              <w:rPr>
                <w:sz w:val="11"/>
                <w:szCs w:val="11"/>
                <w:color w:val="auto"/>
              </w:rPr>
            </w:pPr>
          </w:p>
        </w:tc>
        <w:tc>
          <w:tcPr>
            <w:tcW w:w="13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Revinate Holdings,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682,034</w:t>
            </w:r>
          </w:p>
        </w:tc>
        <w:tc>
          <w:tcPr>
            <w:tcW w:w="1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86</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SIGNiX, Inc. (12)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186,235</w:t>
            </w:r>
          </w:p>
        </w:tc>
        <w:tc>
          <w:tcPr>
            <w:tcW w:w="160" w:type="dxa"/>
            <w:vAlign w:val="bottom"/>
          </w:tcPr>
          <w:p>
            <w:pPr>
              <w:spacing w:after="0"/>
              <w:rPr>
                <w:sz w:val="11"/>
                <w:szCs w:val="11"/>
                <w:color w:val="auto"/>
              </w:rPr>
            </w:pPr>
          </w:p>
        </w:tc>
        <w:tc>
          <w:tcPr>
            <w:tcW w:w="13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Slingshot Aerospace,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309,208</w:t>
            </w:r>
          </w:p>
        </w:tc>
        <w:tc>
          <w:tcPr>
            <w:tcW w:w="1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123</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45</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Supply Network Visibility Holdings LLC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682</w:t>
            </w:r>
          </w:p>
        </w:tc>
        <w:tc>
          <w:tcPr>
            <w:tcW w:w="160" w:type="dxa"/>
            <w:vAlign w:val="bottom"/>
          </w:tcPr>
          <w:p>
            <w:pPr>
              <w:spacing w:after="0"/>
              <w:rPr>
                <w:sz w:val="11"/>
                <w:szCs w:val="11"/>
                <w:color w:val="auto"/>
              </w:rPr>
            </w:pPr>
          </w:p>
        </w:tc>
        <w:tc>
          <w:tcPr>
            <w:tcW w:w="13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Topia Mobility,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Common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30,496</w:t>
            </w:r>
          </w:p>
        </w:tc>
        <w:tc>
          <w:tcPr>
            <w:tcW w:w="1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Ursa Space Systems,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1,075,072</w:t>
            </w:r>
          </w:p>
        </w:tc>
        <w:tc>
          <w:tcPr>
            <w:tcW w:w="160" w:type="dxa"/>
            <w:vAlign w:val="bottom"/>
          </w:tcPr>
          <w:p>
            <w:pPr>
              <w:spacing w:after="0"/>
              <w:rPr>
                <w:sz w:val="11"/>
                <w:szCs w:val="11"/>
                <w:color w:val="auto"/>
              </w:rPr>
            </w:pPr>
          </w:p>
        </w:tc>
        <w:tc>
          <w:tcPr>
            <w:tcW w:w="13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169</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Viken Detection Corporation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345,443</w:t>
            </w:r>
          </w:p>
        </w:tc>
        <w:tc>
          <w:tcPr>
            <w:tcW w:w="1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314</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xAd,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4,343,348</w:t>
            </w:r>
          </w:p>
        </w:tc>
        <w:tc>
          <w:tcPr>
            <w:tcW w:w="1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r>
      <w:tr>
        <w:trPr>
          <w:trHeight w:val="128"/>
        </w:trPr>
        <w:tc>
          <w:tcPr>
            <w:tcW w:w="3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Warrants — Technology</w:t>
            </w: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8,344</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9,404</w:t>
            </w:r>
          </w:p>
        </w:tc>
      </w:tr>
      <w:tr>
        <w:trPr>
          <w:trHeight w:val="108"/>
        </w:trPr>
        <w:tc>
          <w:tcPr>
            <w:tcW w:w="3280" w:type="dxa"/>
            <w:vAlign w:val="bottom"/>
            <w:tcBorders>
              <w:top w:val="single" w:sz="8" w:color="CCEEFF"/>
            </w:tcBorders>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Non-Affiliate Warrants — Healthcare information and</w:t>
            </w:r>
          </w:p>
        </w:tc>
        <w:tc>
          <w:tcPr>
            <w:tcW w:w="120" w:type="dxa"/>
            <w:vAlign w:val="bottom"/>
            <w:tcBorders>
              <w:top w:val="single" w:sz="8" w:color="CCEEFF"/>
            </w:tcBorders>
          </w:tcPr>
          <w:p>
            <w:pPr>
              <w:spacing w:after="0"/>
              <w:rPr>
                <w:sz w:val="9"/>
                <w:szCs w:val="9"/>
                <w:color w:val="auto"/>
              </w:rPr>
            </w:pPr>
          </w:p>
        </w:tc>
        <w:tc>
          <w:tcPr>
            <w:tcW w:w="13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36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480" w:type="dxa"/>
            <w:vAlign w:val="bottom"/>
            <w:tcBorders>
              <w:top w:val="single" w:sz="8" w:color="CCEEFF"/>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r>
      <w:tr>
        <w:trPr>
          <w:trHeight w:val="155"/>
        </w:trPr>
        <w:tc>
          <w:tcPr>
            <w:tcW w:w="3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services — 0.0% (8)</w:t>
            </w: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GT Medical Technologies,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Healthcare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326,640</w:t>
            </w:r>
          </w:p>
        </w:tc>
        <w:tc>
          <w:tcPr>
            <w:tcW w:w="1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39</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BrightInsight,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232,871</w:t>
            </w:r>
          </w:p>
        </w:tc>
        <w:tc>
          <w:tcPr>
            <w:tcW w:w="160" w:type="dxa"/>
            <w:vAlign w:val="bottom"/>
          </w:tcPr>
          <w:p>
            <w:pPr>
              <w:spacing w:after="0"/>
              <w:rPr>
                <w:sz w:val="11"/>
                <w:szCs w:val="11"/>
                <w:color w:val="auto"/>
              </w:rPr>
            </w:pPr>
          </w:p>
        </w:tc>
        <w:tc>
          <w:tcPr>
            <w:tcW w:w="13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168</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Elligo Health Research,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652,250</w:t>
            </w:r>
          </w:p>
        </w:tc>
        <w:tc>
          <w:tcPr>
            <w:tcW w:w="1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191</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SafelyYou,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 Warrant</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206,983</w:t>
            </w:r>
          </w:p>
        </w:tc>
        <w:tc>
          <w:tcPr>
            <w:tcW w:w="1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163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100" w:type="dxa"/>
            <w:vAlign w:val="bottom"/>
          </w:tcPr>
          <w:p>
            <w:pPr>
              <w:spacing w:after="0"/>
              <w:rPr>
                <w:sz w:val="11"/>
                <w:szCs w:val="11"/>
                <w:color w:val="auto"/>
              </w:rPr>
            </w:pPr>
          </w:p>
        </w:tc>
      </w:tr>
      <w:tr>
        <w:trPr>
          <w:trHeight w:val="128"/>
        </w:trPr>
        <w:tc>
          <w:tcPr>
            <w:tcW w:w="4740" w:type="dxa"/>
            <w:vAlign w:val="bottom"/>
            <w:tcBorders>
              <w:bottom w:val="single" w:sz="8" w:color="CCEEFF"/>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Warrants — Healthcare information and services</w:t>
            </w:r>
          </w:p>
        </w:tc>
        <w:tc>
          <w:tcPr>
            <w:tcW w:w="120" w:type="dxa"/>
            <w:vAlign w:val="bottom"/>
            <w:tcBorders>
              <w:bottom w:val="single" w:sz="8" w:color="CCEEFF"/>
            </w:tcBorders>
            <w:shd w:val="clear" w:color="auto" w:fill="CCEEFF"/>
          </w:tcPr>
          <w:p>
            <w:pPr>
              <w:spacing w:after="0"/>
              <w:rPr>
                <w:sz w:val="11"/>
                <w:szCs w:val="11"/>
                <w:color w:val="auto"/>
              </w:rPr>
            </w:pPr>
          </w:p>
        </w:tc>
        <w:tc>
          <w:tcPr>
            <w:tcW w:w="13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666</w:t>
            </w: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137</w:t>
            </w:r>
          </w:p>
        </w:tc>
        <w:tc>
          <w:tcPr>
            <w:tcW w:w="100" w:type="dxa"/>
            <w:vAlign w:val="bottom"/>
            <w:tcBorders>
              <w:bottom w:val="single" w:sz="8" w:color="CCEEFF"/>
            </w:tcBorders>
            <w:shd w:val="clear" w:color="auto" w:fill="CCEEFF"/>
          </w:tcPr>
          <w:p>
            <w:pPr>
              <w:spacing w:after="0"/>
              <w:rPr>
                <w:sz w:val="11"/>
                <w:szCs w:val="11"/>
                <w:color w:val="auto"/>
              </w:rPr>
            </w:pPr>
          </w:p>
        </w:tc>
      </w:tr>
      <w:tr>
        <w:trPr>
          <w:trHeight w:val="128"/>
        </w:trPr>
        <w:tc>
          <w:tcPr>
            <w:tcW w:w="32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Non-Affiliate Warrants</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14,741</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16,648</w:t>
            </w:r>
          </w:p>
        </w:tc>
      </w:tr>
      <w:tr>
        <w:trPr>
          <w:trHeight w:val="128"/>
        </w:trPr>
        <w:tc>
          <w:tcPr>
            <w:tcW w:w="3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Non-Affiliate Other Investments — 0.6% (8)</w:t>
            </w: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Non-Affiliate Other Investments — Life Science — 0.6% (8)</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BioVaxys Technology Corp. (5)(12)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Royalty Agreement</w:t>
            </w:r>
          </w:p>
        </w:tc>
        <w:tc>
          <w:tcPr>
            <w:tcW w:w="1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5,073</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Aerobiotix, LLC (12)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Royalty Agreement</w:t>
            </w: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1,498</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1,574</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Lumithera, Inc. (12)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Royalty Agreement</w:t>
            </w:r>
          </w:p>
        </w:tc>
        <w:tc>
          <w:tcPr>
            <w:tcW w:w="1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1,116</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384</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Robin Healthcare,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Royalty Agreement</w:t>
            </w: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7,330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r>
      <w:tr>
        <w:trPr>
          <w:trHeight w:val="129"/>
        </w:trPr>
        <w:tc>
          <w:tcPr>
            <w:tcW w:w="3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Non-Affiliate Other Investments — Life Science</w:t>
            </w: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15,017</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1,958</w:t>
            </w:r>
          </w:p>
        </w:tc>
      </w:tr>
      <w:tr>
        <w:trPr>
          <w:trHeight w:val="128"/>
        </w:trPr>
        <w:tc>
          <w:tcPr>
            <w:tcW w:w="3280" w:type="dxa"/>
            <w:vAlign w:val="bottom"/>
            <w:tcBorders>
              <w:top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8"/>
              </w:rPr>
              <w:t>Non-Affiliate Other Investments — Technology — 0.0% (8)</w:t>
            </w:r>
          </w:p>
        </w:tc>
        <w:tc>
          <w:tcPr>
            <w:tcW w:w="120" w:type="dxa"/>
            <w:vAlign w:val="bottom"/>
            <w:tcBorders>
              <w:top w:val="single" w:sz="8" w:color="CCEEFF"/>
            </w:tcBorders>
          </w:tcPr>
          <w:p>
            <w:pPr>
              <w:spacing w:after="0"/>
              <w:rPr>
                <w:sz w:val="11"/>
                <w:szCs w:val="11"/>
                <w:color w:val="auto"/>
              </w:rPr>
            </w:pPr>
          </w:p>
        </w:tc>
        <w:tc>
          <w:tcPr>
            <w:tcW w:w="13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3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17"/>
        </w:trPr>
        <w:tc>
          <w:tcPr>
            <w:tcW w:w="32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Better Place Forests Co. (12)(16)</w:t>
            </w:r>
          </w:p>
        </w:tc>
        <w:tc>
          <w:tcPr>
            <w:tcW w:w="1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Investment</w:t>
            </w: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10,149</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Total Non-Affiliate Other Investments — Technology</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10,149</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32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Non-Affiliate Other Investments</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3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3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3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25,166</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1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1,958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28"/>
        </w:trPr>
        <w:tc>
          <w:tcPr>
            <w:tcW w:w="32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Non-Affiliate Equity — 2.1% (8)</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BioVaxys Technology Corp. (5)(12)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66,170</w:t>
            </w:r>
          </w:p>
        </w:tc>
        <w:tc>
          <w:tcPr>
            <w:tcW w:w="1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Cadrenal Therapeutics, Inc. (5)</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40,000</w:t>
            </w:r>
          </w:p>
        </w:tc>
        <w:tc>
          <w:tcPr>
            <w:tcW w:w="160" w:type="dxa"/>
            <w:vAlign w:val="bottom"/>
          </w:tcPr>
          <w:p>
            <w:pPr>
              <w:spacing w:after="0"/>
              <w:rPr>
                <w:sz w:val="11"/>
                <w:szCs w:val="11"/>
                <w:color w:val="auto"/>
              </w:rPr>
            </w:pPr>
          </w:p>
        </w:tc>
        <w:tc>
          <w:tcPr>
            <w:tcW w:w="13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271</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Castle Creek Biosciences, Inc. (12)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1,162</w:t>
            </w:r>
          </w:p>
        </w:tc>
        <w:tc>
          <w:tcPr>
            <w:tcW w:w="1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250</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217</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Emalex Biosciences, Inc. (12)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47,461</w:t>
            </w:r>
          </w:p>
        </w:tc>
        <w:tc>
          <w:tcPr>
            <w:tcW w:w="160" w:type="dxa"/>
            <w:vAlign w:val="bottom"/>
          </w:tcPr>
          <w:p>
            <w:pPr>
              <w:spacing w:after="0"/>
              <w:rPr>
                <w:sz w:val="11"/>
                <w:szCs w:val="11"/>
                <w:color w:val="auto"/>
              </w:rPr>
            </w:pPr>
          </w:p>
        </w:tc>
        <w:tc>
          <w:tcPr>
            <w:tcW w:w="13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545</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656</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Axiom Space Holdings, Inc. (12)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Communications</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1,810</w:t>
            </w:r>
          </w:p>
        </w:tc>
        <w:tc>
          <w:tcPr>
            <w:tcW w:w="1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261</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306</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PebblePost,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Communications</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Stock</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56,212</w:t>
            </w:r>
          </w:p>
        </w:tc>
        <w:tc>
          <w:tcPr>
            <w:tcW w:w="160" w:type="dxa"/>
            <w:vAlign w:val="bottom"/>
          </w:tcPr>
          <w:p>
            <w:pPr>
              <w:spacing w:after="0"/>
              <w:rPr>
                <w:sz w:val="11"/>
                <w:szCs w:val="11"/>
                <w:color w:val="auto"/>
              </w:rPr>
            </w:pPr>
          </w:p>
        </w:tc>
        <w:tc>
          <w:tcPr>
            <w:tcW w:w="13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73</w:t>
            </w:r>
          </w:p>
        </w:tc>
      </w:tr>
      <w:tr>
        <w:trPr>
          <w:trHeight w:val="117"/>
        </w:trPr>
        <w:tc>
          <w:tcPr>
            <w:tcW w:w="32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5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SnagAJob.com, Inc. (12)</w:t>
            </w:r>
          </w:p>
        </w:tc>
        <w:tc>
          <w:tcPr>
            <w:tcW w:w="1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Technologies</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82,974</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Cognoa, Inc. (2)(12)</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16,247,754</w:t>
            </w:r>
          </w:p>
        </w:tc>
        <w:tc>
          <w:tcPr>
            <w:tcW w:w="160" w:type="dxa"/>
            <w:vAlign w:val="bottom"/>
          </w:tcPr>
          <w:p>
            <w:pPr>
              <w:spacing w:after="0"/>
              <w:rPr>
                <w:sz w:val="11"/>
                <w:szCs w:val="11"/>
                <w:color w:val="auto"/>
              </w:rPr>
            </w:pPr>
          </w:p>
        </w:tc>
        <w:tc>
          <w:tcPr>
            <w:tcW w:w="13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976</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975</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Cognoa, Inc. (2)(12)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2,119,272</w:t>
            </w:r>
          </w:p>
        </w:tc>
        <w:tc>
          <w:tcPr>
            <w:tcW w:w="1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500</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Tigo Energy, Inc. (5)</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Sustainability</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5,205</w:t>
            </w:r>
          </w:p>
        </w:tc>
        <w:tc>
          <w:tcPr>
            <w:tcW w:w="160" w:type="dxa"/>
            <w:vAlign w:val="bottom"/>
          </w:tcPr>
          <w:p>
            <w:pPr>
              <w:spacing w:after="0"/>
              <w:rPr>
                <w:sz w:val="11"/>
                <w:szCs w:val="11"/>
                <w:color w:val="auto"/>
              </w:rPr>
            </w:pPr>
          </w:p>
        </w:tc>
        <w:tc>
          <w:tcPr>
            <w:tcW w:w="13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Decisyon, Inc. (12)</w:t>
            </w:r>
          </w:p>
        </w:tc>
        <w:tc>
          <w:tcPr>
            <w:tcW w:w="14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Preferred Stock</w:t>
            </w:r>
          </w:p>
        </w:tc>
        <w:tc>
          <w:tcPr>
            <w:tcW w:w="18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280,000</w:t>
            </w:r>
          </w:p>
        </w:tc>
        <w:tc>
          <w:tcPr>
            <w:tcW w:w="16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2,800</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Kodiak Robotics, Inc. (2)(5)</w:t>
            </w:r>
          </w:p>
        </w:tc>
        <w:tc>
          <w:tcPr>
            <w:tcW w:w="14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8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338,798</w:t>
            </w:r>
          </w:p>
        </w:tc>
        <w:tc>
          <w:tcPr>
            <w:tcW w:w="160" w:type="dxa"/>
            <w:vAlign w:val="bottom"/>
          </w:tcPr>
          <w:p>
            <w:pPr>
              <w:spacing w:after="0"/>
              <w:rPr>
                <w:sz w:val="11"/>
                <w:szCs w:val="11"/>
                <w:color w:val="auto"/>
              </w:rPr>
            </w:pPr>
          </w:p>
        </w:tc>
        <w:tc>
          <w:tcPr>
            <w:tcW w:w="13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3,100</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3,700</w:t>
            </w:r>
          </w:p>
        </w:tc>
      </w:tr>
      <w:tr>
        <w:trPr>
          <w:trHeight w:val="135"/>
        </w:trPr>
        <w:tc>
          <w:tcPr>
            <w:tcW w:w="3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Non-Affiliate Equity</w:t>
            </w:r>
          </w:p>
        </w:tc>
        <w:tc>
          <w:tcPr>
            <w:tcW w:w="1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60" w:type="dxa"/>
            <w:vAlign w:val="bottom"/>
            <w:gridSpan w:val="4"/>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8,639</w:t>
            </w:r>
          </w:p>
        </w:tc>
        <w:tc>
          <w:tcPr>
            <w:tcW w:w="460" w:type="dxa"/>
            <w:vAlign w:val="bottom"/>
            <w:gridSpan w:val="2"/>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6,716</w:t>
            </w:r>
          </w:p>
        </w:tc>
      </w:tr>
      <w:tr>
        <w:trPr>
          <w:trHeight w:val="135"/>
        </w:trPr>
        <w:tc>
          <w:tcPr>
            <w:tcW w:w="32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Non-Affiliate Portfolio Investment Assets</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0" w:type="dxa"/>
            <w:vAlign w:val="bottom"/>
            <w:gridSpan w:val="3"/>
          </w:tcPr>
          <w:p>
            <w:pPr>
              <w:spacing w:after="0"/>
              <w:rPr>
                <w:sz w:val="11"/>
                <w:szCs w:val="11"/>
                <w:color w:val="auto"/>
              </w:rPr>
            </w:pPr>
          </w:p>
        </w:tc>
        <w:tc>
          <w:tcPr>
            <w:tcW w:w="160" w:type="dxa"/>
            <w:vAlign w:val="bottom"/>
            <w:tcBorders>
              <w:bottom w:val="single" w:sz="8" w:color="auto"/>
            </w:tcBorders>
          </w:tcPr>
          <w:p>
            <w:pPr>
              <w:jc w:val="right"/>
              <w:ind w:right="1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gridSpan w:val="2"/>
          </w:tcPr>
          <w:p>
            <w:pPr>
              <w:jc w:val="right"/>
              <w:ind w:right="20"/>
              <w:spacing w:after="0" w:line="115" w:lineRule="exact"/>
              <w:rPr>
                <w:sz w:val="20"/>
                <w:szCs w:val="20"/>
                <w:color w:val="auto"/>
              </w:rPr>
            </w:pPr>
            <w:r>
              <w:rPr>
                <w:rFonts w:ascii="Times New Roman" w:cs="Times New Roman" w:eastAsia="Times New Roman" w:hAnsi="Times New Roman"/>
                <w:sz w:val="13"/>
                <w:szCs w:val="13"/>
                <w:color w:val="auto"/>
              </w:rPr>
              <w:t>616,236</w:t>
            </w:r>
          </w:p>
        </w:tc>
        <w:tc>
          <w:tcPr>
            <w:tcW w:w="180" w:type="dxa"/>
            <w:vAlign w:val="bottom"/>
          </w:tcPr>
          <w:p>
            <w:pPr>
              <w:spacing w:after="0"/>
              <w:rPr>
                <w:sz w:val="11"/>
                <w:szCs w:val="11"/>
                <w:color w:val="auto"/>
              </w:rPr>
            </w:pPr>
          </w:p>
        </w:tc>
        <w:tc>
          <w:tcPr>
            <w:tcW w:w="280" w:type="dxa"/>
            <w:vAlign w:val="bottom"/>
            <w:tcBorders>
              <w:bottom w:val="single" w:sz="8" w:color="auto"/>
            </w:tcBorders>
          </w:tcPr>
          <w:p>
            <w:pPr>
              <w:jc w:val="right"/>
              <w:ind w:right="13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584,100</w:t>
            </w:r>
          </w:p>
        </w:tc>
        <w:tc>
          <w:tcPr>
            <w:tcW w:w="100" w:type="dxa"/>
            <w:vAlign w:val="bottom"/>
          </w:tcPr>
          <w:p>
            <w:pPr>
              <w:spacing w:after="0"/>
              <w:rPr>
                <w:sz w:val="11"/>
                <w:szCs w:val="1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Type of</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00" w:type="dxa"/>
            <w:vAlign w:val="bottom"/>
          </w:tcPr>
          <w:p>
            <w:pPr>
              <w:spacing w:after="0"/>
              <w:rPr>
                <w:sz w:val="11"/>
                <w:szCs w:val="11"/>
                <w:color w:val="auto"/>
              </w:rPr>
            </w:pPr>
          </w:p>
        </w:tc>
        <w:tc>
          <w:tcPr>
            <w:tcW w:w="9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Cash Rate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Principal</w:t>
            </w:r>
          </w:p>
        </w:tc>
        <w:tc>
          <w:tcPr>
            <w:tcW w:w="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Investments</w:t>
            </w:r>
          </w:p>
        </w:tc>
        <w:tc>
          <w:tcPr>
            <w:tcW w:w="220" w:type="dxa"/>
            <w:vAlign w:val="bottom"/>
          </w:tcPr>
          <w:p>
            <w:pPr>
              <w:spacing w:after="0"/>
              <w:rPr>
                <w:sz w:val="11"/>
                <w:szCs w:val="11"/>
                <w:color w:val="auto"/>
              </w:rPr>
            </w:pPr>
          </w:p>
        </w:tc>
        <w:tc>
          <w:tcPr>
            <w:tcW w:w="7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5"/>
        </w:trPr>
        <w:tc>
          <w:tcPr>
            <w:tcW w:w="1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Portfolio Company (1)(3)</w:t>
            </w:r>
          </w:p>
        </w:tc>
        <w:tc>
          <w:tcPr>
            <w:tcW w:w="12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7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2"/>
              </w:rPr>
              <w:t>(7)</w:t>
            </w:r>
          </w:p>
        </w:tc>
        <w:tc>
          <w:tcPr>
            <w:tcW w:w="76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(4)</w:t>
            </w:r>
          </w:p>
        </w:tc>
        <w:tc>
          <w:tcPr>
            <w:tcW w:w="320" w:type="dxa"/>
            <w:vAlign w:val="bottom"/>
          </w:tcPr>
          <w:p>
            <w:pPr>
              <w:spacing w:after="0"/>
              <w:rPr>
                <w:sz w:val="13"/>
                <w:szCs w:val="13"/>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Margin</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Floor</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Ceiling</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ETP (10)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3"/>
                <w:szCs w:val="13"/>
                <w:color w:val="auto"/>
              </w:rPr>
            </w:pPr>
          </w:p>
        </w:tc>
        <w:tc>
          <w:tcPr>
            <w:tcW w:w="5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(6)(9)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38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Non-Controlled Affiliate</w:t>
            </w:r>
          </w:p>
        </w:tc>
        <w:tc>
          <w:tcPr>
            <w:tcW w:w="120" w:type="dxa"/>
            <w:vAlign w:val="bottom"/>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6"/>
              </w:rPr>
              <w:t xml:space="preserve">Investments </w:t>
            </w:r>
            <w:r>
              <w:rPr>
                <w:rFonts w:ascii="Times New Roman" w:cs="Times New Roman" w:eastAsia="Times New Roman" w:hAnsi="Times New Roman"/>
                <w:sz w:val="13"/>
                <w:szCs w:val="13"/>
                <w:color w:val="auto"/>
                <w:w w:val="96"/>
              </w:rPr>
              <w:t>—</w:t>
            </w:r>
            <w:r>
              <w:rPr>
                <w:rFonts w:ascii="Times New Roman" w:cs="Times New Roman" w:eastAsia="Times New Roman" w:hAnsi="Times New Roman"/>
                <w:sz w:val="13"/>
                <w:szCs w:val="13"/>
                <w:b w:val="1"/>
                <w:bCs w:val="1"/>
                <w:color w:val="auto"/>
                <w:w w:val="96"/>
              </w:rPr>
              <w:t xml:space="preserve"> 19.9% (8)</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38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99"/>
              </w:rPr>
              <w:t>Non-Controlled Affiliate</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Debt Investments </w:t>
            </w: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11.7% (8)</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Hound Labs II, LLC (12)</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Diagnostics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80" w:type="dxa"/>
            <w:vAlign w:val="bottom"/>
            <w:gridSpan w:val="3"/>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w w:val="93"/>
              </w:rPr>
              <w:t>12.75%(11)</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9.25%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6,789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6,789</w:t>
            </w:r>
          </w:p>
        </w:tc>
        <w:tc>
          <w:tcPr>
            <w:tcW w:w="3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6,605</w:t>
            </w: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Consumer-</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NextCar Holding</w:t>
            </w:r>
          </w:p>
        </w:tc>
        <w:tc>
          <w:tcPr>
            <w:tcW w:w="1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related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March 31,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80" w:type="dxa"/>
            <w:vAlign w:val="bottom"/>
          </w:tcPr>
          <w:p>
            <w:pPr>
              <w:spacing w:after="0"/>
              <w:rPr>
                <w:sz w:val="20"/>
                <w:szCs w:val="20"/>
                <w:color w:val="auto"/>
              </w:rPr>
            </w:pPr>
            <w:r>
              <w:rPr>
                <w:rFonts w:ascii="Times New Roman" w:cs="Times New Roman" w:eastAsia="Times New Roman" w:hAnsi="Times New Roman"/>
                <w:sz w:val="13"/>
                <w:szCs w:val="13"/>
                <w:color w:val="auto"/>
              </w:rPr>
              <w:t>Company, Inc. (12)(14)</w:t>
            </w:r>
          </w:p>
        </w:tc>
        <w:tc>
          <w:tcPr>
            <w:tcW w:w="1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w w:val="97"/>
              </w:rPr>
              <w:t>Technologies</w:t>
            </w: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80" w:type="dxa"/>
            <w:vAlign w:val="bottom"/>
            <w:gridSpan w:val="3"/>
          </w:tcPr>
          <w:p>
            <w:pPr>
              <w:jc w:val="center"/>
              <w:ind w:left="197"/>
              <w:spacing w:after="0"/>
              <w:rPr>
                <w:sz w:val="20"/>
                <w:szCs w:val="20"/>
                <w:color w:val="auto"/>
              </w:rPr>
            </w:pPr>
            <w:r>
              <w:rPr>
                <w:rFonts w:ascii="Times New Roman" w:cs="Times New Roman" w:eastAsia="Times New Roman" w:hAnsi="Times New Roman"/>
                <w:sz w:val="13"/>
                <w:szCs w:val="13"/>
                <w:color w:val="auto"/>
                <w:w w:val="94"/>
              </w:rPr>
              <w:t>10.00%</w:t>
            </w:r>
          </w:p>
        </w:tc>
        <w:tc>
          <w:tcPr>
            <w:tcW w:w="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Fixed</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0.00%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2,266</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1,079</w:t>
            </w:r>
          </w:p>
        </w:tc>
        <w:tc>
          <w:tcPr>
            <w:tcW w:w="0" w:type="dxa"/>
            <w:vAlign w:val="bottom"/>
          </w:tcPr>
          <w:p>
            <w:pPr>
              <w:spacing w:after="0"/>
              <w:rPr>
                <w:sz w:val="1"/>
                <w:szCs w:val="1"/>
                <w:color w:val="auto"/>
              </w:rPr>
            </w:pPr>
          </w:p>
        </w:tc>
      </w:tr>
      <w:tr>
        <w:trPr>
          <w:trHeight w:val="117"/>
        </w:trPr>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Nexii, Inc. (12)</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5"/>
              </w:rPr>
              <w:t>Sustainability</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80" w:type="dxa"/>
            <w:vAlign w:val="bottom"/>
            <w:gridSpan w:val="3"/>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w w:val="94"/>
              </w:rPr>
              <w:t>10.00%</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Fixed</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0.00%</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790</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6"/>
              </w:rPr>
              <w:t>Term Loan</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July 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rPr>
              <w:t>(17)</w:t>
            </w:r>
          </w:p>
        </w:tc>
        <w:tc>
          <w:tcPr>
            <w:tcW w:w="1080" w:type="dxa"/>
            <w:vAlign w:val="bottom"/>
            <w:gridSpan w:val="3"/>
          </w:tcPr>
          <w:p>
            <w:pPr>
              <w:jc w:val="center"/>
              <w:ind w:left="197"/>
              <w:spacing w:after="0"/>
              <w:rPr>
                <w:sz w:val="20"/>
                <w:szCs w:val="20"/>
                <w:color w:val="auto"/>
              </w:rPr>
            </w:pPr>
            <w:r>
              <w:rPr>
                <w:rFonts w:ascii="Times New Roman" w:cs="Times New Roman" w:eastAsia="Times New Roman" w:hAnsi="Times New Roman"/>
                <w:sz w:val="13"/>
                <w:szCs w:val="13"/>
                <w:color w:val="auto"/>
                <w:w w:val="94"/>
              </w:rPr>
              <w:t>10.00%</w:t>
            </w:r>
          </w:p>
        </w:tc>
        <w:tc>
          <w:tcPr>
            <w:tcW w:w="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Fixed</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0.00%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0.00%</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3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Shengrow, Inc. aka Soli</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6"/>
              </w:rPr>
              <w:t>Term Loan</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Organic, Inc. (2)(12)</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5"/>
              </w:rPr>
              <w:t>Sustainability</w:t>
            </w:r>
          </w:p>
        </w:tc>
        <w:tc>
          <w:tcPr>
            <w:tcW w:w="72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rPr>
              <w:t>(17)</w:t>
            </w:r>
          </w:p>
        </w:tc>
        <w:tc>
          <w:tcPr>
            <w:tcW w:w="1080" w:type="dxa"/>
            <w:vAlign w:val="bottom"/>
            <w:gridSpan w:val="3"/>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w w:val="93"/>
              </w:rPr>
              <w:t>11.75%(11)</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5,246</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5,246</w:t>
            </w: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80" w:type="dxa"/>
            <w:vAlign w:val="bottom"/>
            <w:gridSpan w:val="3"/>
          </w:tcPr>
          <w:p>
            <w:pPr>
              <w:jc w:val="center"/>
              <w:ind w:left="197"/>
              <w:spacing w:after="0"/>
              <w:rPr>
                <w:sz w:val="20"/>
                <w:szCs w:val="20"/>
                <w:color w:val="auto"/>
              </w:rPr>
            </w:pPr>
            <w:r>
              <w:rPr>
                <w:rFonts w:ascii="Times New Roman" w:cs="Times New Roman" w:eastAsia="Times New Roman" w:hAnsi="Times New Roman"/>
                <w:sz w:val="13"/>
                <w:szCs w:val="13"/>
                <w:color w:val="auto"/>
                <w:w w:val="93"/>
              </w:rPr>
              <w:t>11.75%(11)</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3,497</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3,447</w:t>
            </w:r>
          </w:p>
        </w:tc>
        <w:tc>
          <w:tcPr>
            <w:tcW w:w="0" w:type="dxa"/>
            <w:vAlign w:val="bottom"/>
          </w:tcPr>
          <w:p>
            <w:pPr>
              <w:spacing w:after="0"/>
              <w:rPr>
                <w:sz w:val="1"/>
                <w:szCs w:val="1"/>
                <w:color w:val="auto"/>
              </w:rPr>
            </w:pPr>
          </w:p>
        </w:tc>
      </w:tr>
      <w:tr>
        <w:trPr>
          <w:trHeight w:val="117"/>
        </w:trPr>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80" w:type="dxa"/>
            <w:vAlign w:val="bottom"/>
            <w:gridSpan w:val="3"/>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w w:val="93"/>
              </w:rPr>
              <w:t>11.75%(11)</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1,749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1,724</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1,724</w:t>
            </w: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80" w:type="dxa"/>
            <w:vAlign w:val="bottom"/>
            <w:gridSpan w:val="3"/>
          </w:tcPr>
          <w:p>
            <w:pPr>
              <w:jc w:val="center"/>
              <w:ind w:left="197"/>
              <w:spacing w:after="0"/>
              <w:rPr>
                <w:sz w:val="20"/>
                <w:szCs w:val="20"/>
                <w:color w:val="auto"/>
              </w:rPr>
            </w:pPr>
            <w:r>
              <w:rPr>
                <w:rFonts w:ascii="Times New Roman" w:cs="Times New Roman" w:eastAsia="Times New Roman" w:hAnsi="Times New Roman"/>
                <w:sz w:val="13"/>
                <w:szCs w:val="13"/>
                <w:color w:val="auto"/>
                <w:w w:val="93"/>
              </w:rPr>
              <w:t>11.75%(11)</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3,497</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3,447</w:t>
            </w:r>
          </w:p>
        </w:tc>
        <w:tc>
          <w:tcPr>
            <w:tcW w:w="0" w:type="dxa"/>
            <w:vAlign w:val="bottom"/>
          </w:tcPr>
          <w:p>
            <w:pPr>
              <w:spacing w:after="0"/>
              <w:rPr>
                <w:sz w:val="1"/>
                <w:szCs w:val="1"/>
                <w:color w:val="auto"/>
              </w:rPr>
            </w:pPr>
          </w:p>
        </w:tc>
      </w:tr>
      <w:tr>
        <w:trPr>
          <w:trHeight w:val="117"/>
        </w:trPr>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80" w:type="dxa"/>
            <w:vAlign w:val="bottom"/>
            <w:gridSpan w:val="3"/>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w w:val="93"/>
              </w:rPr>
              <w:t>11.75%(11)</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1,749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1,723</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1,723</w:t>
            </w: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80" w:type="dxa"/>
            <w:vAlign w:val="bottom"/>
            <w:gridSpan w:val="3"/>
          </w:tcPr>
          <w:p>
            <w:pPr>
              <w:jc w:val="center"/>
              <w:ind w:left="197"/>
              <w:spacing w:after="0"/>
              <w:rPr>
                <w:sz w:val="20"/>
                <w:szCs w:val="20"/>
                <w:color w:val="auto"/>
              </w:rPr>
            </w:pPr>
            <w:r>
              <w:rPr>
                <w:rFonts w:ascii="Times New Roman" w:cs="Times New Roman" w:eastAsia="Times New Roman" w:hAnsi="Times New Roman"/>
                <w:sz w:val="13"/>
                <w:szCs w:val="13"/>
                <w:color w:val="auto"/>
                <w:w w:val="93"/>
              </w:rPr>
              <w:t>11.75%(11)</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3,497</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3,445</w:t>
            </w:r>
          </w:p>
        </w:tc>
        <w:tc>
          <w:tcPr>
            <w:tcW w:w="0" w:type="dxa"/>
            <w:vAlign w:val="bottom"/>
          </w:tcPr>
          <w:p>
            <w:pPr>
              <w:spacing w:after="0"/>
              <w:rPr>
                <w:sz w:val="1"/>
                <w:szCs w:val="1"/>
                <w:color w:val="auto"/>
              </w:rPr>
            </w:pPr>
          </w:p>
        </w:tc>
      </w:tr>
      <w:tr>
        <w:trPr>
          <w:trHeight w:val="117"/>
        </w:trPr>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7"/>
              </w:rPr>
              <w:t>September</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Term Loan</w:t>
            </w:r>
          </w:p>
        </w:tc>
        <w:tc>
          <w:tcPr>
            <w:tcW w:w="1080" w:type="dxa"/>
            <w:vAlign w:val="bottom"/>
            <w:gridSpan w:val="3"/>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w w:val="93"/>
              </w:rPr>
              <w:t>11.75%(11)</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11.75%</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1, 2028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1,749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1,722</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1,722</w:t>
            </w:r>
          </w:p>
        </w:tc>
        <w:tc>
          <w:tcPr>
            <w:tcW w:w="0" w:type="dxa"/>
            <w:vAlign w:val="bottom"/>
          </w:tcPr>
          <w:p>
            <w:pPr>
              <w:spacing w:after="0"/>
              <w:rPr>
                <w:sz w:val="1"/>
                <w:szCs w:val="1"/>
                <w:color w:val="auto"/>
              </w:rPr>
            </w:pPr>
          </w:p>
        </w:tc>
      </w:tr>
      <w:tr>
        <w:trPr>
          <w:trHeight w:val="117"/>
        </w:trPr>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November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Revolver</w:t>
            </w:r>
          </w:p>
        </w:tc>
        <w:tc>
          <w:tcPr>
            <w:tcW w:w="1080" w:type="dxa"/>
            <w:vAlign w:val="bottom"/>
            <w:gridSpan w:val="3"/>
          </w:tcPr>
          <w:p>
            <w:pPr>
              <w:jc w:val="center"/>
              <w:ind w:left="197"/>
              <w:spacing w:after="0"/>
              <w:rPr>
                <w:sz w:val="20"/>
                <w:szCs w:val="20"/>
                <w:color w:val="auto"/>
              </w:rPr>
            </w:pPr>
            <w:r>
              <w:rPr>
                <w:rFonts w:ascii="Times New Roman" w:cs="Times New Roman" w:eastAsia="Times New Roman" w:hAnsi="Times New Roman"/>
                <w:sz w:val="13"/>
                <w:szCs w:val="13"/>
                <w:color w:val="auto"/>
                <w:w w:val="94"/>
              </w:rPr>
              <w:t>11.75%</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Prime</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9.75%</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26, 2026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5,000</w:t>
            </w:r>
          </w:p>
        </w:tc>
        <w:tc>
          <w:tcPr>
            <w:tcW w:w="0" w:type="dxa"/>
            <w:vAlign w:val="bottom"/>
          </w:tcPr>
          <w:p>
            <w:pPr>
              <w:spacing w:after="0"/>
              <w:rPr>
                <w:sz w:val="1"/>
                <w:szCs w:val="1"/>
                <w:color w:val="auto"/>
              </w:rPr>
            </w:pPr>
          </w:p>
        </w:tc>
      </w:tr>
      <w:tr>
        <w:trPr>
          <w:trHeight w:val="117"/>
        </w:trPr>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November</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3,809</w:t>
            </w: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3,809</w:t>
            </w:r>
          </w:p>
        </w:tc>
        <w:tc>
          <w:tcPr>
            <w:tcW w:w="100" w:type="dxa"/>
            <w:vAlign w:val="bottom"/>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Revolver</w:t>
            </w:r>
          </w:p>
        </w:tc>
        <w:tc>
          <w:tcPr>
            <w:tcW w:w="1080" w:type="dxa"/>
            <w:vAlign w:val="bottom"/>
            <w:tcBorders>
              <w:bottom w:val="single" w:sz="8" w:color="CCEEFF"/>
            </w:tcBorders>
            <w:gridSpan w:val="3"/>
            <w:shd w:val="clear" w:color="auto" w:fill="CCEEFF"/>
          </w:tcPr>
          <w:p>
            <w:pPr>
              <w:jc w:val="center"/>
              <w:ind w:left="197"/>
              <w:spacing w:after="0" w:line="140" w:lineRule="exact"/>
              <w:rPr>
                <w:sz w:val="20"/>
                <w:szCs w:val="20"/>
                <w:color w:val="auto"/>
              </w:rPr>
            </w:pPr>
            <w:r>
              <w:rPr>
                <w:rFonts w:ascii="Times New Roman" w:cs="Times New Roman" w:eastAsia="Times New Roman" w:hAnsi="Times New Roman"/>
                <w:sz w:val="13"/>
                <w:szCs w:val="13"/>
                <w:color w:val="auto"/>
                <w:w w:val="94"/>
              </w:rPr>
              <w:t>11.75%</w:t>
            </w:r>
          </w:p>
        </w:tc>
        <w:tc>
          <w:tcPr>
            <w:tcW w:w="540" w:type="dxa"/>
            <w:vAlign w:val="bottom"/>
            <w:tcBorders>
              <w:bottom w:val="single" w:sz="8" w:color="CCEEFF"/>
            </w:tcBorders>
            <w:shd w:val="clear" w:color="auto" w:fill="CCEEFF"/>
          </w:tcPr>
          <w:p>
            <w:pPr>
              <w:ind w:left="120"/>
              <w:spacing w:after="0" w:line="140" w:lineRule="exact"/>
              <w:rPr>
                <w:sz w:val="20"/>
                <w:szCs w:val="20"/>
                <w:color w:val="auto"/>
              </w:rPr>
            </w:pPr>
            <w:r>
              <w:rPr>
                <w:rFonts w:ascii="Times New Roman" w:cs="Times New Roman" w:eastAsia="Times New Roman" w:hAnsi="Times New Roman"/>
                <w:sz w:val="13"/>
                <w:szCs w:val="13"/>
                <w:color w:val="auto"/>
              </w:rPr>
              <w:t>Prime</w:t>
            </w:r>
          </w:p>
        </w:tc>
        <w:tc>
          <w:tcPr>
            <w:tcW w:w="980" w:type="dxa"/>
            <w:vAlign w:val="bottom"/>
            <w:tcBorders>
              <w:bottom w:val="single" w:sz="8" w:color="CCEEFF"/>
            </w:tcBorders>
            <w:gridSpan w:val="3"/>
            <w:shd w:val="clear" w:color="auto" w:fill="CCEEFF"/>
          </w:tcPr>
          <w:p>
            <w:pPr>
              <w:jc w:val="right"/>
              <w:ind w:right="100"/>
              <w:spacing w:after="0" w:line="140" w:lineRule="exact"/>
              <w:rPr>
                <w:sz w:val="20"/>
                <w:szCs w:val="20"/>
                <w:color w:val="auto"/>
              </w:rPr>
            </w:pPr>
            <w:r>
              <w:rPr>
                <w:rFonts w:ascii="Times New Roman" w:cs="Times New Roman" w:eastAsia="Times New Roman" w:hAnsi="Times New Roman"/>
                <w:sz w:val="13"/>
                <w:szCs w:val="13"/>
                <w:color w:val="auto"/>
              </w:rPr>
              <w:t>5.00%</w:t>
            </w:r>
          </w:p>
        </w:tc>
        <w:tc>
          <w:tcPr>
            <w:tcW w:w="880" w:type="dxa"/>
            <w:vAlign w:val="bottom"/>
            <w:tcBorders>
              <w:bottom w:val="single" w:sz="8" w:color="CCEEFF"/>
            </w:tcBorders>
            <w:gridSpan w:val="2"/>
            <w:shd w:val="clear" w:color="auto" w:fill="CCEEFF"/>
          </w:tcPr>
          <w:p>
            <w:pPr>
              <w:jc w:val="right"/>
              <w:ind w:right="100"/>
              <w:spacing w:after="0" w:line="140" w:lineRule="exact"/>
              <w:rPr>
                <w:sz w:val="20"/>
                <w:szCs w:val="20"/>
                <w:color w:val="auto"/>
              </w:rPr>
            </w:pPr>
            <w:r>
              <w:rPr>
                <w:rFonts w:ascii="Times New Roman" w:cs="Times New Roman" w:eastAsia="Times New Roman" w:hAnsi="Times New Roman"/>
                <w:sz w:val="13"/>
                <w:szCs w:val="13"/>
                <w:color w:val="auto"/>
              </w:rPr>
              <w:t>9.75%</w:t>
            </w:r>
          </w:p>
        </w:tc>
        <w:tc>
          <w:tcPr>
            <w:tcW w:w="880" w:type="dxa"/>
            <w:vAlign w:val="bottom"/>
            <w:tcBorders>
              <w:bottom w:val="single" w:sz="8" w:color="CCEEFF"/>
            </w:tcBorders>
            <w:gridSpan w:val="2"/>
            <w:shd w:val="clear" w:color="auto" w:fill="CCEEFF"/>
          </w:tcPr>
          <w:p>
            <w:pPr>
              <w:ind w:left="5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gridSpan w:val="2"/>
            <w:shd w:val="clear" w:color="auto" w:fill="CCEEFF"/>
          </w:tcPr>
          <w:p>
            <w:pPr>
              <w:jc w:val="right"/>
              <w:ind w:right="120"/>
              <w:spacing w:after="0" w:line="140"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26, 2026</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220"/>
              <w:spacing w:after="0" w:line="140" w:lineRule="exact"/>
              <w:rPr>
                <w:sz w:val="20"/>
                <w:szCs w:val="20"/>
                <w:color w:val="auto"/>
              </w:rPr>
            </w:pPr>
            <w:r>
              <w:rPr>
                <w:rFonts w:ascii="Times New Roman" w:cs="Times New Roman" w:eastAsia="Times New Roman" w:hAnsi="Times New Roman"/>
                <w:sz w:val="13"/>
                <w:szCs w:val="13"/>
                <w:color w:val="auto"/>
              </w:rPr>
              <w:t>5,000</w:t>
            </w: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20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color w:val="auto"/>
                <w:w w:val="96"/>
              </w:rPr>
              <w:t>Total Non-Controlled Affiliate Investments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34,798</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37,247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Fair</w:t>
            </w:r>
          </w:p>
        </w:tc>
      </w:tr>
      <w:tr>
        <w:trPr>
          <w:trHeight w:val="155"/>
        </w:trPr>
        <w:tc>
          <w:tcPr>
            <w:tcW w:w="3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 (1)(3)</w:t>
            </w:r>
          </w:p>
        </w:tc>
        <w:tc>
          <w:tcPr>
            <w:tcW w:w="120" w:type="dxa"/>
            <w:vAlign w:val="bottom"/>
          </w:tcPr>
          <w:p>
            <w:pPr>
              <w:spacing w:after="0"/>
              <w:rPr>
                <w:sz w:val="13"/>
                <w:szCs w:val="13"/>
                <w:color w:val="auto"/>
              </w:rPr>
            </w:pPr>
          </w:p>
        </w:tc>
        <w:tc>
          <w:tcPr>
            <w:tcW w:w="126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Sector</w:t>
            </w:r>
          </w:p>
        </w:tc>
        <w:tc>
          <w:tcPr>
            <w:tcW w:w="12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6"/>
              </w:rPr>
              <w:t>Type of Investment (7)</w:t>
            </w:r>
          </w:p>
        </w:tc>
        <w:tc>
          <w:tcPr>
            <w:tcW w:w="120" w:type="dxa"/>
            <w:vAlign w:val="bottom"/>
          </w:tcPr>
          <w:p>
            <w:pPr>
              <w:spacing w:after="0"/>
              <w:rPr>
                <w:sz w:val="13"/>
                <w:szCs w:val="13"/>
                <w:color w:val="auto"/>
              </w:rPr>
            </w:pPr>
          </w:p>
        </w:tc>
        <w:tc>
          <w:tcPr>
            <w:tcW w:w="1680" w:type="dxa"/>
            <w:vAlign w:val="bottom"/>
            <w:gridSpan w:val="4"/>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Investments (6)(9)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Value (9)</w:t>
            </w:r>
          </w:p>
        </w:tc>
      </w:tr>
      <w:tr>
        <w:trPr>
          <w:trHeight w:val="129"/>
        </w:trPr>
        <w:tc>
          <w:tcPr>
            <w:tcW w:w="38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Non-Controlled Affiliate Other Investments — 0.5% (8)</w:t>
            </w:r>
          </w:p>
        </w:tc>
        <w:tc>
          <w:tcPr>
            <w:tcW w:w="120" w:type="dxa"/>
            <w:vAlign w:val="bottom"/>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38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Evelo Holdings, Inc. (2)(5)(12)(15)</w:t>
            </w:r>
          </w:p>
        </w:tc>
        <w:tc>
          <w:tcPr>
            <w:tcW w:w="120" w:type="dxa"/>
            <w:vAlign w:val="bottom"/>
          </w:tcPr>
          <w:p>
            <w:pPr>
              <w:spacing w:after="0"/>
              <w:rPr>
                <w:sz w:val="11"/>
                <w:szCs w:val="11"/>
                <w:color w:val="auto"/>
              </w:rPr>
            </w:pPr>
          </w:p>
        </w:tc>
        <w:tc>
          <w:tcPr>
            <w:tcW w:w="12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13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Investment</w:t>
            </w: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20,092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1,486</w:t>
            </w:r>
          </w:p>
        </w:tc>
      </w:tr>
      <w:tr>
        <w:trPr>
          <w:trHeight w:val="128"/>
        </w:trPr>
        <w:tc>
          <w:tcPr>
            <w:tcW w:w="38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Non-Controlled Affiliate Other Investments</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3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2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20,092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1,486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28"/>
        </w:trPr>
        <w:tc>
          <w:tcPr>
            <w:tcW w:w="38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Non-controlled Affiliate Equity — 7.7% (8)</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8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Aulea Medical, Inc. (12)</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Medical Device</w:t>
            </w:r>
          </w:p>
        </w:tc>
        <w:tc>
          <w:tcPr>
            <w:tcW w:w="13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680" w:type="dxa"/>
            <w:vAlign w:val="bottom"/>
            <w:gridSpan w:val="4"/>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660,537</w:t>
            </w:r>
          </w:p>
        </w:tc>
        <w:tc>
          <w:tcPr>
            <w:tcW w:w="120" w:type="dxa"/>
            <w:vAlign w:val="bottom"/>
            <w:shd w:val="clear" w:color="auto" w:fill="CCEEFF"/>
          </w:tcPr>
          <w:p>
            <w:pPr>
              <w:spacing w:after="0"/>
              <w:rPr>
                <w:sz w:val="11"/>
                <w:szCs w:val="11"/>
                <w:color w:val="auto"/>
              </w:rPr>
            </w:pPr>
          </w:p>
        </w:tc>
        <w:tc>
          <w:tcPr>
            <w:tcW w:w="132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48"/>
        </w:trPr>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Evelo Holdings, Inc. (2)(5)(12)</w:t>
            </w:r>
          </w:p>
        </w:tc>
        <w:tc>
          <w:tcPr>
            <w:tcW w:w="120" w:type="dxa"/>
            <w:vAlign w:val="bottom"/>
          </w:tcPr>
          <w:p>
            <w:pPr>
              <w:spacing w:after="0"/>
              <w:rPr>
                <w:sz w:val="12"/>
                <w:szCs w:val="12"/>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Biotechnology</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168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2,164,502</w:t>
            </w:r>
          </w:p>
        </w:tc>
        <w:tc>
          <w:tcPr>
            <w:tcW w:w="120" w:type="dxa"/>
            <w:vAlign w:val="bottom"/>
          </w:tcPr>
          <w:p>
            <w:pPr>
              <w:spacing w:after="0"/>
              <w:rPr>
                <w:sz w:val="12"/>
                <w:szCs w:val="12"/>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5,000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Hound Labs II, LLC (12)</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Diagnostics</w:t>
            </w:r>
          </w:p>
        </w:tc>
        <w:tc>
          <w:tcPr>
            <w:tcW w:w="1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Stock</w:t>
            </w:r>
          </w:p>
        </w:tc>
        <w:tc>
          <w:tcPr>
            <w:tcW w:w="16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4,769</w:t>
            </w:r>
          </w:p>
        </w:tc>
        <w:tc>
          <w:tcPr>
            <w:tcW w:w="12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4,764</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4,764</w:t>
            </w:r>
          </w:p>
        </w:tc>
      </w:tr>
      <w:tr>
        <w:trPr>
          <w:trHeight w:val="117"/>
        </w:trPr>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Consumer-related</w:t>
            </w: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NextCar Holding Company, Inc. (2)(12)</w:t>
            </w:r>
          </w:p>
        </w:tc>
        <w:tc>
          <w:tcPr>
            <w:tcW w:w="12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Technologies</w:t>
            </w: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Preferred Stock</w:t>
            </w:r>
          </w:p>
        </w:tc>
        <w:tc>
          <w:tcPr>
            <w:tcW w:w="168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2,688,971</w:t>
            </w:r>
          </w:p>
        </w:tc>
        <w:tc>
          <w:tcPr>
            <w:tcW w:w="120" w:type="dxa"/>
            <w:vAlign w:val="bottom"/>
          </w:tcPr>
          <w:p>
            <w:pPr>
              <w:spacing w:after="0"/>
              <w:rPr>
                <w:sz w:val="13"/>
                <w:szCs w:val="13"/>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8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Nexii, Inc. (2)(12)</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Sustainability</w:t>
            </w:r>
          </w:p>
        </w:tc>
        <w:tc>
          <w:tcPr>
            <w:tcW w:w="13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Preferred Stock</w:t>
            </w:r>
          </w:p>
        </w:tc>
        <w:tc>
          <w:tcPr>
            <w:tcW w:w="1680" w:type="dxa"/>
            <w:vAlign w:val="bottom"/>
            <w:gridSpan w:val="4"/>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168,377</w:t>
            </w:r>
          </w:p>
        </w:tc>
        <w:tc>
          <w:tcPr>
            <w:tcW w:w="120" w:type="dxa"/>
            <w:vAlign w:val="bottom"/>
            <w:shd w:val="clear" w:color="auto" w:fill="CCEEFF"/>
          </w:tcPr>
          <w:p>
            <w:pPr>
              <w:spacing w:after="0"/>
              <w:rPr>
                <w:sz w:val="11"/>
                <w:szCs w:val="11"/>
                <w:color w:val="auto"/>
              </w:rPr>
            </w:pPr>
          </w:p>
        </w:tc>
        <w:tc>
          <w:tcPr>
            <w:tcW w:w="132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9,751</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8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Shengrow, Inc. aka Soli Organic, Inc. (2)(12)</w:t>
            </w:r>
          </w:p>
        </w:tc>
        <w:tc>
          <w:tcPr>
            <w:tcW w:w="120" w:type="dxa"/>
            <w:vAlign w:val="bottom"/>
          </w:tcPr>
          <w:p>
            <w:pPr>
              <w:spacing w:after="0"/>
              <w:rPr>
                <w:sz w:val="11"/>
                <w:szCs w:val="11"/>
                <w:color w:val="auto"/>
              </w:rPr>
            </w:pPr>
          </w:p>
        </w:tc>
        <w:tc>
          <w:tcPr>
            <w:tcW w:w="12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Sustainability</w:t>
            </w:r>
          </w:p>
        </w:tc>
        <w:tc>
          <w:tcPr>
            <w:tcW w:w="13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680" w:type="dxa"/>
            <w:vAlign w:val="bottom"/>
            <w:gridSpan w:val="4"/>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4,274,555</w:t>
            </w:r>
          </w:p>
        </w:tc>
        <w:tc>
          <w:tcPr>
            <w:tcW w:w="120" w:type="dxa"/>
            <w:vAlign w:val="bottom"/>
          </w:tcPr>
          <w:p>
            <w:pPr>
              <w:spacing w:after="0"/>
              <w:rPr>
                <w:sz w:val="11"/>
                <w:szCs w:val="11"/>
                <w:color w:val="auto"/>
              </w:rPr>
            </w:pPr>
          </w:p>
        </w:tc>
        <w:tc>
          <w:tcPr>
            <w:tcW w:w="132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1,292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1,292</w:t>
            </w:r>
          </w:p>
        </w:tc>
      </w:tr>
      <w:tr>
        <w:trPr>
          <w:trHeight w:val="135"/>
        </w:trPr>
        <w:tc>
          <w:tcPr>
            <w:tcW w:w="382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Shengrow, Inc. aka Soli Organic, Inc. (2)(12)</w:t>
            </w:r>
          </w:p>
        </w:tc>
        <w:tc>
          <w:tcPr>
            <w:tcW w:w="12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Sustainability</w:t>
            </w:r>
          </w:p>
        </w:tc>
        <w:tc>
          <w:tcPr>
            <w:tcW w:w="1360" w:type="dxa"/>
            <w:vAlign w:val="bottom"/>
            <w:tcBorders>
              <w:bottom w:val="single" w:sz="8" w:color="CCEEFF"/>
            </w:tcBorders>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Preferred Stock</w:t>
            </w:r>
          </w:p>
        </w:tc>
        <w:tc>
          <w:tcPr>
            <w:tcW w:w="1680" w:type="dxa"/>
            <w:vAlign w:val="bottom"/>
            <w:tcBorders>
              <w:bottom w:val="single" w:sz="8" w:color="CCEEFF"/>
            </w:tcBorders>
            <w:gridSpan w:val="4"/>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1,964,733</w:t>
            </w:r>
          </w:p>
        </w:tc>
        <w:tc>
          <w:tcPr>
            <w:tcW w:w="12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13,209</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18,355</w:t>
            </w:r>
          </w:p>
        </w:tc>
        <w:tc>
          <w:tcPr>
            <w:tcW w:w="100" w:type="dxa"/>
            <w:vAlign w:val="bottom"/>
            <w:tcBorders>
              <w:bottom w:val="single" w:sz="8" w:color="CCEEFF"/>
            </w:tcBorders>
            <w:shd w:val="clear" w:color="auto" w:fill="CCEEFF"/>
          </w:tcPr>
          <w:p>
            <w:pPr>
              <w:spacing w:after="0"/>
              <w:rPr>
                <w:sz w:val="11"/>
                <w:szCs w:val="11"/>
                <w:color w:val="auto"/>
              </w:rPr>
            </w:pPr>
          </w:p>
        </w:tc>
      </w:tr>
      <w:tr>
        <w:trPr>
          <w:trHeight w:val="128"/>
        </w:trPr>
        <w:tc>
          <w:tcPr>
            <w:tcW w:w="38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Total Non-Controlled Affiliate Equity</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34,016</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24,411</w:t>
            </w:r>
          </w:p>
        </w:tc>
      </w:tr>
      <w:tr>
        <w:trPr>
          <w:trHeight w:val="129"/>
        </w:trPr>
        <w:tc>
          <w:tcPr>
            <w:tcW w:w="38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Non-controlled Affiliate Warrants — 0.0% (8)</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38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Evelo Holdings, Inc. (2)(5)(12)</w:t>
            </w:r>
          </w:p>
        </w:tc>
        <w:tc>
          <w:tcPr>
            <w:tcW w:w="120" w:type="dxa"/>
            <w:vAlign w:val="bottom"/>
          </w:tcPr>
          <w:p>
            <w:pPr>
              <w:spacing w:after="0"/>
              <w:rPr>
                <w:sz w:val="11"/>
                <w:szCs w:val="11"/>
                <w:color w:val="auto"/>
              </w:rPr>
            </w:pPr>
          </w:p>
        </w:tc>
        <w:tc>
          <w:tcPr>
            <w:tcW w:w="12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Biotechnology</w:t>
            </w:r>
          </w:p>
        </w:tc>
        <w:tc>
          <w:tcPr>
            <w:tcW w:w="13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w w:val="95"/>
              </w:rPr>
              <w:t>Common Stock Warrant</w:t>
            </w:r>
          </w:p>
        </w:tc>
        <w:tc>
          <w:tcPr>
            <w:tcW w:w="1680" w:type="dxa"/>
            <w:vAlign w:val="bottom"/>
            <w:gridSpan w:val="4"/>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23,196</w:t>
            </w: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r>
      <w:tr>
        <w:trPr>
          <w:trHeight w:val="128"/>
        </w:trPr>
        <w:tc>
          <w:tcPr>
            <w:tcW w:w="382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Total Non-Controlled Affiliate Warrants</w:t>
            </w:r>
          </w:p>
        </w:tc>
        <w:tc>
          <w:tcPr>
            <w:tcW w:w="12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3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127</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r>
      <w:tr>
        <w:trPr>
          <w:trHeight w:val="128"/>
        </w:trPr>
        <w:tc>
          <w:tcPr>
            <w:tcW w:w="38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Non-Controlled Affiliate Portfolio Investment Assets</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0" w:type="dxa"/>
            <w:vAlign w:val="bottom"/>
            <w:gridSpan w:val="5"/>
          </w:tcPr>
          <w:p>
            <w:pPr>
              <w:jc w:val="right"/>
              <w:ind w:right="8"/>
              <w:spacing w:after="0" w:line="129"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3"/>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89,033</w:t>
            </w:r>
          </w:p>
        </w:tc>
        <w:tc>
          <w:tcPr>
            <w:tcW w:w="360" w:type="dxa"/>
            <w:vAlign w:val="bottom"/>
            <w:gridSpan w:val="2"/>
          </w:tcPr>
          <w:p>
            <w:pPr>
              <w:jc w:val="right"/>
              <w:ind w:right="1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63,144</w:t>
            </w:r>
          </w:p>
        </w:tc>
      </w:tr>
      <w:tr>
        <w:trPr>
          <w:trHeight w:val="168"/>
        </w:trPr>
        <w:tc>
          <w:tcPr>
            <w:tcW w:w="382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Portfolio Investment Assets — 203.2% (8)</w:t>
            </w:r>
          </w:p>
        </w:tc>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gridSpan w:val="2"/>
            <w:shd w:val="clear" w:color="auto" w:fill="CCEEFF"/>
          </w:tcPr>
          <w:p>
            <w:pPr>
              <w:spacing w:after="0"/>
              <w:rPr>
                <w:sz w:val="14"/>
                <w:szCs w:val="14"/>
                <w:color w:val="auto"/>
              </w:rPr>
            </w:pPr>
          </w:p>
        </w:tc>
        <w:tc>
          <w:tcPr>
            <w:tcW w:w="240" w:type="dxa"/>
            <w:vAlign w:val="bottom"/>
            <w:tcBorders>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705,269</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647,244</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97"/>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8"/>
        </w:trPr>
        <w:tc>
          <w:tcPr>
            <w:tcW w:w="3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Short Term Investments - Unrestricted Investments - 8.1% (8)</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 Bank Money Market Deposit Account</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34,711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34,711</w:t>
            </w:r>
          </w:p>
        </w:tc>
      </w:tr>
      <w:tr>
        <w:trPr>
          <w:trHeight w:val="182"/>
        </w:trPr>
        <w:tc>
          <w:tcPr>
            <w:tcW w:w="38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Short Term Investments - Unrestricted Investments</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$34,711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$34,711</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29"/>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Short Term Investments - Restricted Investments - 1.0% (8)</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3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 Bank Money Market Deposit Account</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2,463</w:t>
            </w:r>
          </w:p>
        </w:tc>
      </w:tr>
      <w:tr>
        <w:trPr>
          <w:trHeight w:val="182"/>
        </w:trPr>
        <w:tc>
          <w:tcPr>
            <w:tcW w:w="38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Short Term Investments - Restricted Investments</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$2,463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$2,463</w:t>
            </w: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11" w:lineRule="exact"/>
        <w:rPr>
          <w:sz w:val="20"/>
          <w:szCs w:val="20"/>
          <w:color w:val="auto"/>
        </w:rPr>
      </w:pPr>
    </w:p>
    <w:p>
      <w:pPr>
        <w:ind w:left="340" w:hanging="332"/>
        <w:spacing w:after="0" w:line="269"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investments of the Company are in entities which are organized under the laws of the United States and have a principal place of business in the United States, unless otherwise noted.</w:t>
      </w:r>
    </w:p>
    <w:p>
      <w:pPr>
        <w:ind w:left="340" w:hanging="332"/>
        <w:spacing w:after="0"/>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been pledged as collateral under the Key Facility, the NYL Facility and/or the Nuveen Facility.</w:t>
      </w:r>
    </w:p>
    <w:p>
      <w:pPr>
        <w:spacing w:after="0" w:line="18" w:lineRule="exact"/>
        <w:rPr>
          <w:rFonts w:ascii="Times New Roman" w:cs="Times New Roman" w:eastAsia="Times New Roman" w:hAnsi="Times New Roman"/>
          <w:sz w:val="16"/>
          <w:szCs w:val="16"/>
          <w:color w:val="auto"/>
        </w:rPr>
      </w:pPr>
    </w:p>
    <w:p>
      <w:pPr>
        <w:ind w:left="340" w:right="160" w:hanging="332"/>
        <w:spacing w:after="0" w:line="264"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jc w:val="both"/>
        <w:ind w:left="340" w:hanging="332"/>
        <w:spacing w:after="0" w:line="264"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interest is payable in cash due monthly in arrears, unless otherwise indicated, and applies only to the Company’s debt investments. Interest rate is the annual interest rate on the debt investment and does not include end-of-term payments (“ETPs”), and any additional fees related to the investments, such as deferred interest, commitment fees or prepayment fees. Debt investments are at variable rates for the term of the debt investment, unless otherwise indicated. For each debt investment,</w:t>
      </w:r>
    </w:p>
    <w:p>
      <w:pPr>
        <w:ind w:left="340"/>
        <w:spacing w:after="0"/>
        <w:rPr>
          <w:sz w:val="20"/>
          <w:szCs w:val="20"/>
          <w:color w:val="auto"/>
        </w:rPr>
      </w:pPr>
      <w:r>
        <w:rPr>
          <w:rFonts w:ascii="Times New Roman" w:cs="Times New Roman" w:eastAsia="Times New Roman" w:hAnsi="Times New Roman"/>
          <w:sz w:val="16"/>
          <w:szCs w:val="16"/>
          <w:color w:val="auto"/>
        </w:rPr>
        <w:t>the current interest rate in effect as of  December 31, 2025 is provided.</w:t>
      </w:r>
    </w:p>
    <w:p>
      <w:pPr>
        <w:spacing w:after="0" w:line="1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Portfolio company is a public company.</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debt investments, represents principal balance less unearned income.</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Equity and Other Investments are non-income producing.</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 as a percent of net assets.</w:t>
      </w:r>
    </w:p>
    <w:p>
      <w:pPr>
        <w:spacing w:after="0" w:line="18" w:lineRule="exact"/>
        <w:rPr>
          <w:rFonts w:ascii="Times New Roman" w:cs="Times New Roman" w:eastAsia="Times New Roman" w:hAnsi="Times New Roman"/>
          <w:sz w:val="16"/>
          <w:szCs w:val="16"/>
          <w:color w:val="auto"/>
        </w:rPr>
      </w:pPr>
    </w:p>
    <w:p>
      <w:pPr>
        <w:jc w:val="both"/>
        <w:ind w:left="340" w:right="20" w:hanging="332"/>
        <w:spacing w:after="0" w:line="264"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0.0% of the Company's total assets on a cost and fair value basis are in non-qualifying assets under Section 55(a) of the 1940 Act. Under the 1940 Act, the Company may not acquire any non-qualifying assets unless, at the time the acquisition is made, qualifying assets represent at least 70% of the Company’s total assets.</w:t>
      </w: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ETPs are contractual fixed-interest payments due in cash at the maturity date of the applicable debt investment, including upon any prepayment, and are a</w:t>
      </w:r>
    </w:p>
    <w:p>
      <w:pPr>
        <w:spacing w:after="0" w:line="18" w:lineRule="exact"/>
        <w:rPr>
          <w:rFonts w:ascii="Times New Roman" w:cs="Times New Roman" w:eastAsia="Times New Roman" w:hAnsi="Times New Roman"/>
          <w:sz w:val="16"/>
          <w:szCs w:val="16"/>
          <w:color w:val="auto"/>
        </w:rPr>
      </w:pPr>
    </w:p>
    <w:p>
      <w:pPr>
        <w:ind w:left="340" w:right="20"/>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investment has a PIK feature in which the accrued interest is added to the then-outstanding principal amount of the debt investment.</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investment was valued using significant unobservable inputs.</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investment is on non-accrual status as of December 31, 2025.</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investment is on non-accrual status as of December 31, 2025 and interest payments will be recognized as income on a cash basis.</w:t>
      </w:r>
    </w:p>
    <w:p>
      <w:pPr>
        <w:spacing w:after="0" w:line="18" w:lineRule="exact"/>
        <w:rPr>
          <w:rFonts w:ascii="Times New Roman" w:cs="Times New Roman" w:eastAsia="Times New Roman" w:hAnsi="Times New Roman"/>
          <w:sz w:val="16"/>
          <w:szCs w:val="16"/>
          <w:color w:val="auto"/>
        </w:rPr>
      </w:pPr>
    </w:p>
    <w:p>
      <w:pPr>
        <w:jc w:val="both"/>
        <w:ind w:left="340" w:hanging="332"/>
        <w:spacing w:after="0" w:line="264"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investment originally consisted of debt investments in Evelo. Evelo was a clinical stage life science company that was unable to raise additional capital to continue as a going concern and, through a series of transactions, Evelo became a subsidiary of Evelo Holdings and Evelo Holdings assumed the indebtedness of Evelo to the Company. Evelo Holdings is not an operating company but holds certain contractual rights to contingent payments and owns equity in Evelo, as well as certain assets it seeks to sell. The Company has a first priority security interest in the assets of Evelo Holdings, so if any payments are received by Evelo Holdings or any of its equity holdings or other assets are sold, the Company will receive substantially all of the proceeds from the same, until such time, if ever, that all of the indebtedness is repaid. Accordingly, the Company characterizes this investment as an “Other Investment” rather than a “Debt Investment”.</w:t>
      </w:r>
    </w:p>
    <w:p>
      <w:pPr>
        <w:jc w:val="both"/>
        <w:ind w:left="340" w:hanging="332"/>
        <w:spacing w:after="0" w:line="264"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investment originally consisted of debt investments in Better Place. On April 30, 2025, Better Place transferred ownership of all of its right, title and interest in and to all of its tangible and intangible assets to BP ABC and BP ABC sold a portion of such assets to Memorial Forests Foundation in consideration for, among other things, the assumption of certain liabilities of BP ABC. The Company has a first priority security interest in the remaining assets of BP ABC, including certain rights to employee retention tax credits, so if any payments are received by BP ABC, the Company will receive a portion of the proceeds from the same, until such time, if ever, that all of the obligations of BP ABC to the Company are repaid. Accordingly, the Company characterizes this investment as an “Other Investment” rather than a “Debt Investment".</w:t>
      </w:r>
    </w:p>
    <w:p>
      <w:pPr>
        <w:jc w:val="both"/>
        <w:ind w:left="340" w:hanging="332"/>
        <w:spacing w:after="0" w:line="270"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6, 2025, the Company purchased this investment as a part of a portfolio of debt and related investments of Powerscourt XXV LP, a fund managed by WAM, for a purchase price of $22.5 million, which assets at the purchase date had a fair value of $36.5 million and included debt investments on accrual status with a principal balance of $34.9 million. WAM and the Advisor (as defined in Note 1) had previously entered into Master Program Agreement in March 2023 whereby the Advisor offered WAM the opportunity to participate, as a co-lender with the Company, in debt investments originated by the Advisor. WAM retained all investment decisions. In 2023, WAM ceased making new investments under the program, as it no longer wished to pursue a venture debt strategy.</w:t>
      </w:r>
    </w:p>
    <w:p>
      <w:pPr>
        <w:spacing w:after="0" w:line="1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29" w:lineRule="exact"/>
        <w:rPr>
          <w:sz w:val="20"/>
          <w:szCs w:val="20"/>
          <w:color w:val="auto"/>
        </w:rPr>
      </w:pPr>
    </w:p>
    <w:p>
      <w:pPr>
        <w:jc w:val="both"/>
        <w:ind w:left="20" w:firstLine="324"/>
        <w:spacing w:after="0" w:line="255" w:lineRule="auto"/>
        <w:rPr>
          <w:sz w:val="20"/>
          <w:szCs w:val="20"/>
          <w:color w:val="auto"/>
        </w:rPr>
      </w:pPr>
      <w:r>
        <w:rPr>
          <w:rFonts w:ascii="Times New Roman" w:cs="Times New Roman" w:eastAsia="Times New Roman" w:hAnsi="Times New Roman"/>
          <w:sz w:val="18"/>
          <w:szCs w:val="18"/>
          <w:color w:val="auto"/>
        </w:rPr>
        <w:t>Horizon Technology Finance Corporation (the “Company”) was organized as a Delaware corporation on March 16, 2010 and is an externally managed, non-diversified, closed-end investment company. The Company has elected to be regulated as a business development company (“BDC”) under the 1940 Act. In addition, for tax purposes, the Company has elected to be treated as a regulated investment company (“RIC”) as defined under Subchapter M of the Internal Revenue Code of 1986, as amended (the “Code”). As a RIC, the Company generally is not subject to corporate-level federal income tax on the portion of its taxable income (including net capital gains) the Company distributes to its stockholders. The Company primarily makes secured debt investments to development-stage companies in the technology, life science, healthcare information and services and sustainability industries. All of the Company’s debt investments consist of loans secured by all of, or a portion of, the applicable debtor company’s tangible and intangible assets.</w:t>
      </w:r>
    </w:p>
    <w:p>
      <w:pPr>
        <w:spacing w:after="0" w:line="189" w:lineRule="exact"/>
        <w:rPr>
          <w:sz w:val="20"/>
          <w:szCs w:val="20"/>
          <w:color w:val="auto"/>
        </w:rPr>
      </w:pPr>
    </w:p>
    <w:p>
      <w:pPr>
        <w:jc w:val="both"/>
        <w:ind w:left="20" w:firstLine="324"/>
        <w:spacing w:after="0" w:line="282" w:lineRule="auto"/>
        <w:rPr>
          <w:sz w:val="20"/>
          <w:szCs w:val="20"/>
          <w:color w:val="auto"/>
        </w:rPr>
      </w:pPr>
      <w:r>
        <w:rPr>
          <w:rFonts w:ascii="Times New Roman" w:cs="Times New Roman" w:eastAsia="Times New Roman" w:hAnsi="Times New Roman"/>
          <w:sz w:val="18"/>
          <w:szCs w:val="18"/>
          <w:color w:val="auto"/>
        </w:rPr>
        <w:t>On October 28, 2010, the Company completed an initial public offering (“IPO”) and its common stock trades on the Nasdaq Global Select Market under the symbol “HRZN”.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14, 2026, the Company completed its previously announced merger with Monroe Capital Corporation (“MRCC”), HMMS, Inc. (“Merger Sub”), Monroe Capital BDC Advisors, LLC, and the Advisor, pursuant to the Agreement and Plan of Merger, dated as of August 7, 2025 (the “Merger Agreement”). Pursuant to the Merger Agreement, immediately following the Asset Sale (as defined below) and at the effective time of the Merger (the “Effective Time”), Merger Sub merged with and into MRCC, with MRCC continuing as the surviving company and as a wholly owned subsidiary of the Company, and, immediately thereafter, MRCC merged into the Company, with the Company continuing as the surviving company (collectively, the “Mergers”). MRCC also entered into an Asset Purchase Agreement (the “Asset Purchase Agreement”) with Monroe Capital Income Plus Corporation (“MCIP”), and MC Advisors, pursuant to which, MCIP acquired all of MRCC’s investment assets and liabilities at fair value, for cash (the “Asset Sale” and together with the Merger, the “Transactions”).</w:t>
      </w:r>
    </w:p>
    <w:p>
      <w:pPr>
        <w:spacing w:after="0" w:line="192"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Horizon Credit II LLC (“Credit II”) was formed as a Delaware limited liability company on June 28, 2011, with the Company as its sole equity member. Credit II is a special purpose bankruptcy-remote entity and is a separate legal entity from the Company. Any assets conveyed to Credit II are not available to creditors of the Company or any other entity other than Credit II’s lenders. Credit II is consolidated in the financial statements of the Company.</w:t>
      </w:r>
    </w:p>
    <w:p>
      <w:pPr>
        <w:spacing w:after="0" w:line="176" w:lineRule="exact"/>
        <w:rPr>
          <w:sz w:val="20"/>
          <w:szCs w:val="20"/>
          <w:color w:val="auto"/>
        </w:rPr>
      </w:pP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Horizon Funding I, LLC (“HFI”) was formed as a Delaware limited liability company on May 9, 2018, with Horizon Secured Loan Fund I LLC, a Delaware limited liability company (“HSLFI”) as its sole member. HFI is a special purpose bankruptcy-remote entity and is a separate legal entity from HSLFI. Any assets conveyed to HFI are not available to creditors of HSLFI or any other entity other than HFI’s lenders. As of April 21, 2020, HSLFI and its subsidiary, HFI, are consolidated in the financial statements of the Company.</w:t>
      </w:r>
    </w:p>
    <w:p>
      <w:pPr>
        <w:spacing w:after="0" w:line="180"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Horizon Funding II, LLC (“HFII”) was formed as a Delaware limited liability company on May 13, 2024, with the Company as its sole equity member. HFII is a special purpose bankruptcy-remote entity and is a separate legal entity from the Company. Any assets conveyed to HFII are not available to creditors of the Company or any other entity other than HFII’s lenders. HFII is consolidated in the financial statements of the Company.</w:t>
      </w:r>
    </w:p>
    <w:p>
      <w:pPr>
        <w:spacing w:after="0" w:line="176" w:lineRule="exact"/>
        <w:rPr>
          <w:sz w:val="20"/>
          <w:szCs w:val="20"/>
          <w:color w:val="auto"/>
        </w:rPr>
      </w:pPr>
    </w:p>
    <w:p>
      <w:pPr>
        <w:jc w:val="both"/>
        <w:ind w:left="20"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has established wholly owned subsidiaries, which are structured as Delaware limited liability companies, either to hold assets of portfolio companies acquired in connection with a foreclosure or bankruptcy or to hold equity in portfolio companies which the Company may control. Such wholly-owned subsidiaries are separate legal entities from the Company and are consolidated in the financial statements of the Company.</w:t>
      </w:r>
    </w:p>
    <w:p>
      <w:pPr>
        <w:spacing w:after="0" w:line="176" w:lineRule="exact"/>
        <w:rPr>
          <w:sz w:val="20"/>
          <w:szCs w:val="20"/>
          <w:color w:val="auto"/>
        </w:rPr>
      </w:pPr>
    </w:p>
    <w:p>
      <w:pPr>
        <w:jc w:val="both"/>
        <w:ind w:left="20" w:firstLine="324"/>
        <w:spacing w:after="0" w:line="256" w:lineRule="auto"/>
        <w:rPr>
          <w:sz w:val="20"/>
          <w:szCs w:val="20"/>
          <w:color w:val="auto"/>
        </w:rPr>
      </w:pPr>
      <w:r>
        <w:rPr>
          <w:rFonts w:ascii="Times New Roman" w:cs="Times New Roman" w:eastAsia="Times New Roman" w:hAnsi="Times New Roman"/>
          <w:sz w:val="18"/>
          <w:szCs w:val="18"/>
          <w:color w:val="auto"/>
        </w:rPr>
        <w:t>The Company, together with a former co-lender to IMV, established HIMV LLC, a Delaware limited liability company to purchase and sell the assets of IMV, a past borrower of the Company. The assets of IMV were sold for (i) the right to receive certain payments, if any, in connection with the potential future development and licensing of the assets sold and (ii) equity in the buyer of such assets. HIMV LLC was 70% owned by the Company and 30% owned by a third-party co-lender. On August 6, 2025, the Company purchased its co-lender’s interest in HIMV LLC. As of August 6, 2025, the Company owns 100% of HIMV LLC and HIMV LLC is consolidated in the financial statements of the Company. The Company dissolved HIMV LLC on January 27, 2026.</w:t>
      </w:r>
    </w:p>
    <w:p>
      <w:pPr>
        <w:spacing w:after="0" w:line="187" w:lineRule="exact"/>
        <w:rPr>
          <w:sz w:val="20"/>
          <w:szCs w:val="20"/>
          <w:color w:val="auto"/>
        </w:rPr>
      </w:pP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The Company’s investment strategy is to maximize the investment portfolio’s return by generating current income from the debt investments the Company makes and capital appreciation from the warrants the Company receives when making such debt investments. The Company has entered into an investment management agreement (the “Investment Management Agreement”) with the Advisor under which the Advisor manages the day-to-day operations of, and provides investment advisory services to, the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significant accounting policies</w:t>
      </w:r>
    </w:p>
    <w:p>
      <w:pPr>
        <w:spacing w:after="0" w:line="22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U.S. generally accepted accounting principles (“GAAP”) and pursuant to the requirements for reporting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Articles 6 and 10 of Regulation S-X (“Regulation S-X”) under the Securities Act of 1933, as amended (the “Securities Act”). In the opinion of management, the consolidated financial statements reflect all adjustments and reclassifications, consisting solely of normal recurring accruals, that are necessary for the fair presentation of financial results as of and for the periods presented. All intercompany balances and transactions have been eliminated. The current period’s results of operations are not necessarily indicative of results that ultimately may be achieved for the year. Therefore, the unaudited financial statements and notes should be read in conjunction with the audited financial statements and notes thereto as of and for the year ended December 31, 2025.</w:t>
      </w:r>
    </w:p>
    <w:p>
      <w:pPr>
        <w:spacing w:after="0" w:line="1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required under GAAP and Regulation S-X, the Company will generally consolidate its investment in a company that is an investment company subsidiary or a controlled operating company whose business consists of providing services to the Company. Accordingly, the Company consolidated the results of the Company’s wholly-owned subsidiaries in its consolidated financial statements.</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Assets related to transactions that do not meet Accounting Standards Codification (“ASC”) Topic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requirements for accounting sale treatment are reflected in the Company’s Consolidated Statements of Assets and Liabilities as investments. Those assets are owned by special purpose entities that are consolidated in the Company’s consolidated financial statements. The creditors of the special purpose entities have received security interests in such assets, and such assets are not intended to be available to the creditors of the Company (or any affiliate of the Company).</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preparing the consolidated financial statements in accordance with GAAP, management is required to make estimates and assumptions that affect the reported amounts of assets and liabilities, and disclosures of contingent assets and liabilities, as of the date of the balance sheet and income and expenses for the period. Actual results could differ from those estimates. Material estimates that are particularly susceptible to significant change in the near term relate to the valuation of investments.</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records all of its investments at fair value in accordance with relevant GAAP, which establishes a framework used to measure fair value and requires disclosures for fair value measurements. The Company has categorized its investments carried at fair value, based on the priority of the valuation technique, into a three-level fair value hierarchy as more fully described in Note 6. Fair value is a market-based measure considered from the perspective of the market participant who holds the financial instrument rather than an entity specific measure. Therefore, when market assumptions are not readily available, the Company’s own assumptions are set to reflect those that management believes market participants would use in pricing the financial instrument at the measurement date.</w:t>
      </w:r>
    </w:p>
    <w:p>
      <w:pPr>
        <w:spacing w:after="0" w:line="187"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is greatest for financial instruments classified as Level 3.</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 for additional information regarding fair value.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determined that it has a single reporting segment and operating unit structure. The Company lends to and invests in portfolio companies in various technology, life science, healthcare information and services and sustainability industries. The Company separately evaluates the performance of each of its lending and investment relationships. However, because each of these debt investments and investment relationships has similar business and economic characteristics, they have been aggregated into a single lending and investment segment.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chief operating decision maker (“CODM”) is comprised of the Company’s Chief Executive Officer, Chief Financial Officer and Chief Investment Officer. The CODM assesses the performance of and makes operating decisions on behalf of the Company on a consolidated basis primarily based on the Company’s net increase (decrease) in net assets resulting from operations (“net income”). In addition to numerous other factors and metrics, the CODM utilizes net income as a key metric in recommending to the Company's board of directors (the “Board”) the amount of dividends to be distributed to the Company’s stockholders and the Board makes the determination of the amount of dividends to be distributed to the Company’s stockholders. As the Company’s operations comprise a single reporting segment, the segment assets are reflected on the Company’s Consolidated Statements of Assets and Liabilities as “Total assets” and the significant segment expenses are listed on the Company’s Consolidated Statements of Operations.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Investments are recorded at fair value. Pursuant to the amended SEC Rule 2a-5 of the 1940 Act, on July 29, 2022, the Board designated the Advisor as the Company’s “valuation designee.” The valuation designee determines the fair value of the Company’s portfolio investments and the Company's Board oversees the valuation designee. The Company has the intent to hold its debt investments for the foreseeable future or until maturity or payoff.</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the Company otherwise does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As of March 31, 2026, there were three investments on nonaccrual status with a cost of $32.1 million and a fair value of $24.3 million. As of December 31, 2025, there were three investments on non-accrual status with a cost of $32.8 million and a fair value of $24.5 million. For the three months ended March 31, 2026, the Company recognized $0.1 million of interest income from debt investments while on non-accrual status. For the three months ended March 31, 2025, the Company did not recognize any interest income from debt investments while on non-accrual status.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have debt investments that contain a PIK provision. Contractual PIK interest, which represents contractually deferred interest added to the loan balance that is generally due at the end of the loan term, is generally recorded on an accrual basis to the extent such amounts are expected to be collected. As of March 31, 2026 and December 31, 2025, there were six investments with PIK provisions. For the three months ended March 31, 2026 and 2025, PIK interest income totaled $1.3 million and $0.3 million, respectively. For the three months ended March 31, 2026 and 2025, 5.3% and 1.2%, respectively, of the Company’s total investment income was attributable to non-cash PIK interest. The Company will generally cease accruing PIK interest if management does not expect the portfolio company to be able to pay all principal and interest due. For the three months ended March 31, 2026, there were no debt investments which had accrued PIK interest into income during the three months ended March 31, 2026 placed on nonaccrual status as of March 31, 2026. For the three months ended March 31, 2025, one debt investment, which had accrued PIK interest into income of $0.2 million during the three months ended March 31, 2025 was placed on nonaccrual status as of March 31, 2025.</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receives a variety of fees from borrowers in the ordinary course of conducting its business, including advisory fees, commitment fees, amendment fees, non-utilization fees, success fees and prepayment fees. In a limited number of cases, the Company may also receive a non-refundable deposit earned upon the termination of a transaction. Debt investment origination fees, net of certain direct origination costs, are deferred and, along with unearned income, are amortized as a level-yield adjustment over the respective term of the debt investment. All other income is recognized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debt investment agreements also require the borrower to make an ETP, that is accrued into interest receivable and taken into income over the life of the debt investment to the extent such amounts are expected to be collected. The Company will generally cease accruing the income if there is insufficient value to support the accrual or the Company does not expect the borrower to be able to pay the ETP when due. The proportion of the Company’s total investment income that resulted from the portion of ETPs not received in cash for the three months ended March 31, 2026 and 2025 was 6.0% and 4.6%, respectively.</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substantially all lending arrangements, the Company receives warrants to purchase shares of stock from the borrower. The warrants are recorded as assets at estimated fair value on the grant date using the Black-Scholes valuation model. The warrants are considered loan fees and are recorded as unearned income on the grant date. The unearned income is recognized as interest income over the contractual life of the related debt investment in accordance with the Company’s income recognition policy. Subsequent to debt investment origination, the fair value of the warrants is determined using the Black-Scholes valuation model. Any adjustment to fair value is recorded through earnings as net unrealized appreciation or depreciation on investments. Gains and losses from the disposition of the warrants or stock acquired from the exercise of warrants are recognized as realized gains and losses on investments.</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Realized gains or losses on the sale of investments, or upon the determination that an investment balance, or portion thereof, is not recoverable, are calculated using the specific identification method. The Company measures realized gains or losses by calculating the difference between the net proceeds from the repayment or sale and the amortized cost basis of the investment. Net unrealized appreciation or depreciation reflects the change in the fair values of the Company’s portfolio investments during the reporting period, including any reversal of previously recorded unrealized appreciation or depreciation when gains or losses are realized.</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Debt issuance costs are fees and other direct incremental costs incurred by the Company in obtaining debt financing from its lenders and issuing debt securities. The unamortized balance of debt issuance costs as of March 31, 2026 and December 31, 2025 was $8.8 million and $10.6 million, respectively. These amounts are capitalized and amortized and included in interest expense in the consolidated statements of operations over the life of the borrowings. The accumulated amortization balances as of March 31, 2026 and December 31, 2025 were $7.6 million and $8.9 million, respectively. The amortization expense for the three months ended March 31, 2026 and 2025 was $0.6 million and $0.7 million, respectively.</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a BDC, the Company has elected to be treated as a RIC under Subchapter M of the Code and operates in a manner so as to qualify for the tax treatment applicable to RICs. In order to qualify as a RIC and to avoid the imposition of corporate-level income tax on the portion of its taxable income distributed to stockholders, among other things, the Company is required to meet certain source of income and asset diversification requirements and to timely distribute dividends out of assets legally available for distribution to its stockholders of an amount generally at least equal to 90% of its investment company taxable income, as defined by the Code and determined without regard to any deduction for dividends paid, for each tax year. The Company, among other things, has made and intends to continue to make the requisite distributions to its stockholders, which generally relieves the Company from corporate-level U.S. federal income taxes. Accordingly, no provision for federal income tax has been recorded in the financial statements. Differences between taxable income and net increase in net assets resulting from operations either can be temporary, meaning they will reverse in the future, or permanent. In accordance with ASC Topic 946, </w:t>
      </w:r>
      <w:r>
        <w:rPr>
          <w:rFonts w:ascii="Times New Roman" w:cs="Times New Roman" w:eastAsia="Times New Roman" w:hAnsi="Times New Roman"/>
          <w:sz w:val="18"/>
          <w:szCs w:val="18"/>
          <w:i w:val="1"/>
          <w:iCs w:val="1"/>
          <w:color w:val="auto"/>
        </w:rPr>
        <w:t>Financial Services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Companies</w:t>
      </w:r>
      <w:r>
        <w:rPr>
          <w:rFonts w:ascii="Times New Roman" w:cs="Times New Roman" w:eastAsia="Times New Roman" w:hAnsi="Times New Roman"/>
          <w:sz w:val="18"/>
          <w:szCs w:val="18"/>
          <w:color w:val="auto"/>
        </w:rPr>
        <w:t>, as amended, of the Financial Accounting Standards Board (“FASB”), permanent tax differences, such as non-deductible excise taxes paid, are reclassified from distributions in excess of net investment income and net realized loss on investments to paid-in-capital at the end of each fiscal year. These permanent book-to-tax differences are reclassified on the consolidated statements of changes in net assets to reflect their tax character but have no impact on total net assets.</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may choose to carry forward taxable income in excess of current year distributions into the next tax year and incur a 4% U.S. federal excise tax on such income, as required. To the extent that the Company determines that its estimated current year annual taxable income will be in excess of estimated current year distributions, the Company accrues excise tax, if any, on estimated excess taxable income as taxable income is earned. For the three months ended March 31, 2026 and 2025, $0.3 and $0.4 million, respectively, was accrued for U.S. federal excise tax.</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modified by ASC Topic 946. Tax benefits of positions not deemed to meet the more-likely-than-not threshold, or uncertain tax positions, would be recorded as a tax expense in the current year. It is the Company’s policy to recognize accrued interest and penalties related to uncertain tax benefits in income tax expense. The Company had no material uncertain tax positions at March 31, 2026 and December 31, 2025. The Company’s income tax returns for the 2026, 2025, 2024 and 2023 tax years remain subject to examination by U.S. federal and state tax authorities.</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January 1, 2026, the Company recorded distributions to common stockholders on the date the distribution was declared by the Board. On and after January 1, 2026, the Company records distributions to common stockholders on the ex-dividend date for such distribution. The Board continually monitors and reassesses the amount of cash to be paid out as distributions relative to the net investment income generated by the Company and other metrics. Net realized capital gains, if any, may be distributed, although the Company may decide to retain such net realized gains for investment.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cash distributions on behalf of its stockholders, unless a stockholder elects to receive cash. As a result, if the Board declares a cash distribution, then stockholders who have not “opted out” of the dividend reinvestment plan will have their cash distributions automatically reinvested in additional shares of the Company’s common stock, rather than receiving the cash distribution. The Company may issue new shares or purchase shares in the open market to fulfill its obligations under the plan.</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22, 2023, the Company entered into an At-The-Market (“ATM”) sales agreement (the “2023 Equity Distribution Agreement”), with Goldman Sachs &amp; Co. LLC and B. Riley FBR, Inc. (each a “Sales Agent” and, collectively, the “Sales Agents”). The 2023 Equity Distribution Agreement provides that the Company may offer and sell its shares of its common stock from time to time through the Sales Agents up to $150.0 million worth of its common stock, in amounts and at times to be determined by the Company. Sales of the Company’s common stock, if any, may be made in negotiated transactions or transactions that are deemed to be “at-the-market,” as defined in Rule 415 under the Securities Act, including sales made directly on the Nasdaq or similar securities exchange or sales made to or through a market maker other than on an exchange, at prices related to the prevailing market prices or at negotiated prices.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did not sell shares of common stock under the 2023 Equity Distribution Agreement.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sold 404,305 shares of common stock under the 2023 Equity Distribution Agreement. For the same period, the Company received total accumulated net proceeds of approximately $3.6 million, including $0.1 million of offering expenses, from these sales.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generally uses net proceeds from these offerings to make investments, to pay down liabilities and for general corporate purposes. As of March 31, 2026, shares representing approximately $64.3 million of its common stock remain available for issuance and sale under the 2023 Equity Distribution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On May 1, 2026, the Board extended a previously authorized stock repurchase program which allows the Company to repurchase up to $10.0 million of its common stock at prices below the Company’s net asset value per share as reported in its most recent consolidated financial statements, provided such purchases, in the aggregate, do not exceed two percent (2%) of the shares outstanding at the time of purchase and such shares are purchased only when the such shares are trading below 90% of the Company's most recently disclosed net asset value per share. Under the repurchase program, the Company may, but is not obligated to, repurchase shares of its outstanding common stock in the open market or in privately negotiated transactions from time to time. Any repurchases by the Company intends to comply with the requirements of Rule 10b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18 under the Securities Exchange Act of 1934, as amended (the “Exchange Act”), and any applicable requirements of the 1940 Act. Unless extended by the Board, the repurchase program will terminate on the earlier of June 30, 2027 or the repurchase of $10.0 million of the Company’s common stock. During the three months ended March 31, 2026 and 2025, the Company did not make any repurchases of its common stock under its stock repurchase program. From the date of the inception of the Company’s stock repurchase program through March 31, 2026, the Company repurchased 167,465 shares of its common stock at an average price of $11.22 on the open market at a total cost of $1.9 million. From time to time, the Board assesses the size and effectiveness of the stock repurchase program and could elect to increase or decrease the size of the program in the future.</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Assets related to transactions that do not meet the requirements under ASC Topic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for sale treatment under GAAP are reflected in the Company’s consolidated statements of assets and liabilities as investments. Those assets are owned by special purpose entities that are consolidated in the Company’s financial statements. The creditors of the special purpose entities have received security interests in such assets and such assets are not intended to be available to the creditors of the Company (or any other affiliate of the Company).</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surrendered. Control over transferred assets is deemed to be surrendered when (1) the assets have been isolated from the Company — put presumptively beyond the reach of the transferor and its creditors, even in bankruptcy or other receivership, (2) the transferee obtains the right (free of conditions that constrain it from taking advantage of that right) to pledge or exchange the transferred assets and (3) the transferor does not maintain effective control over the transferred assets through either (a) an agreement that both entitles and obligates the transferor to repurchase or redeem the assets before maturity or (b) the ability to unilaterally cause the holder to return specific assets, other than through a cleanup call.</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(“ASU”) No. 2024-03, Income Statement - Reporting Comprehensive Income - Expense Disaggregation Disclosures (Subtopic 220-40). ASU No. 2024-03 requires disaggregated disclosure of certain costs and expenses, including purchase of inventory, employee compensation, depreciation, amortization and depletion, within relevant income statement captions. ASU 2024-03 is effective for years beginning after December 15, 2026, and interim periods beginning after December 15, 2027. Early adoption and retrospective application are permitted. The Company is currently evaluating the impact ASU No. 2024-03.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Related party transactions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 meeting of the stockholders convened on May 25, 2023 and reconvened on June 28,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stockholders, upon the recommendation of the Board, approved an investment management agreement with the Advisor, which became effective on June 30, 2023 (the “Original Investment Management Agreement”). The Original Investment Management Agreement was effective for two years from the date of approval and then was required to be annually reapproved by the Board for a one-year period. The Original Investment Management Agreement was considered and reapproved by the Company’s Board, including a majority of the independent directors, on December 10, 2024 for a one-year period.</w:t>
      </w:r>
    </w:p>
    <w:p>
      <w:pPr>
        <w:spacing w:after="0" w:line="18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March 31, 2025, the Company entered into a new investment management agreement with the Advisor (the “New Investment Management Agreement”, collectively with the Original Investment Management Agreement, the “Investment Management Agreement”) in connection with the closing of a transaction pursuant to which Momentum US Bidco LLC, an affiliate of Wendel SE, acquired 75% of the outstanding equity interests of Monroe Capital Intermediate Holdings, LLC, the indirect parent company of the Advisor, and certain other affiliates of Monroe Capital LLC (the “Transaction”) (any such affiliate party to the Transaction, collectively, “Monroe”). The Transaction constituted a change of control in the Advisor and terminated the Original Investment Management Agreement. On December 10, 2024, the Company’s Board, including a majority of the independent directors, approved, and recommended for approval by the Company’s stockholders, the New Investment Management Agreement. The New Investment Management Agreement was approved, subject to the closing of the Transaction, by the Company’s stockholders at a special meeting of stockholders held on February 21, 2025. The terms of the New Investment Management Agreement, including the fee structure and services to be provided, are the same as the terms of the Original Investment Management Agreement, except for the date and term. Under the terms of the Investment Management Agreement, the Advisor determines the composition of the Company’s investment portfolio, the nature and timing of the changes to the investment portfolio and the manner of implementing such changes; identifies, evaluates and negotiates the structure of the investments the Company makes (including performing due diligence on the Company’s prospective portfolio companies); and closes, monitors and administers the investments the Company makes, including the exercise of any voting or consent rights.</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Advisor’s services under the Investment Management Agreement are not exclusive to the Company, and the Advisor is free to furnish similar services to other entities so long as its services to the Company are not impaired. The Advisor is a registered investment adviser with the SEC. The Advisor receives fees for providing services to the Company under the Investment Management Agreement, consisting of two components, a base management fee and an incentive fee.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base management fee is calculated at an annual rate of 2.00% of the Company’s gross assets (less cash and cash equivalents) including any assets acquired with the proceeds of leverage; provided, that, to the extent the Company’s gross assets (less cash and cash equivalents) exceed $250 million, the base management fee on the amount of such excess over $250 million will be calculated at an annual rate of 1.60% of the Company’s gross assets (less cash and cash equivalents) including any assets acquired with the proceeds of leverage. The base management fee is payable monthly in arrears and is prorated for any partial month.</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base management fee payable at March 31, 2026 and December 31, 2025 was $1.0 million. The base management fee expense was $3.1 million and $3.2 million for the three months ended March 31, 2026 and 2025,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incentive fee has two parts, as follows: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first part, which is subject to the Incentive Fee Cap and Deferral Mechanism, as defined below, is calculated and payable quarterly in arrears based on the Company’s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expenses for the quarter (including the base management fee, expenses payable under the Administration Agreement (as defined below), and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the Company has not yet received in cash. The incentive fee with respect to the Pre-Incentive Fee Net Investment Income is 20.00% of the amount, if any, by which the Pre-Incentive Fee Net Investment Income for the immediately preceding calendar quarter exceeds a hurdle rate of 1.75% (which is 7.00% annualized) of the Company’s net assets at the end of the immediately preceding calendar quarter, adjusted for any share issuances or repurchases during the relevant quarter, subject to a “catch-up” provision measured as of the end of each calendar quarter. Under this provision, in any calendar quarter, the Advisor receives no incentive fee until the Pre-Incentive Fee Net Investment Income equals the hurdle rate of 1.75%, but then receives, as a “catch-up,” 100.00% of the Pre-Incentive Fee Net Investment Income with respect to that portion of such Pre-Incentive Fee Net Investment Income, if any, that exceeds the hurdle rate but is less than 2.1875% quarterly (which is 8.75% annualized). The effect of this “catch-up” provision is that, if Pre-Incentive Fee Net Investment Income exceeds 2.1875% in any calendar quarter, the Advisor will receive 20.00% of the Pre-Incentive Fee Net Investment Income as if the hurdle rate did not apply.</w:t>
      </w:r>
    </w:p>
    <w:p>
      <w:pPr>
        <w:sectPr>
          <w:pgSz w:w="11900" w:h="16838" w:orient="portrait"/>
          <w:cols w:equalWidth="0" w:num="1">
            <w:col w:w="11240"/>
          </w:cols>
          <w:pgMar w:left="320" w:top="121"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appreciation or depreciation. Because of the structure of the incentive fee, it is possible that the Company may pay an incentive fee in a quarter in which the Company incurs a loss. For example, if the Company receives Pre-Incentive Fee Net Investment Income in excess of the quarterly minimum hurdle rate, the Company will pay the applicable incentive fee up to the Incentive Fee Cap, defined below, even if the Company has incurred a loss in that quarter due to realized and unrealized capital losses. The Company’s net investment income used to calculate this part of the incentive fee is also included in the amount of the Company’s gross assets used to calculate the 2.00% base management fee. These calculations are appropriately prorated for any period of less than three months and adjusted for any share issuances or repurchases during the current quarter.</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incentive fee on Pre-Incentive Fee Net Investment Income is subject to a fee cap and deferral mechanism which is determined based upon a look-back period of up to three years and is expensed when incurred. For this purpose, the look-back period for the incentive fee based on Pre-Incentive Fee Net Investment Income (the “Incentive Fee Look-back Period”) includes the relevant calendar quarter and the 11 preceding full calendar quarters. Each quarterly incentive fee payable on Pre-Incentive Fee Net Investment Income is subject to a cap (the “Incentive Fee Cap”) and a deferral mechanism through which the Advisor may recoup a portion of such deferred incentive fees (collectively, the “Incentive Fee Cap and Deferral Mechanism”). The Incentive Fee Cap is equal to (a) 20.00% of Cumulative Pre-Incentive Fee Net Return (as defined below) during the Incentive Fee Look-back Period less (b) cumulative incentive fees of any kind paid to the Advisor during the Incentive Fee Look-back Period. To the extent the Incentive Fee Cap is zero or a negative value in any calendar quarter, the Company will not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The Company only pays incentive fees on Pre-Incentive Fee Net Investment Income to the extent allowed by the Incentive Fee Cap and Deferral Mechanism. “Cumulative Pre-Incentive Fee Net Return” during any Incentive Fee Look-back Period means the sum of</w:t>
      </w:r>
    </w:p>
    <w:p>
      <w:pPr>
        <w:spacing w:after="0" w:line="2" w:lineRule="exact"/>
        <w:rPr>
          <w:sz w:val="20"/>
          <w:szCs w:val="20"/>
          <w:color w:val="auto"/>
        </w:rPr>
      </w:pPr>
    </w:p>
    <w:p>
      <w:pPr>
        <w:jc w:val="both"/>
        <w:ind w:firstLine="8"/>
        <w:spacing w:after="0" w:line="255" w:lineRule="auto"/>
        <w:tabs>
          <w:tab w:leader="none" w:pos="2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and the base management fee for each calendar quarter during the Incentive Fee Look-back Period and (b) the sum of cumulative realized capital gains and losses, cumulative unrealized capital appreciation and cumulative unrealized capital depreciation during the applicable Incentive Fee Look-back Period.</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second part of the incentive fee is determined and payable in arrears as of the end of each calendar year (or, upon termination of the Investment Management Agreement, as of the termination date), and equals 20.00% of the Company’s realized capital gains, if any, on a cumulative basis from the date of the election to be a BDC through the end of each calendar year, computed net of all realized capital losses and unrealized capital depreciation on a cumulative basis through the end of such year, less all previous amounts paid in respect of the capital gain incentive fee. However, in accordance with GAAP, the Company is required to include the aggregate unrealized capital appreciation on investments in the calculation and accrue a capital gain incentive fee on a quarterly basis, as if such unrealized capital appreciation were realized, even though such unrealized capital appreciation is not permitted to be considered in calculating the fee actually payable under the Investment Management Agreement.</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performance based incentive fee expense was $1.8 million for the three months ended March 31, 2026. There was no performance based incentive fee expense for the three months ended March 31, 2025. The incentive fee on Pre-Incentive Fee Net Investment Income was subject to the Incentive Fee Cap and Deferral Mechanism for the three months ended March 31, 2026 and 2025, which resulted in $0.4 million and $2.1 million, respectively, of reduced expense and additional net investment income. This deferral represents a contingent future liability and is not accrued until the amount can be reasonably estimated and payment is probable. The remaining deferred amount may be paid up to three years after the date of deferment. The performance based incentive fee payable as of March 31, 2026 was $1.8 million. There was no performance based incentive fee payable as of December 31, 2025. The entire incentive fee payable as of March 31, 2026 represented part one of the incentive fee.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Advisor agreed to waive the portion of its quarterly income incentive fee, if any, if and to the extent that, after payment of such portion, the Company’s net investment income per share for such quarter would be less than the quarterly distribution per share declared in such quarter. The income incentive fee waiver was effective commencing with the quarter ending March 31, 2025 and terminated with the quarter ending December 31, 2025. During the three months ended March 31, 2025, no income incentive fee was earned.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expiration dates of the Company’s Incentive Fee Cap and Deferral Mechanism contingent future liability as of March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2026</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2027</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2027</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2027</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3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2028</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r>
      <w:tr>
        <w:trPr>
          <w:trHeight w:val="22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2028</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2028</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2028</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3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March 31, 2029</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49"/>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28,178</w:t>
            </w:r>
          </w:p>
        </w:tc>
      </w:tr>
    </w:tbl>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Administration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entered into an administration agreement (the “Administration Agreement”) with the Advisor to provide administrative services to the Company. For providing these services, facilities and personnel, the Company reimburses the Advisor for the Company’s allocable portion of overhead and other expenses incurred by the Advisor in performing its obligations under the Administration Agreement, including rent, the fees and expenses associated with performing compliance functions and the Company’s allocable portion of the costs of compensation and related expenses of the Company’s Chief Financial Officer and Chief Compliance Officer and their respective staffs. The administrative fee expense was $0.6 million and $0.4 million for the three months ended March 31, 2026 and 2025, respectively. The administrative fee payable at March 31, 2026 and December 31, 2025 was $0.6 million and $0.3 million, respectively. The administrative fee payable is included in other accrued liabilities on the Company's Statement of Assets and Liabilities.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Advisory Fee Waiver</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entry into the Merger Agreement with MRCC, HMMS, Inc., a Maryland corporation and wholly owned subsidiary of the Company, Monroe Capital BDC Advisors, LLC, an investment adviser to MRCC, and the Advisor, the Advisor has agreed to waive $4.0 million of base management fees and/or incentive fees (the “Fee Waiver”) due and payable to the Advisor pursuant to the terms of the Investment Management Agreement at the rate of $1.0 million per quarter commencing with the Company’s third fiscal quarter of 2026. The Fee Waiver will be in effect until the end of the Company’s second fiscal quarter of 2027 and, for each applicable fiscal quarter, will not exceed the total amount of base management fees and incentive fees earned by the Advisor during such fiscal quarter.</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Exemptive Relief</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Advisor may provide the Company with an opportunity to co-invest with other investment vehicles managed by the Advisor, Monroe and/or their affiliates. Under the 1940 Act, absent receipt of exemptive relief from the SEC, the Company and its affiliates are precluded from co-investing in negotiated investments with other funds and accounts sponsored or managed by the Advisor, Monroe and their affiliates. Since June 30, 2023, the Company and its Advisor have relied on exemptive relief from the SEC granted to certain affiliates of Monroe on October 15, 2014, as amended on January 10, 2023. The exemptive relief affords the Advisor greater flexibility to negotiate the terms of co-investments if the Board determines that it would be advantageous for the Company to co-invest with other accounts sponsored or managed by the Advisor, Monroe or their affiliates in a manner consistent with the Company's investment objectives, positions, policies, strategies and restrictions as well as regulatory requirements and other pertinent factors. On May 14, 2025 Monroe, et al. filed an application, and amendments to the application on August 6, 2025 and October 3, 2025, for a new exemptive relief order for co-investments for the Company, the Advisor, Monroe and its affiliates. On November 21, 2025, a notice of the filing of the application was issued (Investment Company Act Release No. 35799). On December 17, 2025, the SEC granted an order for such exemptive relief (File No. 812-15798). The Company is required to comply with all terms and conditions required therein.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Company’s investments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655,048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645,629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602,488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596,025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15,515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16,648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45,099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3,444</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42,655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29,719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31,127</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758,317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695,697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705,269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647,244</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393"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93"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Company’s investments by industry sector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Science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Biotechnology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121,373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88,688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94,280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61,829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Medical Device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254,995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249,545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227,893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222,485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3,142</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Consumer-Related</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31,039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21,846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Storage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Internet and Media</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Networking</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197,406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187,173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199,608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190,911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Sustainability</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Alternative Energy</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Efficiency</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Sustainability</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49,315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Information and Services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Diagnostics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11,369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38,777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34,508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45,115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43,603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45,071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46,544</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758,317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695,697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705,269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647,244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RoHo Capital Opportunity LLC</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March 18, 2026, the Company and CR Financial Holdings, Inc. (“CRFH”) entered into a limited liability company agreement (the “LLC Agreement”) to form a new joint venture, RoHo Capital Opportunity Fund LLC f/k/a HRZN CRFH LLC (the “Joint Venture”). The Joint Venture is intended to enhance the investment strategy of the Company by providing growth capital financing solutions to small and micro-cap public companies.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committed to invest up to $87.5 million in the Joint Venture and CRFH has committed to invest up to $12.5 million in the Joint Venture. Investments by each of the Company and CRFH in the Joint Venture will be made in the form of membership interests. All investments by the Joint Venture must be approved by the unanimous vote of the Joint Venture’s investment committee, which is comprised of an equal number of representatives designated by each of the Company and CRFH. Further, all other decisions regarding the management of the Joint Venture require the approval of the majority of the Joint Venture’s board of directors, which is comprised of an equal number of representatives from each of the Company and CRFH.</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March 31, 2026, no commitments were funded into the Joint Venture and no investments were made by the Joint Venture.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Transactions with affiliated companies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non-controlled affiliated company is generally a portfolio company in which the Company owns 5% or more of such portfolio company’s voting securities but not more than 25% of such portfolio company’s voting securities.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Transactions related to investments in non-controlled affiliated companies for the three months ended March 31, 2026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Transfers</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2"/>
                <w:szCs w:val="12"/>
                <w:color w:val="auto"/>
              </w:rPr>
            </w:pPr>
          </w:p>
        </w:tc>
        <w:tc>
          <w:tcPr>
            <w:tcW w:w="64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82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in/(out) at</w:t>
            </w:r>
          </w:p>
        </w:tc>
        <w:tc>
          <w:tcPr>
            <w:tcW w:w="10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149"/>
        </w:trPr>
        <w:tc>
          <w:tcPr>
            <w:tcW w:w="2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PIK</w:t>
            </w: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5"/>
                <w:szCs w:val="15"/>
                <w:color w:val="auto"/>
              </w:rPr>
            </w:pPr>
          </w:p>
        </w:tc>
        <w:tc>
          <w:tcPr>
            <w:tcW w:w="6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accretion</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20" w:type="dxa"/>
            <w:vAlign w:val="bottom"/>
          </w:tcPr>
          <w:p>
            <w:pPr>
              <w:spacing w:after="0"/>
              <w:rPr>
                <w:sz w:val="15"/>
                <w:szCs w:val="15"/>
                <w:color w:val="auto"/>
              </w:rPr>
            </w:pP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20" w:type="dxa"/>
            <w:vAlign w:val="bottom"/>
          </w:tcPr>
          <w:p>
            <w:pPr>
              <w:spacing w:after="0"/>
              <w:rPr>
                <w:sz w:val="15"/>
                <w:szCs w:val="15"/>
                <w:color w:val="auto"/>
              </w:rPr>
            </w:pPr>
          </w:p>
        </w:tc>
        <w:tc>
          <w:tcPr>
            <w:tcW w:w="6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2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Aulea Medical, Inc.</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Evelo Biosciences, Inc.</w:t>
            </w: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1,486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Hound Labs II LLC</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11,369</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11,573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Nexii, Inc.</w:t>
            </w: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NextCar Holding Company, Inc.</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Shengrow Inc.</w:t>
            </w:r>
          </w:p>
        </w:tc>
        <w:tc>
          <w:tcPr>
            <w:tcW w:w="1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49,210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50,138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1,271</w:t>
            </w: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non-controlled affiliates</w:t>
            </w: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63,144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(243)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841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306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64,202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1,572</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Transactions related to investments in non-controlled affiliated companies for the three months ended March 31, 2025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Transfers</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20" w:type="dxa"/>
            <w:vAlign w:val="bottom"/>
          </w:tcPr>
          <w:p>
            <w:pPr>
              <w:spacing w:after="0"/>
              <w:rPr>
                <w:sz w:val="12"/>
                <w:szCs w:val="12"/>
                <w:color w:val="auto"/>
              </w:rPr>
            </w:pPr>
          </w:p>
        </w:tc>
        <w:tc>
          <w:tcPr>
            <w:tcW w:w="82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in/(out) at</w:t>
            </w:r>
          </w:p>
        </w:tc>
        <w:tc>
          <w:tcPr>
            <w:tcW w:w="10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2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2"/>
                <w:szCs w:val="12"/>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PIK</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accretion</w:t>
            </w:r>
          </w:p>
        </w:tc>
        <w:tc>
          <w:tcPr>
            <w:tcW w:w="120" w:type="dxa"/>
            <w:vAlign w:val="bottom"/>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20" w:type="dxa"/>
            <w:vAlign w:val="bottom"/>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Aulea Medical, Inc.</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Evelo Biosciences, Inc.</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8,307</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8,307</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2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non-controlled affiliates</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8,307</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ind w:left="4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ind w:left="4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ind w:left="3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ind w:lef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8,307</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ind w:left="4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controlled affiliated company is generally a portfolio company in which the Company owns more than 25% of such portfolio company’s voting securities or has the power to exercise control over management or policies of such portfolio company (including through a management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transactions related to investments in controlled affiliated companies for the three months ended March 31,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Transactions related to investments in controlled affiliated companies for the three months ended March 31, 2025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Transfers</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Interest</w:t>
            </w:r>
          </w:p>
        </w:tc>
        <w:tc>
          <w:tcPr>
            <w:tcW w:w="0" w:type="dxa"/>
            <w:vAlign w:val="bottom"/>
          </w:tcPr>
          <w:p>
            <w:pPr>
              <w:spacing w:after="0"/>
              <w:rPr>
                <w:sz w:val="1"/>
                <w:szCs w:val="1"/>
                <w:color w:val="auto"/>
              </w:rPr>
            </w:pPr>
          </w:p>
        </w:tc>
      </w:tr>
      <w:tr>
        <w:trPr>
          <w:trHeight w:val="147"/>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188"/>
              <w:spacing w:after="0" w:line="147" w:lineRule="exact"/>
              <w:rPr>
                <w:sz w:val="20"/>
                <w:szCs w:val="20"/>
                <w:color w:val="auto"/>
              </w:rPr>
            </w:pPr>
            <w:r>
              <w:rPr>
                <w:rFonts w:ascii="Times New Roman" w:cs="Times New Roman" w:eastAsia="Times New Roman" w:hAnsi="Times New Roman"/>
                <w:sz w:val="14"/>
                <w:szCs w:val="14"/>
                <w:color w:val="auto"/>
                <w:w w:val="98"/>
              </w:rPr>
              <w:t>at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148"/>
              <w:spacing w:after="0" w:line="147" w:lineRule="exact"/>
              <w:rPr>
                <w:sz w:val="20"/>
                <w:szCs w:val="20"/>
                <w:color w:val="auto"/>
              </w:rPr>
            </w:pPr>
            <w:r>
              <w:rPr>
                <w:rFonts w:ascii="Times New Roman" w:cs="Times New Roman" w:eastAsia="Times New Roman" w:hAnsi="Times New Roman"/>
                <w:sz w:val="14"/>
                <w:szCs w:val="14"/>
                <w:color w:val="auto"/>
                <w:w w:val="98"/>
              </w:rPr>
              <w:t>at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20" w:type="dxa"/>
            <w:vAlign w:val="bottom"/>
          </w:tcPr>
          <w:p>
            <w:pPr>
              <w:spacing w:after="0"/>
              <w:rPr>
                <w:sz w:val="12"/>
                <w:szCs w:val="12"/>
                <w:color w:val="auto"/>
              </w:rPr>
            </w:pPr>
          </w:p>
        </w:tc>
        <w:tc>
          <w:tcPr>
            <w:tcW w:w="82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in/(out) at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2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48"/>
        </w:trPr>
        <w:tc>
          <w:tcPr>
            <w:tcW w:w="2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2"/>
                <w:szCs w:val="12"/>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vMerge w:val="restart"/>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PIK</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accretion</w:t>
            </w:r>
          </w:p>
        </w:tc>
        <w:tc>
          <w:tcPr>
            <w:tcW w:w="120" w:type="dxa"/>
            <w:vAlign w:val="bottom"/>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20" w:type="dxa"/>
            <w:vAlign w:val="bottom"/>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76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(reversal)</w:t>
            </w: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Better Place Forests Co.</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96"/>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HIMV LLC</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6,230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5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Nexii, Inc.</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8,547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9"/>
        </w:trPr>
        <w:tc>
          <w:tcPr>
            <w:tcW w:w="22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Swift Health Systems, Inc.</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17,042</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(19,268)</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2"/>
        </w:trPr>
        <w:tc>
          <w:tcPr>
            <w:tcW w:w="22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controlled affiliates</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31,819</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2,950</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ind w:lef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208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ind w:left="36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(20,117)</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14,869</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July 30, 2022, the Board determined the fair value of the Company’s investments. Pursuant to the amended SEC Rule 2a-5 of the 1940 Act, on July 29, 2022, the Board designated the Advisor as the Company’s “valuation designee.” The Board is responsible for oversight of the valuation designee. The valuation designee has established a Valuation Committee to determine in good faith the fair value of the Company’s investments, based on input from the Advisor’s management and personnel and independent valuation firms which are engaged at the direction of the Valuation Committee to assist in the valuation of certain portfolio investments lacking a readily available market quotation at least once during a trailing twelve-month period. The Valuation Committee determines fair values pursuant to a valuation policy approved by the Board and pursuant to a consistently applied valuation process. This valuation process is conducted at the end of each fiscal quarter, with at least 25% (based on fair value) of the Company’s valuation of portfolio companies lacking readily available market quotations subject to review by an independent valuation firm.</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uses fair value measurements made by the valuation designee to record fair value adjustments to certain assets and liabilities and to determine fair value disclosures. Fair value is the price that would be received to sell an asset or paid to transfer a liability in an orderly transaction between market participants at the measurement date. Fair value is best determined based upon quoted market prices. However, in certain instances, there are no quoted market prices for certain assets or liabilities.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asset or liability.</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Fair value measurements focus on exit prices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w:t>
      </w:r>
    </w:p>
    <w:p>
      <w:pPr>
        <w:spacing w:after="0" w:line="18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Company’s fair value measurements are classified into a fair value hierarchy in accordance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based on the markets in which the assets and liabilities are traded and the reliability of the assumptions used to determine fair value. The three categories within the hierarchy are as follows:</w:t>
      </w:r>
    </w:p>
    <w:p>
      <w:pPr>
        <w:spacing w:after="0" w:line="171"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7"/>
          <w:szCs w:val="17"/>
          <w:color w:val="auto"/>
        </w:rPr>
        <w:t>Quoted prices in active markets for identical assets and liabilities.</w:t>
      </w:r>
    </w:p>
    <w:p>
      <w:pPr>
        <w:spacing w:after="0" w:line="225" w:lineRule="exact"/>
        <w:rPr>
          <w:sz w:val="20"/>
          <w:szCs w:val="20"/>
          <w:color w:val="auto"/>
        </w:rPr>
      </w:pPr>
    </w:p>
    <w:p>
      <w:pPr>
        <w:jc w:val="both"/>
        <w:ind w:left="1140" w:hanging="809"/>
        <w:spacing w:after="0" w:line="26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76" w:lineRule="exact"/>
        <w:rPr>
          <w:sz w:val="20"/>
          <w:szCs w:val="20"/>
          <w:color w:val="auto"/>
        </w:rPr>
      </w:pPr>
    </w:p>
    <w:p>
      <w:pPr>
        <w:jc w:val="both"/>
        <w:ind w:left="1140" w:hanging="809"/>
        <w:spacing w:after="0" w:line="261"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the Company’s investments may differ significantly from the values that would have been used had a ready market existed for such investments and may differ materially from the values that the Company may ultimately realize. Further, such investments are generally subject to legal and other restrictions on resale or otherwise are less liquid than publicly traded securities. If the Company was required to liquidate a portfolio investment in a forced or liquidation sale, the Company could realize significantly less than the value at which the Company has recorded such portfolio investment.</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The carrying amount is a reasonable estimate of fair value. These financial instruments are not recorded at fair value on a recurring basis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categorized as Level 1 within the fair value hierarchy described above.</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Money market funds: </w:t>
      </w:r>
      <w:r>
        <w:rPr>
          <w:rFonts w:ascii="Times New Roman" w:cs="Times New Roman" w:eastAsia="Times New Roman" w:hAnsi="Times New Roman"/>
          <w:sz w:val="18"/>
          <w:szCs w:val="18"/>
          <w:color w:val="auto"/>
        </w:rPr>
        <w:t>The carrying amounts are valued at their net asset value as of the close of business on the day of valuation. These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are recorded at fair value on a recurring basis and are categorized as Level 1 within the fair value hierarchy described above as these funds can be redeemed daily.</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investments: </w:t>
      </w:r>
      <w:r>
        <w:rPr>
          <w:rFonts w:ascii="Times New Roman" w:cs="Times New Roman" w:eastAsia="Times New Roman" w:hAnsi="Times New Roman"/>
          <w:sz w:val="18"/>
          <w:szCs w:val="18"/>
          <w:color w:val="auto"/>
        </w:rPr>
        <w:t>The fair value of debt investments is estimated by discounting the expected future cash flows using the period end rates at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debt investments would be made to borrowers with similar credit ratings and for the same remaining maturities. Significant increases (decreases) in this unobservable input would result in a significantly lower (higher) fair value measurement. These assets are recorded at fair value on a recurring basis and are categorized as Level 3 within the fair value hierarchy described above.</w:t>
      </w:r>
    </w:p>
    <w:p>
      <w:pPr>
        <w:spacing w:after="0" w:line="1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certain circumstances, the Company may use an alternative technique to value debt investments that better reflects its fair value such as the use of multiple probability weighted cash flow models when the expected future cash flows contain elements of variability.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Warrant investments: </w:t>
      </w:r>
      <w:r>
        <w:rPr>
          <w:rFonts w:ascii="Times New Roman" w:cs="Times New Roman" w:eastAsia="Times New Roman" w:hAnsi="Times New Roman"/>
          <w:sz w:val="18"/>
          <w:szCs w:val="18"/>
          <w:color w:val="auto"/>
        </w:rPr>
        <w:t>The Company values its warrants using the Black-Scholes valuation model incorporating the following material assumptions:</w:t>
      </w:r>
    </w:p>
    <w:p>
      <w:pPr>
        <w:spacing w:after="0" w:line="227"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asset value of the issuer is estimated based on information available, including any information regarding the most recent rounds of borrower funding. Significant increases (decreases) in this unobservable input would result in a significantly higher (lower) fair value measurement.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amount of uncertainty or risk about the size of the changes in the warrant price, is based on indices of publicly traded companies similar in nature to the underlying company issuing the warrant. A total of seven such indices are used. Significant increases (decreases) in this unobservable input would result in a significantly higher (lower) fair value measurement.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including a marketability discount on private company warrants, are estimated based on management’s judgment about the general industry environment.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left="66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portfolio experience on cancellations and exercises of the Company’s warrants are utilized as the basis for determining the estimated time to exit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would result in significantly higher (lower) fair value measurement.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certain circumstances the Company may use an alternative technique to value warrants that better reflects the warrants’ fair value, such as an expected settlement of a warrant in the near term or a model that incorporates a put feature associated with the warrant. The fair value may be determined based on the expected proceeds to be received from such settlement or based on the net present value of the expected proceeds from the put option.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Company’s warrants held in publicly traded companies is determined based on inputs that are readily available in public markets or can be derived from information available in public markets. Therefore, the Company has categorized these warrants as Level 2 within the fair value hierarchy described above. The fair value of the Company’s warrants held in private companies is determined using both observable and unobservable inputs and represents management’s best estimate of what market participants would use in pricing the warrants at the measurement date. Therefore, the Company has categorized these warrants as Level 3 within the fair value hierarchy described above. These assets are recorded at fair value on a recurring basis.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Equity investments: </w:t>
      </w:r>
      <w:r>
        <w:rPr>
          <w:rFonts w:ascii="Times New Roman" w:cs="Times New Roman" w:eastAsia="Times New Roman" w:hAnsi="Times New Roman"/>
          <w:sz w:val="18"/>
          <w:szCs w:val="18"/>
          <w:color w:val="auto"/>
        </w:rPr>
        <w:t>The fair value of an equity investment in a privately held company is initially the face value of the amount invested.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adjusts the fair value of equity investments in private companies upon the completion of a new third-party round of equity financing. The Company may make adjustments to fair value, absent a new equity financing event, based upon positive or negative changes in a portfolio company’s financial or operational performance. Significant increases (decreases) in this unobservable input would result in a significantly higher (lower) fair value measurement. The Company has categorized these equity investments as Level 3 within the fair value hierarchy described above. The fair value of an equity investment in a publicly traded company is based upon the closing public share price on the date of measurement. Therefore, the Company has categorized these equity investments as Level 1 within the fair value hierarchy described above. These assets are recorded at fair value on a recurring basis.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investments: </w:t>
      </w:r>
      <w:r>
        <w:rPr>
          <w:rFonts w:ascii="Times New Roman" w:cs="Times New Roman" w:eastAsia="Times New Roman" w:hAnsi="Times New Roman"/>
          <w:sz w:val="18"/>
          <w:szCs w:val="18"/>
          <w:color w:val="auto"/>
        </w:rPr>
        <w:t>Other investments are valued based on the facts and circumstances of the underlying contractual agreement.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values these contractual agreements using a multiple probability weighted cash flow model as the contractual future cash flows contain elements of variability. Significant changes in the estimated cash flows and probability weightings would result in a significantly higher or lower fair value measurement. The Company has categorized these other investments as Level 3 within the fair value hierarchy described above. These other investments are recorded at fair value on a recurring basis.</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Transfers between levels are recognized as of the date of the event or change in circumstances that caused the transfer, based on changes in the observability or significance of valuation inputs.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detail the assets that are carried at fair value and measured at fair value on a recurring basis as of March 31, 2026 and December 31, 2025 and indicate the fair value hierarchy of the valuation techniques utilized by the Company to determine the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645,629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645,629</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Warrant investments</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16,685</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3,664</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27,139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29,719</w:t>
            </w: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691,426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695,697</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596,025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596,025</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Warrant investments</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16,648</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3,444</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27,139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31,127</w:t>
            </w: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641,340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647,244</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provide a summary of quantitative information about the Company’s Level 3 fair value measurements of the Company’s investments as of March 31, 2026 and December 31, 2025. In addition to the techniques and inputs noted in the table below, according to the Company’s valuation policy, the Company may also use other valuation techniques and methodologies when determining its fair value measurements.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is not intended to be all-inclusive, but rather provides information on the significant Level 3 inputs as they relate to the Company’s fair value measurements as of March 31, 2026:</w:t>
      </w:r>
    </w:p>
    <w:p>
      <w:pPr>
        <w:spacing w:after="0" w:line="16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March 31,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w:t>
            </w:r>
          </w:p>
        </w:tc>
        <w:tc>
          <w:tcPr>
            <w:tcW w:w="314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Valuation Techniques/</w:t>
            </w:r>
          </w:p>
        </w:tc>
        <w:tc>
          <w:tcPr>
            <w:tcW w:w="10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12"/>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1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b w:val="1"/>
                <w:bCs w:val="1"/>
                <w:color w:val="auto"/>
              </w:rPr>
              <w:t>Methodologies</w:t>
            </w:r>
          </w:p>
        </w:tc>
        <w:tc>
          <w:tcPr>
            <w:tcW w:w="100" w:type="dxa"/>
            <w:vAlign w:val="bottom"/>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Input</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Average(1)</w:t>
            </w:r>
          </w:p>
        </w:tc>
      </w:tr>
      <w:tr>
        <w:trPr>
          <w:trHeight w:val="202"/>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40" w:type="dxa"/>
            <w:vAlign w:val="bottom"/>
          </w:tcPr>
          <w:p>
            <w:pPr>
              <w:ind w:left="1200"/>
              <w:spacing w:after="0"/>
              <w:rPr>
                <w:sz w:val="20"/>
                <w:szCs w:val="20"/>
                <w:color w:val="auto"/>
              </w:rPr>
            </w:pPr>
            <w:r>
              <w:rPr>
                <w:rFonts w:ascii="Times New Roman" w:cs="Times New Roman" w:eastAsia="Times New Roman" w:hAnsi="Times New Roman"/>
                <w:sz w:val="16"/>
                <w:szCs w:val="16"/>
                <w:b w:val="1"/>
                <w:bCs w:val="1"/>
                <w:color w:val="auto"/>
                <w:w w:val="97"/>
              </w:rPr>
              <w:t>(Dollars in thousands, except</w:t>
            </w:r>
          </w:p>
        </w:tc>
        <w:tc>
          <w:tcPr>
            <w:tcW w:w="10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investments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589,452</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Discounted Expected Future Cash Flows</w:t>
            </w:r>
          </w:p>
        </w:tc>
        <w:tc>
          <w:tcPr>
            <w:tcW w:w="2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Hypothetical Market Yield</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 – 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Multiple Probability Weighted Cash Flow</w:t>
            </w:r>
          </w:p>
        </w:tc>
        <w:tc>
          <w:tcPr>
            <w:tcW w:w="10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6"/>
        </w:trPr>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56,177</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Model</w:t>
            </w:r>
          </w:p>
        </w:tc>
        <w:tc>
          <w:tcPr>
            <w:tcW w:w="2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Probability Weighting</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 – 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investments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14,994</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Black-Scholes Valuation Model</w:t>
            </w:r>
          </w:p>
        </w:tc>
        <w:tc>
          <w:tcPr>
            <w:tcW w:w="2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Price Per Share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$0.00 – $807.91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13.00</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Average Industry Volatility</w:t>
            </w:r>
          </w:p>
        </w:tc>
        <w:tc>
          <w:tcPr>
            <w:tcW w:w="12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3"/>
        </w:trPr>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Marketability Discount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 – 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Estimated Time to Exit (in years)</w:t>
            </w: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 to 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89"/>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Multiple Probability Weighted Cash Flow</w:t>
            </w: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0"/>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Other investments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3,664</w:t>
            </w: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Model</w:t>
            </w:r>
          </w:p>
        </w:tc>
        <w:tc>
          <w:tcPr>
            <w:tcW w:w="2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 – 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8"/>
        </w:trPr>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Probability Weighting</w:t>
            </w:r>
          </w:p>
        </w:tc>
        <w:tc>
          <w:tcPr>
            <w:tcW w:w="12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$0.06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27,139</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Last Equity Financing</w:t>
            </w:r>
          </w:p>
        </w:tc>
        <w:tc>
          <w:tcPr>
            <w:tcW w:w="2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Price Per Share</w:t>
            </w:r>
          </w:p>
        </w:tc>
        <w:tc>
          <w:tcPr>
            <w:tcW w:w="12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$1,000.00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186.54</w:t>
            </w: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Scenario Model</w:t>
            </w:r>
          </w:p>
        </w:tc>
        <w:tc>
          <w:tcPr>
            <w:tcW w:w="2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Probability Weighting</w:t>
            </w:r>
          </w:p>
        </w:tc>
        <w:tc>
          <w:tcPr>
            <w:tcW w:w="12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196"/>
        </w:trPr>
        <w:tc>
          <w:tcPr>
            <w:tcW w:w="20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r>
      <w:tr>
        <w:trPr>
          <w:trHeight w:val="22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Level 3 investments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691,426</w:t>
            </w:r>
          </w:p>
        </w:tc>
        <w:tc>
          <w:tcPr>
            <w:tcW w:w="3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0"/>
        </w:trPr>
        <w:tc>
          <w:tcPr>
            <w:tcW w:w="2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340" w:right="2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is not intended to be all-inclusive, but rather provides information on the significant Level 3 inputs as they relate to the Company’s fair value measurements as of December 31, 2025:</w:t>
      </w:r>
    </w:p>
    <w:p>
      <w:pPr>
        <w:spacing w:after="0" w:line="16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w:t>
            </w:r>
          </w:p>
        </w:tc>
        <w:tc>
          <w:tcPr>
            <w:tcW w:w="314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Valuation Techniques/</w:t>
            </w:r>
          </w:p>
        </w:tc>
        <w:tc>
          <w:tcPr>
            <w:tcW w:w="10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140" w:type="dxa"/>
            <w:vAlign w:val="bottom"/>
          </w:tcPr>
          <w:p>
            <w:pPr>
              <w:ind w:left="1080"/>
              <w:spacing w:after="0"/>
              <w:rPr>
                <w:sz w:val="20"/>
                <w:szCs w:val="20"/>
                <w:color w:val="auto"/>
              </w:rPr>
            </w:pPr>
            <w:r>
              <w:rPr>
                <w:rFonts w:ascii="Times New Roman" w:cs="Times New Roman" w:eastAsia="Times New Roman" w:hAnsi="Times New Roman"/>
                <w:sz w:val="16"/>
                <w:szCs w:val="16"/>
                <w:b w:val="1"/>
                <w:bCs w:val="1"/>
                <w:color w:val="auto"/>
              </w:rPr>
              <w:t>Methodologies</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Input</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Average(1)</w:t>
            </w:r>
          </w:p>
        </w:tc>
        <w:tc>
          <w:tcPr>
            <w:tcW w:w="0" w:type="dxa"/>
            <w:vAlign w:val="bottom"/>
          </w:tcPr>
          <w:p>
            <w:pPr>
              <w:spacing w:after="0"/>
              <w:rPr>
                <w:sz w:val="1"/>
                <w:szCs w:val="1"/>
                <w:color w:val="auto"/>
              </w:rPr>
            </w:pPr>
          </w:p>
        </w:tc>
      </w:tr>
      <w:tr>
        <w:trPr>
          <w:trHeight w:val="202"/>
        </w:trPr>
        <w:tc>
          <w:tcPr>
            <w:tcW w:w="2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6"/>
                <w:szCs w:val="16"/>
                <w:b w:val="1"/>
                <w:bCs w:val="1"/>
                <w:color w:val="auto"/>
                <w:w w:val="97"/>
              </w:rPr>
              <w:t>(Dollars in thousands, except</w:t>
            </w:r>
          </w:p>
        </w:tc>
        <w:tc>
          <w:tcPr>
            <w:tcW w:w="100" w:type="dxa"/>
            <w:vAlign w:val="bottom"/>
          </w:tcPr>
          <w:p>
            <w:pPr>
              <w:spacing w:after="0"/>
              <w:rPr>
                <w:sz w:val="17"/>
                <w:szCs w:val="17"/>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investments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558,294</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Discounted Expected Future Cash Flows</w:t>
            </w:r>
          </w:p>
        </w:tc>
        <w:tc>
          <w:tcPr>
            <w:tcW w:w="2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Hypothetical Market Yield</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 – 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Multiple Probability Weighted Cash Flow</w:t>
            </w:r>
          </w:p>
        </w:tc>
        <w:tc>
          <w:tcPr>
            <w:tcW w:w="10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37,731</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Model</w:t>
            </w:r>
          </w:p>
        </w:tc>
        <w:tc>
          <w:tcPr>
            <w:tcW w:w="2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Probability Weighting</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 – 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investments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14,732</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Black-Scholes Valuation Model</w:t>
            </w:r>
          </w:p>
        </w:tc>
        <w:tc>
          <w:tcPr>
            <w:tcW w:w="2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Price Per Share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$0.00 – $807.91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Average Industry Volatility</w:t>
            </w:r>
          </w:p>
        </w:tc>
        <w:tc>
          <w:tcPr>
            <w:tcW w:w="12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Marketability Discount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 – 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Estimated Time to Exit (in years)</w:t>
            </w: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 to 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Multiple Probability Weighted Cash Flow</w:t>
            </w: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Other investments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3,444</w:t>
            </w:r>
          </w:p>
        </w:tc>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Model</w:t>
            </w:r>
          </w:p>
        </w:tc>
        <w:tc>
          <w:tcPr>
            <w:tcW w:w="2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 – 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Probability Weighting</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 – 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$0.06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27,139</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Last Equity Financing</w:t>
            </w:r>
          </w:p>
        </w:tc>
        <w:tc>
          <w:tcPr>
            <w:tcW w:w="2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Price Per Share</w:t>
            </w:r>
          </w:p>
        </w:tc>
        <w:tc>
          <w:tcPr>
            <w:tcW w:w="12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$1,000.00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Scenario Model</w:t>
            </w:r>
          </w:p>
        </w:tc>
        <w:tc>
          <w:tcPr>
            <w:tcW w:w="2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Probability Weighting</w:t>
            </w:r>
          </w:p>
        </w:tc>
        <w:tc>
          <w:tcPr>
            <w:tcW w:w="124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Level 3 investments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641,340</w:t>
            </w:r>
          </w:p>
        </w:tc>
        <w:tc>
          <w:tcPr>
            <w:tcW w:w="3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340" w:right="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Borrowings: </w:t>
      </w:r>
      <w:r>
        <w:rPr>
          <w:rFonts w:ascii="Times New Roman" w:cs="Times New Roman" w:eastAsia="Times New Roman" w:hAnsi="Times New Roman"/>
          <w:sz w:val="18"/>
          <w:szCs w:val="18"/>
          <w:color w:val="auto"/>
        </w:rPr>
        <w:t>The Credit Facilities approximate fair value due to the variable interest rate of the facilities and are categorized as Level 2 within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hierarchy described above. Additionally, the Company considers its creditworthiness in determining the fair value of such borrowings. The fair value of the fixed-rate 2027 Notes (as defined in Note 7) is based on the closing public share price on the date of measurement. On March 31, 2026, the closing price of the 2027 Notes on the New York Stock Exchange was $24.59 per note, and the 2027 Notes had an aggregate fair value of $56.6 million. Therefore, the Company has categorized this borrowing as Level 1 within the fair value hierarchy described above. Based on market yields on March 31, 2026, the fair value of the 2028 Notes (as defined in Note 7) was $57.2 million and are categorized as Level 3 within the fair value hierarchy described above. Based on market yields on March 31, 2026, the fair value of the 2031 Convertible Notes (as defined in Note 7) was $2.7 million, and the 2031 Convertible Notes are categorized as Level 3 within the fair value hierarchy described above. Based on market yields on March 31, 2026, the fair value of the 2030 Convertible Notes (as defined in Note 7) was $16.2 million, and the 2030 Convertible Notes are categorized as Level 3 within the fair value hierarchy described above. These borrowings are not recorded at fair value on a recurring basis.</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Off-balance-sheet instruments: </w:t>
      </w:r>
      <w:r>
        <w:rPr>
          <w:rFonts w:ascii="Times New Roman" w:cs="Times New Roman" w:eastAsia="Times New Roman" w:hAnsi="Times New Roman"/>
          <w:sz w:val="18"/>
          <w:szCs w:val="18"/>
          <w:color w:val="auto"/>
        </w:rPr>
        <w:t>Fair values for off-balance-sheet lending commitments are based on fees currently charged to enter into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taking into account the remaining terms of the agreements and the counterparties’ credit standings. Therefore, the Company has categorized these instruments as Level 3 within the fair value hierarchy described above.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beginning and ending balances for Level 3 assets measured at fair value on a recurring basis for the three months ended March 31, 2026: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Debt</w:t>
            </w:r>
          </w:p>
        </w:tc>
        <w:tc>
          <w:tcPr>
            <w:tcW w:w="120" w:type="dxa"/>
            <w:vAlign w:val="bottom"/>
          </w:tcPr>
          <w:p>
            <w:pPr>
              <w:spacing w:after="0"/>
              <w:rPr>
                <w:sz w:val="15"/>
                <w:szCs w:val="15"/>
                <w:color w:val="auto"/>
              </w:rPr>
            </w:pP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5"/>
        </w:trPr>
        <w:tc>
          <w:tcPr>
            <w:tcW w:w="4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Level 3 assets,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596,025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14,732</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27,139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3,444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641,340</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investments</w:t>
            </w: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90,004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90,004</w:t>
            </w: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received and classified as Level 3</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Principal payments received on investments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(38,048)</w:t>
            </w:r>
          </w:p>
        </w:tc>
      </w:tr>
      <w:tr>
        <w:trPr>
          <w:trHeight w:val="20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PIK interest on investments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1,278</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realized gain (loss) on investments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Unrealized (depreciation) appreciation included in earnings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Level 3 assets,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645,629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14,994</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27,139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3,664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691,426</w:t>
            </w: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2026, there were no transfers in or out of Level 3.</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unrealized depreciation included in the consolidated statement of operations attributable to Level 3 investments still held at March 31, 2026 includes $2.6 million in unrealized depreciation on debt and other investments and $0.1 million in unrealized depreciation on warrant investments.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beginning and ending balances for Level 3 assets measured at fair value on a recurring basis for the three months ended March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Debt</w:t>
            </w:r>
          </w:p>
        </w:tc>
        <w:tc>
          <w:tcPr>
            <w:tcW w:w="100" w:type="dxa"/>
            <w:vAlign w:val="bottom"/>
          </w:tcPr>
          <w:p>
            <w:pPr>
              <w:spacing w:after="0"/>
              <w:rPr>
                <w:sz w:val="16"/>
                <w:szCs w:val="16"/>
                <w:color w:val="auto"/>
              </w:rPr>
            </w:pPr>
          </w:p>
        </w:tc>
        <w:tc>
          <w:tcPr>
            <w:tcW w:w="116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Warrant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assets,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638,779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695,465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71,629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73,689</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received and classified as Level 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received on investments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PIK interest on investments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 on investments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Unrealized (depreciation) appreciation included in earnings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(31,887)</w:t>
            </w: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Level 3 assets,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643,567</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17,159</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12,974</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13,697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687,397</w:t>
            </w:r>
          </w:p>
        </w:tc>
      </w:tr>
      <w:tr>
        <w:trPr>
          <w:trHeight w:val="20"/>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2025, there were no transfers in or out of Level 3.</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unrealized depreciation included in the consolidated statement of operations attributable to Level 3 investments still held at March 31, 2025 includes $17.8 million in unrealized depreciation on debt and other investments, $14.7 million in unrealized depreciation on equity investments and $0.6 million in unrealized appreciation on warrant investments.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discloses fair value information about financial instruments, whether or not recognized in the consolidated statement of assets and liabilities, for which it is practicable to estimate that value. Certain financial instruments are excluded from the disclosure requirements. Accordingly, the aggregate fair value amounts presented do not represent the underlying value of the Company.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all of the balances of all the Company’s financial instruments were recorded at fair value, except for the Company’s borrowings, as previously described.</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assumes interest rate risk (the risk that general interest rate levels will change) as a result of its normal operations. As a result, the fair values of the Company’s financial instruments may change when interest rate levels change, and that change may be either favorable or unfavorable to the Company. Management attempts to match maturities of assets and liabilities to the extent believed necessary to minimize interest rate risk. Management monitors rates and maturities of assets and liabilities and attempts to minimize interest rate risk by adjusting terms of new debt investments and by investing in securities with terms that mitigate the Company’s overall interest rate risk.</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Borrowings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Company’s borrowings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Unused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Unused</w:t>
            </w: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Key Facility</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45,000</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105,000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NYL Facility</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Nuveen Facility</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 Notes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debt issuance costs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734,200</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450,200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284,000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806,750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477,750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329,000</w:t>
            </w:r>
          </w:p>
        </w:tc>
        <w:tc>
          <w:tcPr>
            <w:tcW w:w="0" w:type="dxa"/>
            <w:vAlign w:val="bottom"/>
          </w:tcPr>
          <w:p>
            <w:pPr>
              <w:spacing w:after="0"/>
              <w:rPr>
                <w:sz w:val="1"/>
                <w:szCs w:val="1"/>
                <w:color w:val="auto"/>
              </w:rPr>
            </w:pPr>
          </w:p>
        </w:tc>
      </w:tr>
      <w:tr>
        <w:trPr>
          <w:trHeight w:val="191"/>
        </w:trPr>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Unamortized debt issuance costs attributable to term</w:t>
            </w:r>
          </w:p>
        </w:tc>
        <w:tc>
          <w:tcPr>
            <w:tcW w:w="22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borrowings outstanding, net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734,200</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447,166</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284,000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806,750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473,027</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329,000</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with certain limited exceptions, the Company, as a BDC, was only allowed to borrow amounts such that the Company’s asset coverage, as defined in the 1940 Act, was at least 150% after such borrowings. As of March 31, 2026, the asset coverage for borrowed amounts was 174%.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Key Facility</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Company entered into the Key Facility with Key effective November 4, 2013. On February 26, 2026, the Company amended the Key Facility, among other things, (i) to make Michael P. Balkin and Paul G. Seitz each an “Authorized Person”, (ii) to amend certain requirements to make a debt investment eligible for the borrowing base and (ii) to amend certain concentration limits. On June 20, 2024, the Company amended the Key Facility, among other things, (i) to extend the date on which the Company may request advances under the Key Facility to June 20, 2027 and to extend the maturity date to June 20, 2029 and (ii) to amend the interest rate to be based on the rate of interest published in The Wall Street Journal as the prime rate in the United States plus 0.10%, with an interest rate floor of 4.10%. Prior to June 20, 2024, the interest rate on the Key Facility was based on Prime plus 0.25%, with a prime rate floor of 4.25%. On June 29, 2023, the Company amended the Key Facility, among other things, to increase the commitment amount to $150 million and to increase the amount of the accordion feature which now allows for the potential increase in the total commitment amount to $300 million. The Key Facility is collateralized by all debt investments and warrants held by Credit II and permits an advance rate of up to 60% of eligible debt investments held by Credit II. The Key Facility contains covenants that, among other things, require the Company to maintain a minimum net worth and to restrict the debt investments securing the Key Facility to certain criteria for qualified debt investments and includes portfolio company concentration limits as defined in the related loan agreement. The prime rate was 6.75% on March 31, 2026 and December 31, 2025. The average interest rate on the Key Facility for the three months ended March 31, 2026 and 2025 was 6.85% and 7.60%, respectively. The Key Facility requires the payment of an unused line fee in an amount up to 0.75% on an annualized basis of any unborrowed amount available under the facility. As of March 31, 2026 and December 31, 2025, the Company had borrowing capacity under the Key Facility of $105.0 and $150.0 million, respectively. At March 31, 2026 and December 31, 2025, $23.3 million and $49.6 million, respectively, was available for borrowing, subject to existing terms and advance rates.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NYL Facility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HFI entered into the NYL Facility with the NYL Noteholders for an aggregate purchase price of up to $100.0 million, with an accordion feature of up to $200.0 million at the mutual discretion and agreement of HSLFI and the NYL Noteholders. On June 1, 2018, HSLFI sold or contributed to HFI certain secured loans made to certain portfolio companies pursuant to the Sale and Servicing Agreement. Any notes issued by HFI are collateralized by all investments held by HFI and permit an advance rate of up to 67% of the aggregate principal amount of eligible debt investments. The notes were issued pursuant to the indenture. All advances under the NYL Facility are scheduled to mature in June 2030.</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24, 2023, the Company amended its NYL Facility to, among other things, increase the commitment by $50.0 million to enable its wholly-owned subsidiary to issue up to $250.0 million of secured notes. On April 25, 2025, the Company amended its NYL Facility to, among other things, extend the investment period to June 5, 2027. In addition, the amendment amended the interest rate for advances made after April 25, 2025, fixing the interest rate at the greater of (i) 4.60% and (ii) the Three Year I Curve plus 2.95% with the interest rate to be reset on any advance date.</w:t>
      </w:r>
    </w:p>
    <w:p>
      <w:pPr>
        <w:spacing w:after="0" w:line="180" w:lineRule="exact"/>
        <w:rPr>
          <w:sz w:val="20"/>
          <w:szCs w:val="20"/>
          <w:color w:val="auto"/>
        </w:rPr>
      </w:pPr>
    </w:p>
    <w:p>
      <w:pPr>
        <w:ind w:left="340"/>
        <w:spacing w:after="0"/>
        <w:tabs>
          <w:tab w:leader="none" w:pos="8580" w:val="left"/>
        </w:tabs>
        <w:rPr>
          <w:sz w:val="20"/>
          <w:szCs w:val="20"/>
          <w:color w:val="auto"/>
        </w:rPr>
      </w:pPr>
      <w:r>
        <w:rPr>
          <w:rFonts w:ascii="Times New Roman" w:cs="Times New Roman" w:eastAsia="Times New Roman" w:hAnsi="Times New Roman"/>
          <w:sz w:val="18"/>
          <w:szCs w:val="18"/>
          <w:color w:val="auto"/>
        </w:rPr>
        <w:t>There were $181.0 million in advances made by the NYL Noteholders as of March 31, 2026 and</w:t>
        <w:tab/>
        <w:t>December 31, 2025.  The  interest</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rate was 6.57% and 6.54% as of March 31, 2026 and 2025, respectively. As of March 31, 2026 and December 31, 2025, the Company had borrowing capacity under the NYL Facility of $69.0 million. At March 31, 2026 and December 31, 2025, $2.6 million and $1.9 million, respectively, was available for borrowing, subject to existing terms and advance rates.</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NYL Facility, the Company is required to maintain a reserve cash balance, which may be used to pay monthly interest and principal payments on the NYL Facility. The Company has segregated these funds and classified them as restricted investments in money market funds. At March 31, 2026 and December 31, 2025, there were approximately $1.4 million of such restricted investments.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Nuveen Facility</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HFII entered into the Nuveen Facility with the Nuveen Noteholders for an aggregate purchase price of up to $100.0 million, with an accordion feature of up to $200.0 million at the mutual discretion and agreement of HFII and the Nuveen Noteholders. On June 21, 2024, the Company sold or contributed to HFII certain secured loans made to certain portfolio companies pursuant to the Sale and Servicing Agreement. Any notes issued by HFII are collateralized by all investments held by HFII and permit an advance rate of up to 67.5% of the aggregate principal amount of eligible debt investments. The notes were issued pursuant to the Indenture. The Nuveen Facility bore interest, payable monthly, determined at a rate per annum equal to the greater of (i) the yield for the United States Treasury constant maturity 3-year and 5-year in the most recent statistical release published by the Board of Governors of the Federal Reserve System designated as “Selected Interest Rates (Daily) – H.15” interpolated to a 4.88-year weighted average life (the “Pricing Benchmark”) plus 3.15% and (ii) 5.00%.</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23, 2025, the Company amended its Nuveen Facility to, among other things, extend the investment period to June 21, 2028 and the maturity date to June 10, 2034, and increase the commitment by $100.0 million which enables its wholly-owned subsidiary to issue up to $200.0 million of secured notes. In addition, the amendment amended the interest rate for advances made after May 23, 2025, fixing the interest rate at the greater of (i) 5.00% and (ii) the Pricing Benchmark plus 2.95%.</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were $90.0 million in advances made by the Nuveen Noteholders as of March 31, 2026 and December 31, 2025. The interest rate as of March 31, 2026 and 2025 was 7.21%. As of March 31, 2026 and December 31, 2025, the Company had borrowing capacity under the Nuveen Facility of $110.0 million. At March 31, 2026 and December 31, 2025, $22.3 million and $12.1 million, respectively, was available for borrowing, subject to existing terms and advance rates.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Nuveen Facility, the Company is required to maintain a reserve cash balance, which may be used to pay monthly interest and principal payments on the Nuveen Facility. The Company has segregated these funds and classified them as restricted investments in money market funds. At March 31, 2026 and December 31, 2025 there were approximately $1.3 million and $1.1 million, respectively, of such restricted investments.</w:t>
      </w:r>
    </w:p>
    <w:p>
      <w:pPr>
        <w:sectPr>
          <w:pgSz w:w="11900" w:h="16838" w:orient="portrait"/>
          <w:cols w:equalWidth="0" w:num="1">
            <w:col w:w="11240"/>
          </w:cols>
          <w:pgMar w:left="320" w:top="121" w:right="339" w:bottom="393"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93"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Unsecured Notes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27" w:lineRule="exact"/>
        <w:rPr>
          <w:sz w:val="20"/>
          <w:szCs w:val="20"/>
          <w:color w:val="auto"/>
        </w:rPr>
      </w:pPr>
    </w:p>
    <w:p>
      <w:pPr>
        <w:jc w:val="both"/>
        <w:ind w:left="160" w:firstLine="324"/>
        <w:spacing w:after="0" w:line="253" w:lineRule="auto"/>
        <w:rPr>
          <w:sz w:val="20"/>
          <w:szCs w:val="20"/>
          <w:color w:val="auto"/>
        </w:rPr>
      </w:pPr>
      <w:r>
        <w:rPr>
          <w:rFonts w:ascii="Times New Roman" w:cs="Times New Roman" w:eastAsia="Times New Roman" w:hAnsi="Times New Roman"/>
          <w:sz w:val="18"/>
          <w:szCs w:val="18"/>
          <w:color w:val="auto"/>
        </w:rPr>
        <w:t>On March 30, 2021, the Company issued and sold an aggregate principal amount of $57.5 million of 4.875% notes due in 2026 (the “2026 Notes”). The amount of 2026 Notes issued and sold included the full exercise by the underwriters of their option to purchase $7.5 million in aggregate principal of additional notes. The 2026 Notes had a stated maturity of March 30, 2026 and could have been redeemed in whole or in part at the Company’s option at any time or from time to time on or after March 30, 2023 at a redemption price of $25 per security plus accrued and unpaid interest. The 2026 Notes bore interest at a rate of 4.875% per year, payable quarterly on March 30, June 30, September 30 and December 30 of each year. The 2026 Notes were the Company’s direct unsecured obligations and (i) ranked equally in right of payment with the Company’s current and future unsecured indebtedness;</w:t>
      </w:r>
    </w:p>
    <w:p>
      <w:pPr>
        <w:spacing w:after="0" w:line="5" w:lineRule="exact"/>
        <w:rPr>
          <w:sz w:val="20"/>
          <w:szCs w:val="20"/>
          <w:color w:val="auto"/>
        </w:rPr>
      </w:pPr>
    </w:p>
    <w:p>
      <w:pPr>
        <w:jc w:val="both"/>
        <w:ind w:left="160" w:hanging="8"/>
        <w:spacing w:after="0" w:line="252" w:lineRule="auto"/>
        <w:tabs>
          <w:tab w:leader="none" w:pos="4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senior in right of payment to any of the Company’s future indebtedness that expressly provides it is subordinated to the 2026 Notes; (iii) were effectively subordinated to all of the Company’s existing and future secured indebtedness (including indebtedness that is initially unsecured to which the Company subsequently grants security), to the extent of the value of the assets securing such indebtedness, and (iv) were structurally subordinated to all existing and future indebtedness and other obligations of any of the Company’s subsidiaries. The 2026 Notes were listed on the New York Stock Exchange under the symbol “HTFB”. On January 28, 2026, the Company redeemed all of the outstanding principal balance of the 2026 Notes plus accrued interest. The Company accelerated $0.1 million of unamortized debt issuance costs related to the 2026 Notes.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2027 Notes</w:t>
      </w:r>
    </w:p>
    <w:p>
      <w:pPr>
        <w:spacing w:after="0" w:line="227" w:lineRule="exact"/>
        <w:rPr>
          <w:sz w:val="20"/>
          <w:szCs w:val="20"/>
          <w:color w:val="auto"/>
        </w:rPr>
      </w:pPr>
    </w:p>
    <w:p>
      <w:pPr>
        <w:jc w:val="both"/>
        <w:ind w:left="160" w:firstLine="324"/>
        <w:spacing w:after="0" w:line="253" w:lineRule="auto"/>
        <w:rPr>
          <w:sz w:val="20"/>
          <w:szCs w:val="20"/>
          <w:color w:val="auto"/>
        </w:rPr>
      </w:pPr>
      <w:r>
        <w:rPr>
          <w:rFonts w:ascii="Times New Roman" w:cs="Times New Roman" w:eastAsia="Times New Roman" w:hAnsi="Times New Roman"/>
          <w:sz w:val="18"/>
          <w:szCs w:val="18"/>
          <w:color w:val="auto"/>
        </w:rPr>
        <w:t>On June 15, 2022, the Company issued and sold an aggregate principal amount of $50.0 million of 6.25% notes due in 2027 and on July 11, 2022, pursuant to the underwriters’ 30-day option to purchase additional notes, the Company sold an additional $7.5 million of such notes (collectively, the “2027 Notes”). The 2027 Notes have a stated maturity of June 15, 2027 and may be redeemed in whole or in part at the Company’s option at any time or from time to time on or after June 15, 2024 at a redemption price of $25 per security plus accrued and unpaid interest. The 2027 Notes bear interest at a rate of 6.25% per year, payable quarterly on March 30, June 30, September 30 and December 30 of each year, commencing on September 30, 2022. The 2027 Notes are the Company’s direct unsecured obligations and (i) rank equally in right of payment with the Company’s current and future unsecured indebtedness; (ii) are senior in right of payment to any of the Company’s future indebtedness that expressly provides it is subordinated to the 2027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March 31, 2026, the Company was in material compliance with the terms of the 2027 Notes. The 2027 Notes are listed on the New York Stock Exchange under the symbol “HTFC”.</w:t>
      </w: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2028 Notes</w:t>
      </w:r>
    </w:p>
    <w:p>
      <w:pPr>
        <w:spacing w:after="0" w:line="227" w:lineRule="exact"/>
        <w:rPr>
          <w:sz w:val="20"/>
          <w:szCs w:val="20"/>
          <w:color w:val="auto"/>
        </w:rPr>
      </w:pPr>
    </w:p>
    <w:p>
      <w:pPr>
        <w:jc w:val="both"/>
        <w:ind w:left="160" w:firstLine="324"/>
        <w:spacing w:after="0" w:line="268" w:lineRule="auto"/>
        <w:rPr>
          <w:sz w:val="20"/>
          <w:szCs w:val="20"/>
          <w:color w:val="auto"/>
        </w:rPr>
      </w:pPr>
      <w:r>
        <w:rPr>
          <w:rFonts w:ascii="Times New Roman" w:cs="Times New Roman" w:eastAsia="Times New Roman" w:hAnsi="Times New Roman"/>
          <w:sz w:val="17"/>
          <w:szCs w:val="17"/>
          <w:color w:val="auto"/>
        </w:rPr>
        <w:t>On December 15, 2025, the Company issued and sold an aggregate principal amount of $57.5 million of 7.00% notes due in 2028 (the “2028 Notes”) in a private transaction. The 2028 Notes have a stated maturity of December 15, 2028 and may be redeemed in whole or in part at the Company’s option at any time or from time to time on or prior to June 15, 2028, at a redemption price equal to the greater of: (1)(a) the sum of the present values of the remaining scheduled payments of principal and interest thereon discounted to the redemption date on a semi-annual basis at the Treasury Rate plus 50 basis points less (b) interest accrued to the date of redemption, and (2) 100% of the principal amount of the 2028 Notes to be redeemed, plus, in either case, accrued and unpaid interest thereon to, but not including, the redemption date. On or after June 15, 2028, the Company may redeem the 2028 Notes, in whole or in part, at any time and from time to time, at a redemption price equal to 100% of the principal amount of the 2028 Notes being redeemed plus accrued and unpaid interest there onto the date of redemption. The 2028 Notes bear interest at a rate of 7.00% per year, payable semi-annually on June 15 and December 15 of each year, commencing on June 15, 2026. The 2028 Notes are the Company’s direct unsecured obligations and (i) rank equally in right of payment with the Company’s current and future unsecured indebtedness; (ii) are senior in right of payment to any of the Company’s future indebtedness that expressly provides it is subordinated to the 2028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March 31, 2026, the Company was in material compliance with the terms of the 2028 Notes.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2030 Convertible Notes</w:t>
      </w:r>
    </w:p>
    <w:p>
      <w:pPr>
        <w:spacing w:after="0" w:line="227" w:lineRule="exact"/>
        <w:rPr>
          <w:sz w:val="20"/>
          <w:szCs w:val="20"/>
          <w:color w:val="auto"/>
        </w:rPr>
      </w:pPr>
    </w:p>
    <w:p>
      <w:pPr>
        <w:jc w:val="both"/>
        <w:ind w:left="160" w:firstLine="324"/>
        <w:spacing w:after="0" w:line="261" w:lineRule="auto"/>
        <w:rPr>
          <w:sz w:val="20"/>
          <w:szCs w:val="20"/>
          <w:color w:val="auto"/>
        </w:rPr>
      </w:pPr>
      <w:r>
        <w:rPr>
          <w:rFonts w:ascii="Times New Roman" w:cs="Times New Roman" w:eastAsia="Times New Roman" w:hAnsi="Times New Roman"/>
          <w:sz w:val="18"/>
          <w:szCs w:val="18"/>
          <w:color w:val="auto"/>
        </w:rPr>
        <w:t>On September 4, 2025, the Company entered into a note purchase agreement (the “2030 Note Purchase Agreement”), by and among the Company and each purchaser named therein, in connection with the issuance and sale of $40.0 million aggregate principal of the Company’s 5.50% convertible notes due 2030 (the “2030 Convertible Notes”) in a transaction exempt from registration pursuant to Section 4(a)(2) of the Securities Act of 1933, as amended. The Company received net proceeds (before expenses) from the sale of the 2030 Convertible Notes of approximately $36.6 million.</w:t>
      </w:r>
    </w:p>
    <w:p>
      <w:pPr>
        <w:spacing w:after="0" w:line="180" w:lineRule="exact"/>
        <w:rPr>
          <w:sz w:val="20"/>
          <w:szCs w:val="20"/>
          <w:color w:val="auto"/>
        </w:rPr>
      </w:pPr>
    </w:p>
    <w:p>
      <w:pPr>
        <w:jc w:val="both"/>
        <w:ind w:left="140" w:firstLine="324"/>
        <w:spacing w:after="0" w:line="266" w:lineRule="auto"/>
        <w:rPr>
          <w:sz w:val="20"/>
          <w:szCs w:val="20"/>
          <w:color w:val="auto"/>
        </w:rPr>
      </w:pPr>
      <w:r>
        <w:rPr>
          <w:rFonts w:ascii="Times New Roman" w:cs="Times New Roman" w:eastAsia="Times New Roman" w:hAnsi="Times New Roman"/>
          <w:sz w:val="18"/>
          <w:szCs w:val="18"/>
          <w:color w:val="auto"/>
        </w:rPr>
        <w:t>The 2030 Convertible Notes mature on September 4, 2030, unless earlier converted or repurchased in accordance with their terms. The 2030 Convertible Notes bear interest at a rate of 5.50% per year, payable monthly in arrears on the last day of each calendar month, beginning on September 30, 2025.</w:t>
      </w:r>
    </w:p>
    <w:p>
      <w:pPr>
        <w:spacing w:after="0" w:line="176" w:lineRule="exact"/>
        <w:rPr>
          <w:sz w:val="20"/>
          <w:szCs w:val="20"/>
          <w:color w:val="auto"/>
        </w:rPr>
      </w:pPr>
    </w:p>
    <w:p>
      <w:pPr>
        <w:jc w:val="both"/>
        <w:ind w:left="160" w:firstLine="324"/>
        <w:spacing w:after="0" w:line="256" w:lineRule="auto"/>
        <w:rPr>
          <w:sz w:val="20"/>
          <w:szCs w:val="20"/>
          <w:color w:val="auto"/>
        </w:rPr>
      </w:pPr>
      <w:r>
        <w:rPr>
          <w:rFonts w:ascii="Times New Roman" w:cs="Times New Roman" w:eastAsia="Times New Roman" w:hAnsi="Times New Roman"/>
          <w:sz w:val="18"/>
          <w:szCs w:val="18"/>
          <w:color w:val="auto"/>
        </w:rPr>
        <w:t>The 2030 Convertible Notes are direct unsecured obligations of the Company and rank (i) equal in right of payment to the Company’s existing and future unsecured indebtedness that is not subordinated in right of payment to the 2030 Convertible Notes; (ii) senior in right of payment to the Company’s future indebtedness that is expressly subordinated in right of payment to the 2030 Convertible Notes; (iii) effectively junior in right of payment to the Company’s existing and future secured indebtedness (including unsecured indebtedness that the Company later secures) to the extent of the value of the assets securing such indebtedness; and (iv) structurally junior to all existing and future indebtedness and other obligations of any of the Company’s subsidiaries. No sinking fund is provided for the 2030 Convertible Notes.</w:t>
      </w:r>
    </w:p>
    <w:p>
      <w:pPr>
        <w:spacing w:after="0" w:line="187" w:lineRule="exact"/>
        <w:rPr>
          <w:sz w:val="20"/>
          <w:szCs w:val="20"/>
          <w:color w:val="auto"/>
        </w:rPr>
      </w:pPr>
    </w:p>
    <w:p>
      <w:pPr>
        <w:jc w:val="both"/>
        <w:ind w:left="140" w:firstLine="324"/>
        <w:spacing w:after="0" w:line="266" w:lineRule="auto"/>
        <w:rPr>
          <w:sz w:val="20"/>
          <w:szCs w:val="20"/>
          <w:color w:val="auto"/>
        </w:rPr>
      </w:pPr>
      <w:r>
        <w:rPr>
          <w:rFonts w:ascii="Times New Roman" w:cs="Times New Roman" w:eastAsia="Times New Roman" w:hAnsi="Times New Roman"/>
          <w:sz w:val="18"/>
          <w:szCs w:val="18"/>
          <w:color w:val="auto"/>
        </w:rPr>
        <w:t>At any time on or after October 4, 2025, at the Company’s sole option, the Company may redeem, from time to time, the 2030 Convertible Notes in whole or in part, out of funds legally available for such redemption, at 100% of the principal amount prepaid plus accrued but unpaid interest to but excluding the date of prepayment.</w:t>
      </w:r>
    </w:p>
    <w:p>
      <w:pPr>
        <w:spacing w:after="0" w:line="176" w:lineRule="exact"/>
        <w:rPr>
          <w:sz w:val="20"/>
          <w:szCs w:val="20"/>
          <w:color w:val="auto"/>
        </w:rPr>
      </w:pPr>
    </w:p>
    <w:p>
      <w:pPr>
        <w:jc w:val="both"/>
        <w:ind w:left="140" w:firstLine="324"/>
        <w:spacing w:after="0" w:line="254" w:lineRule="auto"/>
        <w:rPr>
          <w:sz w:val="20"/>
          <w:szCs w:val="20"/>
          <w:color w:val="auto"/>
        </w:rPr>
      </w:pPr>
      <w:r>
        <w:rPr>
          <w:rFonts w:ascii="Times New Roman" w:cs="Times New Roman" w:eastAsia="Times New Roman" w:hAnsi="Times New Roman"/>
          <w:sz w:val="18"/>
          <w:szCs w:val="18"/>
          <w:color w:val="auto"/>
        </w:rPr>
        <w:t>Each holder of a 2030 Convertible Note has the right, at such holder’s option, to convert any such 2030 Convertible Note, at any time on or after October 4, 2025 and prior to the close of business on the business day immediately preceding the maturity date, once or more times per calendar month, into such number of shares of common stock of the Company equal to the principal balance of the 2030 Convertible Note being converted on the conversion date plus the accrued but unpaid interest on the 2030 Convertible Note as of the conversion date, divided by the greater of (i) volume-weighted average closing sale price for the five trading days immediately prior to the relevant conversion date, or (ii) the Company’s most recently reported net asset value (“NAV”) per share immediately prior to the date of the notice of such exercise. If the 2030 Convertible Notes were converted as of March 31, 2026, 2,356,734 shares would have been issued based on the Company’s most recently reported NAV per share immediately prior to March 31, 2026 of $6.98. The last reported price for the Company’s common stock on March 31, 2026 was $4.21 per share.</w:t>
      </w:r>
    </w:p>
    <w:p>
      <w:pPr>
        <w:spacing w:after="0" w:line="192" w:lineRule="exact"/>
        <w:rPr>
          <w:sz w:val="20"/>
          <w:szCs w:val="20"/>
          <w:color w:val="auto"/>
        </w:rPr>
      </w:pPr>
    </w:p>
    <w:p>
      <w:pPr>
        <w:jc w:val="both"/>
        <w:ind w:left="140" w:firstLine="324"/>
        <w:spacing w:after="0" w:line="266" w:lineRule="auto"/>
        <w:rPr>
          <w:sz w:val="20"/>
          <w:szCs w:val="20"/>
          <w:color w:val="auto"/>
        </w:rPr>
      </w:pPr>
      <w:r>
        <w:rPr>
          <w:rFonts w:ascii="Times New Roman" w:cs="Times New Roman" w:eastAsia="Times New Roman" w:hAnsi="Times New Roman"/>
          <w:sz w:val="18"/>
          <w:szCs w:val="18"/>
          <w:color w:val="auto"/>
        </w:rPr>
        <w:t>No holder of 2030 Convertible Notes may exercise its conversion right if upon conversion the holder would receive shares that would cause funds and accounts managed by the investment adviser to such funds and accounts and any person controlled by the parent company of such investment adviser to beneficially own in the aggregate more than 4.99% of the shares outstanding at such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2030 Convertible Notes are not listed on any exchange and may not be transferred without the consent of the Company.</w:t>
      </w:r>
    </w:p>
    <w:p>
      <w:pPr>
        <w:spacing w:after="0" w:line="225" w:lineRule="exact"/>
        <w:rPr>
          <w:sz w:val="20"/>
          <w:szCs w:val="20"/>
          <w:color w:val="auto"/>
        </w:rPr>
      </w:pPr>
    </w:p>
    <w:p>
      <w:pPr>
        <w:jc w:val="both"/>
        <w:ind w:left="160"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2030 Convertible Notes are recorded at their contractual amounts. At issuance, the Company determined that the embedded conversion option in the 2030 Convertible Notes is not required to be separately accounted for as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40"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holders of a portion of the 2030 Convertible Notes converted $15.1 million in outstanding principal of the 2030 Convertible Notes plus accrued but unpaid interest on such outstanding principal as of the conversion date into 2,118,250 shares of common stock at a weighted average conversion price of $7.12 together with cash in lieu of fractional shares, in accordance with noteholder conversion notice. The Company accelerated $1.3 million of unamortized debt issuance costs related to the 2030 Convertible Notes during the three months ended March 31, 2026.</w:t>
      </w:r>
    </w:p>
    <w:p>
      <w:pPr>
        <w:spacing w:after="0" w:line="183" w:lineRule="exact"/>
        <w:rPr>
          <w:sz w:val="20"/>
          <w:szCs w:val="20"/>
          <w:color w:val="auto"/>
        </w:rPr>
      </w:pPr>
    </w:p>
    <w:p>
      <w:pPr>
        <w:jc w:val="both"/>
        <w:ind w:left="14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aggregate outstanding principal balance of the 2030 Convertible Notes was $16.5 million and $31.5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2031 Convertible Notes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17, 2024, the Company entered into a note purchase agreement (the “2031 Note Purchase Agreement”, by and among the Company, and each purchaser named therein, in connection with the issuance and sale of $20.0 million aggregate principal of the Company’s 7.125% convertible notes due 2031 (the “2031 Convertible Notes” and collectively with the 2030 Convertible Notes, the “Convertible Notes”), in a transaction exempt from registration pursuant to Section 4(a)(2) of the Securities Act of 1933, as amended. The Company received net proceeds (before expenses) from the sale of the 2031 Convertible Notes of approximately $18.6 million.</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2031 Convertible Notes mature on October 17, 2031, unless earlier converted or repurchased in accordance with their terms. The 2031 Convertible Notes bear interest at a rate of 7.125% per year, subject to additional interest or repurchase obligation upon certain events, payable quarterly in arrears on March 31, June 30, September 30 and December 31 of each year, beginning on December 31, 2024. If an investment grade rating is not maintained with respect to the 2031 Convertible Notes, additional interest of 1.00% per annum will accrue on the 2031 Convertible Notes until such time as the 2031 Convertible Notes have received an investment grade rating of “BBB-” (or its equivalent) or better. The Company will also be required to pay additional interest of 2.00% per annum (x) on any overdue payment of interest and (y) during the continuance of an Event of Default (as defined in the 2031 Note Purchase Agreement). In addition, on the occurrence of a Change in Control Repurchase Event (as defined in the 2031 Note Purchase Agreement) or Delisting Event (as defined in the 2031 Note Purchase Agreement), the Company will generally be required to make an offer to purchase the outstanding 2031 Convertible Notes at a price equal to 100% of the principal amount of such 2031 Convertible Notes plus accrued and unpaid interest to the repurchase date.</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2031 Convertible Notes are direct unsecured obligations of the Company and rank (i) equal in right of payment to the Company’s existing and future unsecured indebtedness that is not subordinated in right of payment to the 2031 Convertible Notes; (ii) senior in right of payment to the Company’s future indebtedness that is expressly subordinated in right of payment to the 2031 Convertible Notes; (iii) effectively junior in right of payment to the Company’s existing and future secured indebtedness (including unsecured indebtedness that the Company later secures) to the extent of the value of the assets securing such indebtedness; and (iv) structurally junior to all existing and future indebtedness and other obligations of any of the Company’s subsidiaries. No sinking fund is provided for the 2031 Convertible Notes.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any time on or after April 17, 2025, at the Company’s sole option, the Company may redeem, from time to time, the 2031 Convertible Notes in whole or in part, out of funds legally available for such redemption, at 100% of the principal amount prepaid plus accrued but unpaid interest to but excluding the date of prepayment.</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holder of a 2031 Convertible Note has the right, at such holder’s option, to convert any such 2031 Convertible Note, at any time on or after April 17, 2025 and prior to the close of business on the business day immediately preceding the maturity date, into such number of shares of common stock of the Company equal to the principal balance of the 2031 Convertible Note being converted on the conversion date plus the accrued but unpaid interest on the 2031 Convertible Note as of the conversion date, divided by the greater of (i) volume-weighted average closing sale price for the five trading days immediately prior to the relevant conversion date, or (ii) the Company’s most recently reported NAV per Share immediately prior to the date of exercise. If the 2031 Convertible Notes were converted as of March 31, 2026, 393,983 shares would have been issued based on the Company’s most recently reported NAV per share immediately prior to March 31, 2026 of $6.98. The last reported price for the Company’s common stock on March 31, 2026 was $4.21 per share.</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holder of 2031 Convertible Notes may exercise its conversion right if upon conversion the holder would receive shares that would cause funds and accounts managed by the investment adviser to such funds and accounts and any person controlled by the parent company of such investment adviser to beneficially own in the aggregate more than 4.99% of the shares outstanding at such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2031 Convertible Notes are not listed on any exchange and may not be transferred without the consent of the Company.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2031 Convertible Notes are recorded at their contractual amounts. At issuance, the Company determined that the embedded conversion option in the 2031 Convertible Notes is not required to be separately accounted for as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holders of the 2031 Convertible Notes did not convert any of the 2031 Convertible Notes.</w:t>
      </w:r>
    </w:p>
    <w:p>
      <w:pPr>
        <w:spacing w:after="0" w:line="1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As of March 31, 2026 and December 31, 2025, the aggregate outstanding principal balance of the 2031 Convertible Notes was $2.8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Financial instruments with off-balance-sheet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party to financial instruments with off-balance-sheet risk to meet the financing needs of its borrowers. These financial instruments include commitments to extend credit and involve, to varying degrees, elements of credit risk in excess of the amount recognized in the consolidated statement of assets and liabilities. The Company attempts to limit its credit risk by conducting extensive due diligence and obtaining collateral where appropriate.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balance of unfunded commitments to extend credit was $155.0 million and $104.0 million as of March 31, 2026 and December 31, 2025, respectively. Commitments to extend credit consist principally of the unused portions of commitments that obligate the Company to extend credit, often subject to financial or non-financial milestones and other conditions to borrow that must be achieved before the commitment can be drawn. In addition, the commitments generally have fixed expiration dates or other termination clauses. Since commitments may expire without being drawn upon, the total commitment amounts do not necessarily represent future cash requirements.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unfunded commitments by portfolio company as of March 31, 2026 and December 31, 2025:</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7"/>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Fair Value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Fair Value of</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Unfunded</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Commitment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Commitment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r>
      <w:tr>
        <w:trPr>
          <w:trHeight w:val="238"/>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Liability</w:t>
            </w:r>
          </w:p>
        </w:tc>
      </w:tr>
      <w:tr>
        <w:trPr>
          <w:trHeight w:val="209"/>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Avive Solutions, Inc.</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Britecore Holdings, Inc.</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Ceribell, Inc.</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Crafty Holdings, Inc.</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 Medical Technologies, Inc.</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Hyperfine, Inc.</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Infobionic, Inc.</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Long Grove Pharmaceuticals LLC</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MasteryPrep, LLC</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MML US, Inc.</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Ossio, Inc.</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Pelthos Therapeutics, Inc.</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Samba TV, Inc.</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Sonex Health, Inc.</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Sparkcharge, Inc.</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Supply Network Visibility Holdings, LLC</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2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table above also provides the fair value of the Company’s unfunded commitment liability as of March 31, 2026 and December 31, 2025, which totaled $1.1 million and $0.8 million, respectively. The fair value at inception of the delay draw credit agreements is equal to the fees and/or warrants received to enter into these agreements, taking into account the remaining terms of the agreements and the counterparties’ credit profile. The unfunded commitment liability reflects the fair value of these future funding commitments and is included in total investments at fair value on the Company’s consolidated statement of assets and liabilities.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Concentrations of credit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debt investments consist primarily of loans to development-stage companies at various stages of development in the technology, life science, healthcare information and services and sustainability industries. Many of these companies may have relatively limited operating histories and also may experience variation in operating results. Many of these companies conduct business in regulated industries and could be affected by changes in government regulations. Most of the Company’s borrowers will need additional capital to satisfy their continuing working capital needs and other requirements, and in many instances, to service the interest and principal payments on the loans.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largest debt investments may vary from period to period as new debt investments are recorded and existing debt investments are repaid. The Company’s five largest debt investments at cost represented 24% and 26% of total debt investments outstanding as of March 31, 2026 and December 31, 2025, respectively. The Company’s five largest debt investments at fair value represented 24% and 26% of total debt investments outstanding as of March 31, 2026 and December 31, 2025, respectively. No single debt investment represented more than 10% of the total debt investments at cost or fair value as of March 31, 2026 and December 31, 2025. Investment income, consisting of interest and fees, can fluctuate significantly upon repayment of large debt investments. Interest income from the five largest debt investments at cost accounted for 23% and 24% of total interest and fee income on investments for the three months ended March 31, 2026 and 2025, respectively. Interest income from the five largest debt investments at fair value accounted for 23% and 24% of total interest and fee income on investments for the three months ended March 31, 2026 and 2025,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Distributions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January 1, 2026, the Company recorded distributions to common stockholders on the date the distribution was declared by the Board. On and after January 1, 2026, the Company records distributions to common stockholders on the ex-dividend date for such distribution. The following table summarizes the Company’s distribution activity for the three months ended March 31, 2026 and for the year ended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DRIP</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DRIP</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w:t>
            </w:r>
          </w:p>
        </w:tc>
      </w:tr>
      <w:tr>
        <w:trPr>
          <w:trHeight w:val="238"/>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Declared</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20" w:type="dxa"/>
            <w:vAlign w:val="bottom"/>
          </w:tcPr>
          <w:p>
            <w:pPr>
              <w:spacing w:after="0"/>
              <w:rPr>
                <w:sz w:val="20"/>
                <w:szCs w:val="20"/>
                <w:color w:val="auto"/>
              </w:rPr>
            </w:pP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80" w:type="dxa"/>
            <w:vAlign w:val="bottom"/>
            <w:gridSpan w:val="9"/>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2026</w:t>
            </w:r>
          </w:p>
        </w:tc>
        <w:tc>
          <w:tcPr>
            <w:tcW w:w="1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18, 2026</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16, 2026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27, 2026</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16, 2026</w:t>
            </w:r>
          </w:p>
        </w:tc>
        <w:tc>
          <w:tcPr>
            <w:tcW w:w="1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May 15, 2026</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2026</w:t>
            </w:r>
          </w:p>
        </w:tc>
        <w:tc>
          <w:tcPr>
            <w:tcW w:w="12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16, 2026</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15, 2026</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30,460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49"/>
        </w:trPr>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2,727</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30,460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197"/>
        </w:trPr>
        <w:tc>
          <w:tcPr>
            <w:tcW w:w="25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Year Ended December 31, 2025</w:t>
            </w:r>
          </w:p>
        </w:tc>
        <w:tc>
          <w:tcPr>
            <w:tcW w:w="12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22, 2025</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February 17, 2026</w:t>
            </w:r>
          </w:p>
        </w:tc>
        <w:tc>
          <w:tcPr>
            <w:tcW w:w="1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March 13,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5,020</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55,295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October 22, 2025</w:t>
            </w:r>
          </w:p>
        </w:tc>
        <w:tc>
          <w:tcPr>
            <w:tcW w:w="1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January 16, 2026</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February 13, 2026</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4,885</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38,126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22, 2025</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17, 2025</w:t>
            </w:r>
          </w:p>
        </w:tc>
        <w:tc>
          <w:tcPr>
            <w:tcW w:w="1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January 15, 2026</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4,785</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July 23, 2025</w:t>
            </w:r>
          </w:p>
        </w:tc>
        <w:tc>
          <w:tcPr>
            <w:tcW w:w="1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November 17, 2025</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16, 2025</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4,660</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37,723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23, 2025</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October 16, 2025</w:t>
            </w:r>
          </w:p>
        </w:tc>
        <w:tc>
          <w:tcPr>
            <w:tcW w:w="1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November 14, 2025</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4,666</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July 23, 2025</w:t>
            </w:r>
          </w:p>
        </w:tc>
        <w:tc>
          <w:tcPr>
            <w:tcW w:w="1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September 17, 2025</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October 15, 2025</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4,685</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31,217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25, 2025</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18, 2025</w:t>
            </w:r>
          </w:p>
        </w:tc>
        <w:tc>
          <w:tcPr>
            <w:tcW w:w="1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September 16, 2025</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4,513</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April 25, 2025</w:t>
            </w:r>
          </w:p>
        </w:tc>
        <w:tc>
          <w:tcPr>
            <w:tcW w:w="1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July 16, 2025</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August 15, 2025</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4,498</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25,469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25, 2025</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June 16, 2025</w:t>
            </w:r>
          </w:p>
        </w:tc>
        <w:tc>
          <w:tcPr>
            <w:tcW w:w="1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July 15, 2025</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4,442</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2025</w:t>
            </w:r>
          </w:p>
        </w:tc>
        <w:tc>
          <w:tcPr>
            <w:tcW w:w="1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May 16, 2025</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June 13, 2025</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4,387</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27,006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28, 2025</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16, 2025</w:t>
            </w:r>
          </w:p>
        </w:tc>
        <w:tc>
          <w:tcPr>
            <w:tcW w:w="1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May 15, 2025</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4,257</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2025</w:t>
            </w:r>
          </w:p>
        </w:tc>
        <w:tc>
          <w:tcPr>
            <w:tcW w:w="1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March 17, 2025</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April 15, 2025</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4,245</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23,001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2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55,043</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377,712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2,495</w:t>
            </w:r>
          </w:p>
        </w:tc>
      </w:tr>
      <w:tr>
        <w:trPr>
          <w:trHeight w:val="20"/>
        </w:trPr>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 2026, the Board declared regular monthly cash distributions per share and, in accordance with the Company’s previously announced intent to make additional distributions with its undistributed net investment income, or “spillover” income, special monthly cash distributions per share, payable as set forth in the following tables: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Regular monthly distributions</w:t>
            </w:r>
          </w:p>
        </w:tc>
        <w:tc>
          <w:tcPr>
            <w:tcW w:w="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Ex-Dividend Date</w:t>
            </w:r>
          </w:p>
        </w:tc>
        <w:tc>
          <w:tcPr>
            <w:tcW w:w="120" w:type="dxa"/>
            <w:vAlign w:val="bottom"/>
          </w:tcPr>
          <w:p>
            <w:pPr>
              <w:spacing w:after="0"/>
              <w:rPr>
                <w:sz w:val="24"/>
                <w:szCs w:val="24"/>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20" w:type="dxa"/>
            <w:vAlign w:val="bottom"/>
          </w:tcPr>
          <w:p>
            <w:pPr>
              <w:spacing w:after="0"/>
              <w:rPr>
                <w:sz w:val="24"/>
                <w:szCs w:val="24"/>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00" w:type="dxa"/>
            <w:vAlign w:val="bottom"/>
          </w:tcPr>
          <w:p>
            <w:pPr>
              <w:spacing w:after="0"/>
              <w:rPr>
                <w:sz w:val="24"/>
                <w:szCs w:val="24"/>
                <w:color w:val="auto"/>
              </w:rPr>
            </w:pPr>
          </w:p>
        </w:tc>
        <w:tc>
          <w:tcPr>
            <w:tcW w:w="1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Distributions Declared</w:t>
            </w: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17, 2026</w:t>
            </w:r>
          </w:p>
        </w:tc>
        <w:tc>
          <w:tcPr>
            <w:tcW w:w="1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17, 2026</w:t>
            </w:r>
          </w:p>
        </w:tc>
        <w:tc>
          <w:tcPr>
            <w:tcW w:w="1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15, 2026</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July 16, 2026</w:t>
            </w:r>
          </w:p>
        </w:tc>
        <w:tc>
          <w:tcPr>
            <w:tcW w:w="1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July 16, 2026</w:t>
            </w:r>
          </w:p>
        </w:tc>
        <w:tc>
          <w:tcPr>
            <w:tcW w:w="1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2026</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17, 2026</w:t>
            </w:r>
          </w:p>
        </w:tc>
        <w:tc>
          <w:tcPr>
            <w:tcW w:w="1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17, 2026</w:t>
            </w:r>
          </w:p>
        </w:tc>
        <w:tc>
          <w:tcPr>
            <w:tcW w:w="1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15, 2026</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Special monthly distributions</w:t>
            </w:r>
          </w:p>
        </w:tc>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Ex-Dividend Date</w:t>
            </w:r>
          </w:p>
        </w:tc>
        <w:tc>
          <w:tcPr>
            <w:tcW w:w="12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2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00" w:type="dxa"/>
            <w:vAlign w:val="bottom"/>
          </w:tcPr>
          <w:p>
            <w:pPr>
              <w:spacing w:after="0"/>
              <w:rPr>
                <w:sz w:val="20"/>
                <w:szCs w:val="20"/>
                <w:color w:val="auto"/>
              </w:rPr>
            </w:pPr>
          </w:p>
        </w:tc>
        <w:tc>
          <w:tcPr>
            <w:tcW w:w="1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Distributions Declared</w:t>
            </w:r>
          </w:p>
        </w:tc>
        <w:tc>
          <w:tcPr>
            <w:tcW w:w="100" w:type="dxa"/>
            <w:vAlign w:val="bottom"/>
          </w:tcPr>
          <w:p>
            <w:pPr>
              <w:spacing w:after="0"/>
              <w:rPr>
                <w:sz w:val="20"/>
                <w:szCs w:val="20"/>
                <w:color w:val="auto"/>
              </w:rPr>
            </w:pP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17, 2026</w:t>
            </w:r>
          </w:p>
        </w:tc>
        <w:tc>
          <w:tcPr>
            <w:tcW w:w="1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17, 2026</w:t>
            </w:r>
          </w:p>
        </w:tc>
        <w:tc>
          <w:tcPr>
            <w:tcW w:w="1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15, 2026</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July 16, 2026</w:t>
            </w:r>
          </w:p>
        </w:tc>
        <w:tc>
          <w:tcPr>
            <w:tcW w:w="1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July 16, 2026</w:t>
            </w:r>
          </w:p>
        </w:tc>
        <w:tc>
          <w:tcPr>
            <w:tcW w:w="1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August 14, 2026</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17, 2026</w:t>
            </w:r>
          </w:p>
        </w:tc>
        <w:tc>
          <w:tcPr>
            <w:tcW w:w="1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17, 2026</w:t>
            </w:r>
          </w:p>
        </w:tc>
        <w:tc>
          <w:tcPr>
            <w:tcW w:w="1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15, 2026</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After paying distributions of $0.33 per share and earning net investment income of $0.19 per share for the three months ended March 31, 2026, the Company’s undistributed spillover income as of March 31, 2026 was $0.52 per share. Spillover income includes any ordinary income and net capital gains from the preceding tax years that were not distributed during such tax years.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Board sets the level of distributions for each quarter based on its results of operations, spillover income and longer-term outlook.</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earnings per common share for the three months ended March 31, 2026 and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10"/>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1"/>
        </w:trPr>
        <w:tc>
          <w:tcPr>
            <w:tcW w:w="8000" w:type="dxa"/>
            <w:vAlign w:val="bottom"/>
          </w:tcPr>
          <w:p>
            <w:pPr>
              <w:spacing w:after="0"/>
              <w:rPr>
                <w:sz w:val="16"/>
                <w:szCs w:val="16"/>
                <w:color w:val="auto"/>
              </w:rPr>
            </w:pPr>
          </w:p>
        </w:tc>
        <w:tc>
          <w:tcPr>
            <w:tcW w:w="15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(In thousands, except</w:t>
            </w:r>
          </w:p>
        </w:tc>
        <w:tc>
          <w:tcPr>
            <w:tcW w:w="100" w:type="dxa"/>
            <w:vAlign w:val="bottom"/>
          </w:tcPr>
          <w:p>
            <w:pPr>
              <w:spacing w:after="0"/>
              <w:rPr>
                <w:sz w:val="16"/>
                <w:szCs w:val="16"/>
                <w:color w:val="auto"/>
              </w:rPr>
            </w:pPr>
          </w:p>
        </w:tc>
        <w:tc>
          <w:tcPr>
            <w:tcW w:w="15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share and per share</w:t>
            </w:r>
          </w:p>
        </w:tc>
      </w:tr>
      <w:tr>
        <w:trPr>
          <w:trHeight w:val="234"/>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data)</w:t>
            </w:r>
          </w:p>
        </w:tc>
        <w:tc>
          <w:tcPr>
            <w:tcW w:w="124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basic earnings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2,778</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basic weighted average shares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47,316,637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40,223,393</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common share -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increase (decrease) in net assets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2,778</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interest expense and debt issuance costs on Convertible Notes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diluted earnings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3,201</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basic weighted average shares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47,316,637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40,223,393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dilutive effect of Convertible Notes (1)</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weighted average shares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47,316,637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40,223,393</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common share -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adjustments for interest or incremental shares were included for the three months ended March 31, 2026 and 2025 because the effect would be antidilutive. The 2030 Convertible Notes were not outstanding as of March 31, 2025.</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certain circumstances, the Convertible Notes may be convertible into cash or shares of the Company’s common stock, which can be dilutive to common stockholders. Diluted earnings (loss) available to each share of common stock outstanding during the reporting period included any additional shares of common stock that would be issued if all potentially dilutive securities were exercised. In accordance with ASU 2020-06, the Company is required to disclose diluted EPS using the if-converted method that assumes conversion of convertible securities at the beginning of the reporting period or at the issuance date and is intended to show the maximum dilution effect to common stockholders regardless of how the conversion can occur. The Convertible Notes convert at the greater of (i) volume-weighted average closing sale price for the five trading days immediately prior to the relevant conversion date, or (ii) the Company’s most recently reported NAV per share immediately prior to the date of exercise. For the three months ended March 31, 2026, using the if-converted method, the 2031 Convertible Notes would convert at the Company’s most recently reported NAV per share immediately prior to the beginning of the period, or $7.12 per share. For the three months ended March 31, 2025, using the if-converted method, the 2031 Convertible Notes would convert at the volume-weighted average closing sale price for the five trading days immediately prior to the beginning of the period, or $8.94 per share. For the three months ended March 31, 2026, using the if-converted method, the 2030 Convertible Notes would convert at the Company’s most recently reported NAV per share immediately prior to the beginning of the period, or $7.12 per share. For the three months ended March 31, 2026 and 2025, the impact of the hypothetical conversion of the Convertible Notes would have been antidilutive because interest net of tax and nondiscretionary adjustments per common share obtainable on conversion exceeded basic EPS.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Financial highlights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shows financial highlights for the Company:</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7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75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r>
      <w:tr>
        <w:trPr>
          <w:trHeight w:val="187"/>
        </w:trPr>
        <w:tc>
          <w:tcPr>
            <w:tcW w:w="7540" w:type="dxa"/>
            <w:vAlign w:val="bottom"/>
          </w:tcPr>
          <w:p>
            <w:pPr>
              <w:spacing w:after="0"/>
              <w:rPr>
                <w:sz w:val="16"/>
                <w:szCs w:val="16"/>
                <w:color w:val="auto"/>
              </w:rPr>
            </w:pPr>
          </w:p>
        </w:tc>
        <w:tc>
          <w:tcPr>
            <w:tcW w:w="16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thousands, except</w:t>
            </w:r>
          </w:p>
        </w:tc>
        <w:tc>
          <w:tcPr>
            <w:tcW w:w="1880" w:type="dxa"/>
            <w:vAlign w:val="bottom"/>
            <w:gridSpan w:val="3"/>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share and per share</w:t>
            </w:r>
          </w:p>
        </w:tc>
        <w:tc>
          <w:tcPr>
            <w:tcW w:w="180" w:type="dxa"/>
            <w:vAlign w:val="bottom"/>
          </w:tcPr>
          <w:p>
            <w:pPr>
              <w:spacing w:after="0"/>
              <w:rPr>
                <w:sz w:val="16"/>
                <w:szCs w:val="16"/>
                <w:color w:val="auto"/>
              </w:rPr>
            </w:pPr>
          </w:p>
        </w:tc>
      </w:tr>
      <w:tr>
        <w:trPr>
          <w:trHeight w:val="238"/>
        </w:trPr>
        <w:tc>
          <w:tcPr>
            <w:tcW w:w="7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data)</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6.98</w:t>
            </w:r>
          </w:p>
        </w:tc>
        <w:tc>
          <w:tcPr>
            <w:tcW w:w="3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8.43</w:t>
            </w:r>
          </w:p>
        </w:tc>
        <w:tc>
          <w:tcPr>
            <w:tcW w:w="18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0.19</w:t>
            </w: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0.27</w:t>
            </w:r>
          </w:p>
        </w:tc>
        <w:tc>
          <w:tcPr>
            <w:tcW w:w="1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w:t>
            </w:r>
          </w:p>
        </w:tc>
        <w:tc>
          <w:tcPr>
            <w:tcW w:w="2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depreciation on investments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(0.10)</w:t>
            </w: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(0.80)</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28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(0.53)</w:t>
            </w:r>
          </w:p>
        </w:tc>
        <w:tc>
          <w:tcPr>
            <w:tcW w:w="18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Distributions </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(0.33)</w:t>
            </w:r>
          </w:p>
        </w:tc>
        <w:tc>
          <w:tcPr>
            <w:tcW w:w="180" w:type="dxa"/>
            <w:vAlign w:val="bottom"/>
            <w:shd w:val="clear" w:color="auto" w:fill="CCEEFF"/>
          </w:tcPr>
          <w:p>
            <w:pPr>
              <w:spacing w:after="0"/>
              <w:rPr>
                <w:sz w:val="18"/>
                <w:szCs w:val="18"/>
                <w:color w:val="auto"/>
              </w:rPr>
            </w:pP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From net investment income</w:t>
            </w:r>
          </w:p>
        </w:tc>
        <w:tc>
          <w:tcPr>
            <w:tcW w:w="28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(0.33)</w:t>
            </w:r>
          </w:p>
        </w:tc>
        <w:tc>
          <w:tcPr>
            <w:tcW w:w="180" w:type="dxa"/>
            <w:vAlign w:val="bottom"/>
          </w:tcPr>
          <w:p>
            <w:pPr>
              <w:spacing w:after="0"/>
              <w:rPr>
                <w:sz w:val="18"/>
                <w:szCs w:val="18"/>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net realized gain on investments</w:t>
            </w:r>
          </w:p>
        </w:tc>
        <w:tc>
          <w:tcPr>
            <w:tcW w:w="28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Return of capital</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2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 value at end of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6.98</w:t>
            </w:r>
          </w:p>
        </w:tc>
        <w:tc>
          <w:tcPr>
            <w:tcW w:w="300" w:type="dxa"/>
            <w:vAlign w:val="bottom"/>
            <w:tcBorders>
              <w:right w:val="single" w:sz="8" w:color="CCEEFF"/>
            </w:tcBorders>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7.57</w:t>
            </w:r>
          </w:p>
        </w:tc>
        <w:tc>
          <w:tcPr>
            <w:tcW w:w="180" w:type="dxa"/>
            <w:vAlign w:val="bottom"/>
            <w:shd w:val="clear" w:color="auto" w:fill="CCEEFF"/>
          </w:tcPr>
          <w:p>
            <w:pPr>
              <w:spacing w:after="0"/>
              <w:rPr>
                <w:sz w:val="19"/>
                <w:szCs w:val="19"/>
                <w:color w:val="auto"/>
              </w:rPr>
            </w:pPr>
          </w:p>
        </w:tc>
      </w:tr>
      <w:tr>
        <w:trPr>
          <w:trHeight w:val="20"/>
        </w:trPr>
        <w:tc>
          <w:tcPr>
            <w:tcW w:w="7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7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Per share market value, beginning of period</w:t>
            </w: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6.45</w:t>
            </w:r>
          </w:p>
        </w:tc>
        <w:tc>
          <w:tcPr>
            <w:tcW w:w="300" w:type="dxa"/>
            <w:vAlign w:val="bottom"/>
          </w:tcPr>
          <w:p>
            <w:pPr>
              <w:spacing w:after="0"/>
              <w:rPr>
                <w:sz w:val="17"/>
                <w:szCs w:val="17"/>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8.99</w:t>
            </w:r>
          </w:p>
        </w:tc>
        <w:tc>
          <w:tcPr>
            <w:tcW w:w="180" w:type="dxa"/>
            <w:vAlign w:val="bottom"/>
          </w:tcPr>
          <w:p>
            <w:pPr>
              <w:spacing w:after="0"/>
              <w:rPr>
                <w:sz w:val="17"/>
                <w:szCs w:val="17"/>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market value, end of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4.21</w:t>
            </w: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9.42</w:t>
            </w:r>
          </w:p>
        </w:tc>
        <w:tc>
          <w:tcPr>
            <w:tcW w:w="1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Total return based on a market value </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47,860,006</w:t>
            </w: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40,331,962</w:t>
            </w:r>
          </w:p>
        </w:tc>
        <w:tc>
          <w:tcPr>
            <w:tcW w:w="1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Ratios to average net assets: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Expenses without incentive fees </w:t>
            </w:r>
            <w:r>
              <w:rPr>
                <w:rFonts w:ascii="Times New Roman" w:cs="Times New Roman" w:eastAsia="Times New Roman" w:hAnsi="Times New Roman"/>
                <w:sz w:val="25"/>
                <w:szCs w:val="25"/>
                <w:color w:val="auto"/>
                <w:vertAlign w:val="superscript"/>
              </w:rPr>
              <w:t>(3)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shd w:val="clear" w:color="auto" w:fill="CCEEFF"/>
          </w:tcPr>
          <w:p>
            <w:pPr>
              <w:spacing w:after="0"/>
              <w:rPr>
                <w:sz w:val="18"/>
                <w:szCs w:val="18"/>
                <w:color w:val="auto"/>
              </w:rPr>
            </w:pPr>
          </w:p>
        </w:tc>
      </w:tr>
      <w:tr>
        <w:trPr>
          <w:trHeight w:val="230"/>
        </w:trPr>
        <w:tc>
          <w:tcPr>
            <w:tcW w:w="754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Incentive fees </w:t>
            </w:r>
            <w:r>
              <w:rPr>
                <w:rFonts w:ascii="Times New Roman" w:cs="Times New Roman" w:eastAsia="Times New Roman" w:hAnsi="Times New Roman"/>
                <w:sz w:val="26"/>
                <w:szCs w:val="26"/>
                <w:color w:val="auto"/>
                <w:vertAlign w:val="superscript"/>
              </w:rPr>
              <w:t>(3)</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540" w:type="dxa"/>
            <w:vAlign w:val="bottom"/>
            <w:tcBorders>
              <w:bottom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Net expenses </w:t>
            </w:r>
            <w:r>
              <w:rPr>
                <w:rFonts w:ascii="Times New Roman" w:cs="Times New Roman" w:eastAsia="Times New Roman" w:hAnsi="Times New Roman"/>
                <w:sz w:val="24"/>
                <w:szCs w:val="24"/>
                <w:color w:val="auto"/>
                <w:vertAlign w:val="superscript"/>
              </w:rPr>
              <w:t>(3)</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196"/>
        </w:trPr>
        <w:tc>
          <w:tcPr>
            <w:tcW w:w="7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investment income with incentive fees</w:t>
            </w:r>
          </w:p>
        </w:tc>
        <w:tc>
          <w:tcPr>
            <w:tcW w:w="28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7"/>
                <w:szCs w:val="17"/>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at the end of the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333,863</w:t>
            </w: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305,457</w:t>
            </w:r>
          </w:p>
        </w:tc>
        <w:tc>
          <w:tcPr>
            <w:tcW w:w="18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Average net asset value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326,183</w:t>
            </w:r>
          </w:p>
        </w:tc>
        <w:tc>
          <w:tcPr>
            <w:tcW w:w="3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320,821</w:t>
            </w:r>
          </w:p>
        </w:tc>
        <w:tc>
          <w:tcPr>
            <w:tcW w:w="18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debt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9.39</w:t>
            </w:r>
          </w:p>
        </w:tc>
        <w:tc>
          <w:tcPr>
            <w:tcW w:w="3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11.67</w:t>
            </w:r>
          </w:p>
        </w:tc>
        <w:tc>
          <w:tcPr>
            <w:tcW w:w="180" w:type="dxa"/>
            <w:vAlign w:val="bottom"/>
            <w:shd w:val="clear" w:color="auto" w:fill="CCEEFF"/>
          </w:tcPr>
          <w:p>
            <w:pPr>
              <w:spacing w:after="0"/>
              <w:rPr>
                <w:sz w:val="18"/>
                <w:szCs w:val="18"/>
                <w:color w:val="auto"/>
              </w:rPr>
            </w:pPr>
          </w:p>
        </w:tc>
      </w:tr>
      <w:tr>
        <w:trPr>
          <w:trHeight w:val="39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Portfolio turnover ratio</w:t>
            </w:r>
          </w:p>
        </w:tc>
        <w:tc>
          <w:tcPr>
            <w:tcW w:w="280" w:type="dxa"/>
            <w:vAlign w:val="bottom"/>
          </w:tcPr>
          <w:p>
            <w:pPr>
              <w:spacing w:after="0"/>
              <w:rPr>
                <w:sz w:val="24"/>
                <w:szCs w:val="24"/>
                <w:color w:val="auto"/>
              </w:rPr>
            </w:pP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29"/>
                <w:szCs w:val="29"/>
                <w:color w:val="auto"/>
                <w:vertAlign w:val="superscript"/>
              </w:rPr>
              <w:t>(4)</w:t>
            </w:r>
          </w:p>
        </w:tc>
        <w:tc>
          <w:tcPr>
            <w:tcW w:w="3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29"/>
                <w:szCs w:val="29"/>
                <w:color w:val="auto"/>
                <w:vertAlign w:val="superscript"/>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12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1" w:lineRule="exact"/>
        <w:rPr>
          <w:sz w:val="20"/>
          <w:szCs w:val="20"/>
          <w:color w:val="auto"/>
        </w:rPr>
      </w:pPr>
    </w:p>
    <w:p>
      <w:pPr>
        <w:jc w:val="both"/>
        <w:ind w:left="340" w:hanging="332"/>
        <w:spacing w:after="0" w:line="258"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are determined based on taxable income calculated in accordance with income tax regulations, which may differ from amounts determined under GAAP due to (i) changes in unrealized appreciation and depreciation, (ii) temporary and permanent differences in income and expense recognition, and (iii) the amount of spillover income carried over from a given tax year for distribution in the following tax year. The final determination of taxable income for each tax year, as well as the tax attributes for distributions in such tax year, will be made after the close of the tax year.</w:t>
      </w:r>
    </w:p>
    <w:p>
      <w:pPr>
        <w:spacing w:after="0" w:line="18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return equals the change in the ending market value over the beginning of period price per share plus distributions paid per share during the period, divided by the beginning price.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 the lesser of purchases or sales of portfolio securities for the fiscal year by (ii) the monthly average of the value of portfolio securities owned by the Company during the fiscal year, with certain securities excluded from the numerator and denominator pursuant to applicable federal securities 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April 1, 2026, the Company funded a $15.0 million debt investment to a new portfolio company, Stellar Cyber, Inc.</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14, 2026, the Company closed the Merger with MRCC. In connection with the closing of the Merger, the Company received approximately $141.1 million in cash and issued 20,370,645 shares of its common stock in the aggregate, or 0.9402 shares of its common stock for each share of MRCC common stock, to MRCC stockholders (and payment of cash in lieu of fractional shares). Former MRCC stockholders and legacy stockholders of the Company own 29.86% and 70.14% of the combined company, respectively, immediately following the closing of the Merger.</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April 14, 2026, the Company repaid the outstanding balance of $45.0 million on its Key Facility from the proceeds of its merger with MRCC.</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April 30, 2026, the Company funded a $3.0 million debt investment to a new portfolio company, Bastille Buyer, Inc.</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April 30, 2026, the Company funded a $4.0 million debt investment to a new portfolio company, Volt Bidco,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Discussion and Analysis of Financial Condition and Results of Operations</w:t>
      </w:r>
    </w:p>
    <w:p>
      <w:pPr>
        <w:spacing w:after="0" w:line="188" w:lineRule="exact"/>
        <w:rPr>
          <w:sz w:val="20"/>
          <w:szCs w:val="20"/>
          <w:color w:val="auto"/>
        </w:rPr>
      </w:pPr>
    </w:p>
    <w:p>
      <w:pPr>
        <w:jc w:val="both"/>
        <w:ind w:firstLine="324"/>
        <w:spacing w:after="0" w:line="245" w:lineRule="exact"/>
        <w:rPr>
          <w:sz w:val="20"/>
          <w:szCs w:val="20"/>
          <w:color w:val="auto"/>
        </w:rPr>
      </w:pPr>
      <w:r>
        <w:rPr>
          <w:rFonts w:ascii="Times New Roman" w:cs="Times New Roman" w:eastAsia="Times New Roman" w:hAnsi="Times New Roman"/>
          <w:sz w:val="18"/>
          <w:szCs w:val="18"/>
          <w:i w:val="1"/>
          <w:iCs w:val="1"/>
          <w:color w:val="auto"/>
        </w:rPr>
        <w:t>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Q, except where the context suggests otherwise, the terms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Horizon Technology Finance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Horizon Technology Finance Corporation and its consolidated subsidiaries. The information contained in this section should be read in conjunction with our consolidated financial statements and related notes thereto appearing elsewhere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Q.</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8" w:lineRule="exact"/>
        <w:rPr>
          <w:sz w:val="20"/>
          <w:szCs w:val="20"/>
          <w:color w:val="auto"/>
        </w:rPr>
      </w:pPr>
    </w:p>
    <w:p>
      <w:pPr>
        <w:jc w:val="both"/>
        <w:ind w:firstLine="324"/>
        <w:spacing w:after="0" w:line="238" w:lineRule="exact"/>
        <w:rPr>
          <w:sz w:val="20"/>
          <w:szCs w:val="20"/>
          <w:color w:val="auto"/>
        </w:rPr>
      </w:pPr>
      <w:r>
        <w:rPr>
          <w:rFonts w:ascii="Times New Roman" w:cs="Times New Roman" w:eastAsia="Times New Roman" w:hAnsi="Times New Roman"/>
          <w:sz w:val="18"/>
          <w:szCs w:val="18"/>
          <w:color w:val="auto"/>
        </w:rPr>
        <w:t>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involve risks and uncertainties, including statements as to:</w:t>
      </w:r>
    </w:p>
    <w:p>
      <w:pPr>
        <w:spacing w:after="0" w:line="17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including the performance of our existing debt investments, warrants and other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withdrawal, success and timing of business initiatives and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transactions contemplated by our merger with MRCC (as defined below);</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trends and other external factors, including continuing supply chain disruptions, increased inflation, tariffs and trade disputes with other countries and a general slowdown in economic activity;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laws or regulations (including the interpretation thereof), including tax laws, governing our operations or the operations of our portfolio companies or the operations of our competitors;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and absolute investment performance and operations of our Advisor;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we intend to make and future acquisitions and divestitures;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legal proceedings;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turmoil and the potential for volatility in energy prices and disruptions to global supply chains resulting from such turmoil and its impact on the industries in which we invest;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conditions that contribute to uncertainty and market volatility, including legislative, regulatory, trade and policy changes;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a U.S. government shutdown;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extent and timing of technological changes and the adequacy of intellectual property protection;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structure and tax status;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general interest rate environment;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qualification as a RIC and as a BDC;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or operations disruptions caused by us, our Advisor or our portfolio companies holding cash balances at financial institutions that exceed federally insured limits or by disruptions in the financial services industry;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 and the resulting effect on our portfolio companies' decisions to make payment-in-kind (“PIK”) interest payments or ability to make end of term payments;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volatility on our results, particularly if we use leverage as part of our investment strategy;</w:t>
      </w:r>
    </w:p>
    <w:p>
      <w:pPr>
        <w:sectPr>
          <w:pgSz w:w="11900" w:h="16838" w:orient="portrait"/>
          <w:cols w:equalWidth="0" w:num="1">
            <w:col w:w="11240"/>
          </w:cols>
          <w:pgMar w:left="320" w:top="121"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legislative and regulatory actions and reforms and regulatory supervisory or enforcement actions of government agencies relating to us or our Advisor;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and any future financings by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financial leverage;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Advisor to attract and retain highly talented professionals;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to tax legislation and, generally, our tax position;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unfunded commitments.</w:t>
      </w:r>
    </w:p>
    <w:p>
      <w:pPr>
        <w:spacing w:after="0" w:line="225" w:lineRule="exact"/>
        <w:rPr>
          <w:sz w:val="20"/>
          <w:szCs w:val="20"/>
          <w:color w:val="auto"/>
        </w:rPr>
      </w:pPr>
    </w:p>
    <w:p>
      <w:pPr>
        <w:jc w:val="both"/>
        <w:ind w:firstLine="324"/>
        <w:spacing w:after="0" w:line="227" w:lineRule="exact"/>
        <w:rPr>
          <w:sz w:val="20"/>
          <w:szCs w:val="20"/>
          <w:color w:val="auto"/>
        </w:rPr>
      </w:pPr>
      <w:r>
        <w:rPr>
          <w:rFonts w:ascii="Times New Roman" w:cs="Times New Roman" w:eastAsia="Times New Roman" w:hAnsi="Times New Roman"/>
          <w:sz w:val="18"/>
          <w:szCs w:val="18"/>
          <w:color w:val="auto"/>
        </w:rPr>
        <w:t>We use words such as “anticipates,” “believes,” “expects,” “intends,” “seeks” and similar expressions to identify forward-looking statements. Undue influence should not be placed on the forward-looking statements as our actual results could differ materially from those projected in the forward-looking statements for any reason, including the factors in “Risk Factors” and elsewhere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and elsewhere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173"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We have based the forward-looking statements included in this quarterly report on Form 10-Q on information available to us on the date of this quarterly report on Form 10-Q, and we assume no obligation to update any such forward-looking statements. Although we undertake no obligation to revise or update any forward-looking statements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whether as a result of new information, future events or otherwise, you are advised to consult any additional disclosures that we may make directly to you or through reports that we in the future may file with the U.S. Securities and Exchange Commission, or the SEC, including periodic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understand that under Sections 27A(b)(2)(B) and (D) of the Securities Act and Sections 21E(b)(2)(B) and (D) of the Exchange Act, the “safe harbor” provisions of the Private Securities Litigation Reform Act of 1995 do not apply to statements made in connection with any annual or quarterly reports we file under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specialty finance company that lends to and invests in development-stage companies in the technology, life science, healthcare information and services and sustainability industries, which we refer to as our “Target Industries.” Our investment objective is to maximize our investment portfolio’s total return by generating current income from the debt investments we make and capital appreciation from the warrants we receive when making such debt investments. We are focused on making secured debt investments, which we refer to collectively as “Venture Loans,” to venture capital and private equity backed companies and publicly traded companies in our Target Industries, which we refer to as “Venture Lending.” Our debt investments are typically secured by first liens or first liens behind a secured revolving line of credit, or collectively “Senior Term Loans.” Some of our debt investments may also be subordinated to term debt provided by third parties. As of March 31, 2026, 97.5%, or $629.3 million, of our debt investment portfolio at fair value consisted of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amortization of the Venture Loan and (4) the lender’s receipt of warrants or other success fees with the making of the Venture Loan.</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RIC under Subchapter M of the Code. As a BDC, we are required to comply with regulatory requirements, including limitations on our use of debt. We are permitted to, and expect to, finance our investments through borrowings subject to a 150% asset coverage test. As defined in the 1940 Act, asset coverage of 150% means that for every $100 of net assets a BDC holds, it may raise up to $200 from borrowing and issuing senior securities. The amount of leverage that we may employ will depend on our assessment of market conditions and other factors at the time of any proposed borrowing. As a RIC, we generally are not subject to corporate-level income taxes on our investment company taxable income, determined without regard to any deductions for dividends paid, and our net capital gain that we distribute as dividends for U.S. federal income tax purposes to our stockholders as long as we meet certain source-of-income, distribution, asset diversification and other requirements.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were formed in March 2010 and completed an initial public offering in October 2010.</w:t>
      </w:r>
    </w:p>
    <w:p>
      <w:pPr>
        <w:spacing w:after="0" w:line="225" w:lineRule="exact"/>
        <w:rPr>
          <w:sz w:val="20"/>
          <w:szCs w:val="20"/>
          <w:color w:val="auto"/>
        </w:rPr>
      </w:pPr>
    </w:p>
    <w:p>
      <w:pPr>
        <w:jc w:val="both"/>
        <w:ind w:left="20" w:firstLine="324"/>
        <w:spacing w:after="0" w:line="258" w:lineRule="auto"/>
        <w:rPr>
          <w:sz w:val="20"/>
          <w:szCs w:val="20"/>
          <w:color w:val="auto"/>
        </w:rPr>
      </w:pPr>
      <w:r>
        <w:rPr>
          <w:rFonts w:ascii="Times New Roman" w:cs="Times New Roman" w:eastAsia="Times New Roman" w:hAnsi="Times New Roman"/>
          <w:sz w:val="18"/>
          <w:szCs w:val="18"/>
          <w:color w:val="auto"/>
        </w:rPr>
        <w:t>Our investment activities, and our day-to-day operations, are managed by our Advisor and supervised by our Board, of which a majority of the members are independent of us. Under the Investment Management Agreement, we have agreed to pay our Advisor a base management fee and an incentive fee for its advisory services to us. We have also entered into the Administration Agreement with our Advisor under which we have agreed to reimburse our Advisor for our allocable portion of overhead and other expenses incurred by our Advisor in performing its obligations under the Administration Agreement.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14, 2026, the Company completed its previously announced merger with Monroe Capital Corporation (“MRCC”), HMMS, Inc. (“Merger Sub”), Monroe Capital BDC Advisors, LLC, and the Advisor, pursuant to the Agreement and Plan of Merger, dated as of August 7, 2025 (the “Merger Agreement”). Pursuant to the Merger Agreement, immediately following the Asset Sale (as defined below) and at the effective time of the Merger (the “Effective Time”), Merger Sub merged with and into MRCC, with MRCC continuing as the surviving company and as a wholly owned subsidiary of the Company, and, immediately thereafter, MRCC merged into the Company, with the Company continuing as the surviving company (collectively, the “Mergers”). MRCC also entered into an Asset Purchase Agreement (the “Asset Purchase Agreement”) with Monroe Capital Income Plus Corporation (“MCIP”), and MC Advisors, pursuant to which, MCIP acquired all of MRCC’s investment assets and liabilities at fair value, for cash (the “Asset Sale” and together with the Merger, the “Transactions”).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Portfolio composition and investment activity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shows our portfolio by type of investment as of March 31, 2026 and December 31, 2025:</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80" w:type="dxa"/>
            <w:vAlign w:val="bottom"/>
            <w:tcBorders>
              <w:bottom w:val="single" w:sz="8" w:color="auto"/>
            </w:tcBorders>
          </w:tcPr>
          <w:p>
            <w:pPr>
              <w:spacing w:after="0"/>
              <w:rPr>
                <w:sz w:val="20"/>
                <w:szCs w:val="20"/>
                <w:color w:val="auto"/>
              </w:rPr>
            </w:pPr>
          </w:p>
        </w:tc>
      </w:tr>
      <w:tr>
        <w:trPr>
          <w:trHeight w:val="187"/>
        </w:trPr>
        <w:tc>
          <w:tcPr>
            <w:tcW w:w="3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33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3320" w:type="dxa"/>
            <w:vAlign w:val="bottom"/>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Portfolio</w:t>
            </w:r>
          </w:p>
        </w:tc>
      </w:tr>
      <w:tr>
        <w:trPr>
          <w:trHeight w:val="209"/>
        </w:trPr>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120" w:type="dxa"/>
            <w:vAlign w:val="bottom"/>
          </w:tcPr>
          <w:p>
            <w:pPr>
              <w:spacing w:after="0"/>
              <w:rPr>
                <w:sz w:val="18"/>
                <w:szCs w:val="18"/>
                <w:color w:val="auto"/>
              </w:rPr>
            </w:pPr>
          </w:p>
        </w:tc>
        <w:tc>
          <w:tcPr>
            <w:tcW w:w="11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5"/>
              </w:rPr>
              <w:t>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11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41</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645,629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2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38</w:t>
            </w: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16,685</w:t>
            </w: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82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1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3,664</w:t>
            </w:r>
          </w:p>
        </w:tc>
        <w:tc>
          <w:tcPr>
            <w:tcW w:w="1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82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29,719</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4.3</w:t>
            </w:r>
          </w:p>
        </w:tc>
        <w:tc>
          <w:tcPr>
            <w:tcW w:w="82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31,127</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r>
      <w:tr>
        <w:trPr>
          <w:trHeight w:val="250"/>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695,697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647,244</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413"/>
        </w:trPr>
        <w:tc>
          <w:tcPr>
            <w:tcW w:w="9680" w:type="dxa"/>
            <w:vAlign w:val="bottom"/>
            <w:gridSpan w:val="14"/>
          </w:tcPr>
          <w:p>
            <w:pPr>
              <w:ind w:left="340"/>
              <w:spacing w:after="0"/>
              <w:rPr>
                <w:sz w:val="20"/>
                <w:szCs w:val="20"/>
                <w:color w:val="auto"/>
              </w:rPr>
            </w:pPr>
            <w:r>
              <w:rPr>
                <w:rFonts w:ascii="Times New Roman" w:cs="Times New Roman" w:eastAsia="Times New Roman" w:hAnsi="Times New Roman"/>
                <w:sz w:val="18"/>
                <w:szCs w:val="18"/>
                <w:color w:val="auto"/>
              </w:rPr>
              <w:t>The following table shows total portfolio investment activity as of and for the three months ended March 31, 2026 and 2025: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0"/>
        </w:trPr>
        <w:tc>
          <w:tcPr>
            <w:tcW w:w="3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0" w:type="dxa"/>
            <w:vAlign w:val="bottom"/>
            <w:gridSpan w:val="8"/>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38"/>
        </w:trPr>
        <w:tc>
          <w:tcPr>
            <w:tcW w:w="3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5"/>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80" w:type="dxa"/>
            <w:vAlign w:val="bottom"/>
            <w:tcBorders>
              <w:bottom w:val="single" w:sz="8" w:color="auto"/>
            </w:tcBorders>
          </w:tcPr>
          <w:p>
            <w:pPr>
              <w:spacing w:after="0"/>
              <w:rPr>
                <w:sz w:val="20"/>
                <w:szCs w:val="20"/>
                <w:color w:val="auto"/>
              </w:rPr>
            </w:pPr>
          </w:p>
        </w:tc>
      </w:tr>
      <w:tr>
        <w:trPr>
          <w:trHeight w:val="210"/>
        </w:trPr>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3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portfolio</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647,244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697,891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New debt and equity investments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102,439</w:t>
            </w:r>
          </w:p>
        </w:tc>
      </w:tr>
      <w:tr>
        <w:trPr>
          <w:trHeight w:val="23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refinanced debt balances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w:t>
            </w:r>
          </w:p>
        </w:tc>
      </w:tr>
      <w:tr>
        <w:trPr>
          <w:trHeight w:val="210"/>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new debt and equity investments</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90,004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73,689</w:t>
            </w: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received on investments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Early pay-offs and principal paydowns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(39,574)</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PIK interest on investments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debt investment fees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1,388</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debt investment fees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w w:val="99"/>
              </w:rPr>
              <w:t>Warrants received in settlement of fee income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 gain on investments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depreciation on investments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(32,156)</w:t>
            </w:r>
          </w:p>
        </w:tc>
      </w:tr>
      <w:tr>
        <w:trPr>
          <w:trHeight w:val="230"/>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portfolio</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695,697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689,553</w:t>
            </w:r>
          </w:p>
        </w:tc>
      </w:tr>
      <w:tr>
        <w:trPr>
          <w:trHeight w:val="20"/>
        </w:trPr>
        <w:tc>
          <w:tcPr>
            <w:tcW w:w="3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We receive payments on our debt investments based on scheduled amortization of the outstanding balances. In addition, we receive repayments of some of our debt investments prior to their scheduled maturity date. The frequency or volume of these repayments may fluctuate significantly from period to period.</w:t>
      </w:r>
    </w:p>
    <w:p>
      <w:pPr>
        <w:sectPr>
          <w:pgSz w:w="11900" w:h="16838" w:orient="portrait"/>
          <w:cols w:equalWidth="0" w:num="1">
            <w:col w:w="11260"/>
          </w:cols>
          <w:pgMar w:left="300" w:top="121" w:right="339" w:bottom="1440" w:gutter="0" w:footer="0" w:header="0"/>
        </w:sectPr>
      </w:pP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debt investments by industry sector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7"/>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Debt</w:t>
            </w:r>
          </w:p>
        </w:tc>
        <w:tc>
          <w:tcPr>
            <w:tcW w:w="120" w:type="dxa"/>
            <w:vAlign w:val="bottom"/>
          </w:tcPr>
          <w:p>
            <w:pPr>
              <w:spacing w:after="0"/>
              <w:rPr>
                <w:sz w:val="16"/>
                <w:szCs w:val="16"/>
                <w:color w:val="auto"/>
              </w:rPr>
            </w:pPr>
          </w:p>
        </w:tc>
        <w:tc>
          <w:tcPr>
            <w:tcW w:w="12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Debt</w:t>
            </w:r>
          </w:p>
        </w:tc>
        <w:tc>
          <w:tcPr>
            <w:tcW w:w="120" w:type="dxa"/>
            <w:vAlign w:val="bottom"/>
          </w:tcPr>
          <w:p>
            <w:pPr>
              <w:spacing w:after="0"/>
              <w:rPr>
                <w:sz w:val="16"/>
                <w:szCs w:val="16"/>
                <w:color w:val="auto"/>
              </w:rPr>
            </w:pPr>
          </w:p>
        </w:tc>
        <w:tc>
          <w:tcPr>
            <w:tcW w:w="12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at</w:t>
            </w: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at</w:t>
            </w: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5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Portfolio</w:t>
            </w:r>
          </w:p>
        </w:tc>
      </w:tr>
      <w:tr>
        <w:trPr>
          <w:trHeight w:val="209"/>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Science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Biotechnology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84,814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57,753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Medical Device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240,241</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213,523</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Consumer-Related</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17,348</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17,263</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183,022</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185,534</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Sustainability</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Alternative Energy</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4,874</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4,869</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Sustainability</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30,491</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29,563</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Healthcare Information and Services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Diagnostics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6,809</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6,605</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Healthcare</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34,527</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34,469</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5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43,503</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46,446</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645,629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596,025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largest debt investments in our portfolio may vary from period to period as new debt investments are originated and existing debt investments are repaid. Our five largest debt investments at cost represented 24% and 26% of total debt investments outstanding as of March 31, 2026 and December 31, 2025, respectively. Our five largest debt investments at fair value represented 24% and 26% of total debt investments outstanding as of March 31, 2026 and December 31, 2025, respectively. No single debt investment at cost or fair value represented more than 10% of our total debt investments as of March 31, 2026 and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investment asset quality</w:t>
      </w:r>
    </w:p>
    <w:p>
      <w:pPr>
        <w:spacing w:after="0" w:line="22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We use an internal credit rating system which rates each debt investment on a scale of 4 to 1, with 4 being the highest credit quality rating and 3 being the rating for a standard level of risk. A rating of 2 represents an increased level of risk and, while no loss is currently anticipated for a 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rated debt investment, there is potential for future loss of principal. A rating of 1 represents a deteriorating credit quality and a high degree of risk of loss of principal. Our internal credit rating system is not a national credit rating system. As of March 31, 2026 and December 31, 2025, our debt investments had a weighted average credit rating of 3.0 and 2.9, respectively. The following table shows the classification of our debt investment portfolio by credit rating as of March 31, 2026 and December 31,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260" w:type="dxa"/>
            <w:vAlign w:val="bottom"/>
            <w:tcBorders>
              <w:bottom w:val="single" w:sz="8" w:color="auto"/>
            </w:tcBorders>
          </w:tcPr>
          <w:p>
            <w:pPr>
              <w:spacing w:after="0"/>
              <w:rPr>
                <w:sz w:val="20"/>
                <w:szCs w:val="20"/>
                <w:color w:val="auto"/>
              </w:rPr>
            </w:pPr>
          </w:p>
        </w:tc>
      </w:tr>
      <w:tr>
        <w:trPr>
          <w:trHeight w:val="187"/>
        </w:trPr>
        <w:tc>
          <w:tcPr>
            <w:tcW w:w="3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Debt</w:t>
            </w:r>
          </w:p>
        </w:tc>
        <w:tc>
          <w:tcPr>
            <w:tcW w:w="100" w:type="dxa"/>
            <w:vAlign w:val="bottom"/>
          </w:tcPr>
          <w:p>
            <w:pPr>
              <w:spacing w:after="0"/>
              <w:rPr>
                <w:sz w:val="16"/>
                <w:szCs w:val="16"/>
                <w:color w:val="auto"/>
              </w:rPr>
            </w:pPr>
          </w:p>
        </w:tc>
        <w:tc>
          <w:tcPr>
            <w:tcW w:w="128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Debt</w:t>
            </w:r>
          </w:p>
        </w:tc>
        <w:tc>
          <w:tcPr>
            <w:tcW w:w="12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3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26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at</w:t>
            </w: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of Debt</w:t>
            </w:r>
          </w:p>
        </w:tc>
        <w:tc>
          <w:tcPr>
            <w:tcW w:w="10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at</w:t>
            </w: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of Debt</w:t>
            </w:r>
          </w:p>
        </w:tc>
      </w:tr>
      <w:tr>
        <w:trPr>
          <w:trHeight w:val="238"/>
        </w:trPr>
        <w:tc>
          <w:tcPr>
            <w:tcW w:w="328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r>
      <w:tr>
        <w:trPr>
          <w:trHeight w:val="210"/>
        </w:trPr>
        <w:tc>
          <w:tcPr>
            <w:tcW w:w="3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Credit Rating</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280" w:type="dxa"/>
            <w:vAlign w:val="bottom"/>
          </w:tcPr>
          <w:p>
            <w:pPr>
              <w:jc w:val="right"/>
              <w:ind w:right="2930"/>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71,009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72,213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3280" w:type="dxa"/>
            <w:vAlign w:val="bottom"/>
            <w:shd w:val="clear" w:color="auto" w:fill="CCEEFF"/>
          </w:tcPr>
          <w:p>
            <w:pPr>
              <w:jc w:val="right"/>
              <w:ind w:right="293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500,119</w:t>
            </w:r>
          </w:p>
        </w:tc>
        <w:tc>
          <w:tcPr>
            <w:tcW w:w="1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445,790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3280" w:type="dxa"/>
            <w:vAlign w:val="bottom"/>
          </w:tcPr>
          <w:p>
            <w:pPr>
              <w:jc w:val="right"/>
              <w:ind w:right="293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50,208</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53,503</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280" w:type="dxa"/>
            <w:vAlign w:val="bottom"/>
            <w:tcBorders>
              <w:bottom w:val="single" w:sz="8" w:color="CCEEFF"/>
            </w:tcBorders>
            <w:shd w:val="clear" w:color="auto" w:fill="CCEEFF"/>
          </w:tcPr>
          <w:p>
            <w:pPr>
              <w:jc w:val="right"/>
              <w:ind w:right="293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24,293</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24,519</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645,629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596,025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there were four debt investments with an internal credit rating of 1, with an aggregate cost of $33.1 million and an aggregate fair value of $24.3 million and there were four debt investments with an internal credit rating of 2, with an aggregate cost of $56.9 million and an aggregate fair value of $50.2 million. As of December 31, 2025, there were four debt investments with an internal credit rating of 1, with an aggregate cost of $33.8 million and an aggregate fair value of $24.5 million and there were four debt investments with an internal credit rating of 2, with an aggregate cost of $56.8 million and an aggregate fair value of $53.5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BDC and a RIC, we are subject to certain constraints on our operations, including limitations imposed by the 1940 Act and the Code. The consolidated results of operations described below may not be indicative of the results we report in future periods.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2026 and 2025</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consolidated results of operations for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8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24,516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13,419</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before excise tax</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excise tax</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 gain</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depreciation on investments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(32,156)</w:t>
            </w:r>
          </w:p>
        </w:tc>
      </w:tr>
      <w:tr>
        <w:trPr>
          <w:trHeight w:val="20"/>
        </w:trPr>
        <w:tc>
          <w:tcPr>
            <w:tcW w:w="80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(21,436)</w:t>
            </w:r>
          </w:p>
        </w:tc>
      </w:tr>
      <w:tr>
        <w:trPr>
          <w:trHeight w:val="20"/>
        </w:trPr>
        <w:tc>
          <w:tcPr>
            <w:tcW w:w="8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Average debt investments, at fair value</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632,002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650,059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Average earning debt investments</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634,228</w:t>
            </w:r>
          </w:p>
        </w:tc>
        <w:tc>
          <w:tcPr>
            <w:tcW w:w="120" w:type="dxa"/>
            <w:vAlign w:val="bottom"/>
          </w:tcPr>
          <w:p>
            <w:pPr>
              <w:spacing w:after="0"/>
              <w:rPr>
                <w:sz w:val="17"/>
                <w:szCs w:val="17"/>
                <w:color w:val="auto"/>
              </w:rPr>
            </w:pPr>
          </w:p>
        </w:tc>
        <w:tc>
          <w:tcPr>
            <w:tcW w:w="580" w:type="dxa"/>
            <w:vAlign w:val="bottom"/>
            <w:gridSpan w:val="2"/>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653,748</w:t>
            </w:r>
          </w:p>
        </w:tc>
      </w:tr>
      <w:tr>
        <w:trPr>
          <w:trHeight w:val="20"/>
        </w:trPr>
        <w:tc>
          <w:tcPr>
            <w:tcW w:w="8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Average gross assets less cash</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717,539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732,557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Average borrowings outstanding</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444,222</w:t>
            </w:r>
          </w:p>
        </w:tc>
        <w:tc>
          <w:tcPr>
            <w:tcW w:w="120" w:type="dxa"/>
            <w:vAlign w:val="bottom"/>
          </w:tcPr>
          <w:p>
            <w:pPr>
              <w:spacing w:after="0"/>
              <w:rPr>
                <w:sz w:val="17"/>
                <w:szCs w:val="17"/>
                <w:color w:val="auto"/>
              </w:rPr>
            </w:pPr>
          </w:p>
        </w:tc>
        <w:tc>
          <w:tcPr>
            <w:tcW w:w="580" w:type="dxa"/>
            <w:vAlign w:val="bottom"/>
            <w:gridSpan w:val="2"/>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469,485</w:t>
            </w:r>
          </w:p>
        </w:tc>
      </w:tr>
      <w:tr>
        <w:trPr>
          <w:trHeight w:val="20"/>
        </w:trPr>
        <w:tc>
          <w:tcPr>
            <w:tcW w:w="8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increase (decrease) in net assets resulting from operations can vary substantially from period to period for various reasons, including, without limitation, the recognition of realized gains and losses and unrealized appreciation and depreciation on investments. As a result, quarterly comparisons of net increase in net assets resulting from operations may not be meaningful.</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investment income decreased by $0.4 million, or 1.8%, to $24.1 million for the three months ended March 31, 2026 as compared to the three months ended March 31, 2025. For the three months ended March 31, 2026, total investment income consisted primarily of (1) $23.1 million in interest income from investments, which included $5.0 million in income from the accretion of origination fees and end of term payments and $1.3 million in PIK interest income and (2) $1.0 million in fee income.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Interest income on debt investments decreased by $0.4 million, or 1.6%, to $23.1 million, for the three months ended March 31, 2026 compared to the three months ended March 31, 2025. Interest income on debt investments for the three months ended March 31, 2026 as compared to the three months ended March 31, 2025 decreased primarily due to a decrease in the Prime Rate which is the base rate for most of our variable rate debt investments and a decrease of $19.5 million, or 3.0%, in our average earning debt investments partially offset by an increase in accelerated income from prepayments. The proportion of total investment income that resulted from the portion of ETPs not received in cash for the three months ended March 31, 2026 and 2025 was 6.0% and 4.6%, respectively. The increase in the proportion of total investment income that resulted from the portion of ETPs not received in cash was a result of an increase in accretion of final payments for the three months ended March 31, 2026 compared to the three months ended March 31, 2025.</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PIK interest income increased by $1.0 million, or 348.4%, to $1.3 million for the three months ended March 31, 2026 compared to the three months ended March 31, 2025. For the three months ended March 31, 2026 and 2025, 5.3% and 1.2%, respectively, of total investment income was attributable to non-cash PIK interest income. The increase in PIK interest income as a percentage of total investment income was primarily due to an increase in earning assets that contain a PIK feature for the three months ended March 31, 2026 compared to the three months ended March 31, 2025.</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Fee income, which includes success fee, other fee and prepayment fee income on debt investments, decreased by $0.1 million, or 6.1%, to $1.0 million for the three months ended March 31, 2026 compared to the three months ended March 31, 2025 primarily due to a lower success fee and other fee income for the three months ended March 31, 2026 compared to the three months ended March 31, 2025.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dollar-weighted annualized yield for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20" w:type="dxa"/>
            <w:vAlign w:val="bottom"/>
          </w:tcPr>
          <w:p>
            <w:pPr>
              <w:spacing w:after="0"/>
              <w:rPr>
                <w:sz w:val="19"/>
                <w:szCs w:val="19"/>
                <w:color w:val="auto"/>
              </w:rPr>
            </w:pPr>
          </w:p>
        </w:tc>
        <w:tc>
          <w:tcPr>
            <w:tcW w:w="332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7920" w:type="dxa"/>
            <w:vAlign w:val="bottom"/>
          </w:tcPr>
          <w:p>
            <w:pPr>
              <w:spacing w:after="0"/>
              <w:rPr>
                <w:sz w:val="20"/>
                <w:szCs w:val="20"/>
                <w:color w:val="auto"/>
              </w:rPr>
            </w:pPr>
          </w:p>
        </w:tc>
        <w:tc>
          <w:tcPr>
            <w:tcW w:w="212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4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investments(1)</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All investments(1)</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4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12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left="340" w:hanging="332"/>
        <w:spacing w:after="0" w:line="26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the dollar-weighted annualized yield on average investment type for any period as (1) total related investment income during the period divided by (2) the average of the fair value of the investment type outstanding on (a) the last day of the calendar month immediately preceding the first day of the period and (b) the last day of each calendar month during the period. The dollar-weighted annualized yield on average investment type is higher than what investors will realize because it does not reflect our expenses or any sales load paid by investors.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 income, consisting of interest income and fees on debt investments, can fluctuate significantly upon repayment of large debt investments. Interest income from the five largest debt investments at cost in the aggregate accounted for 23% and 24% of investment income for the three months ended March 31, 2026 and 2025, respectively. Interest income from the five largest debt investments at fair value in the aggregate accounted for 23% and 24% of investment income for the three months ended March 31, 2026 and 2025, respectively.</w:t>
      </w:r>
    </w:p>
    <w:p>
      <w:pPr>
        <w:sectPr>
          <w:pgSz w:w="11900" w:h="16838" w:orient="portrait"/>
          <w:cols w:equalWidth="0" w:num="1">
            <w:col w:w="11240"/>
          </w:cols>
          <w:pgMar w:left="320" w:top="121" w:right="339" w:bottom="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expenses increased by $1.4 million, or 10.6%, to $14.8 million for the three months ended March 31, 2026 as compared to the three months ended March 31, 2025. Total expenses for each period consisted of interest expense, base management fee, incentive and administrative fees, professional fees and general and administrative expenses.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decreased by $0.5 million, or 5.8%, to $8.2 million for the three months ended March 31, 2026 as compared to the three months ended March 31, 2025. Interest expense, which includes the amortization of debt issuance costs, decreased primarily due to a decrease in average borrowings for the three months ended March 31, 2026 of $25.3 million, or 5.4%, as compared to the three months ended March 31, 2025 and a decrease in our effective cost of debt for the three months ended March 31, 2026 as compared to the three months ended March 31, 2025.</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 management fee expense decreased by $0.1 million, or 1.9%, to $3.1 million for the three months ended March 31, 2026 as compared to the three months ended March 31, 2025. Base management fee decreased primarily due to a decrease of $15.0 million, or 2.1%, in average gross assets less cash for the three months ended March 31, 2026 as compared to the three months ended March 31, 2025.</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Performance based incentive fee expense increased by $1.8 million to $1.8 million for the three months ended March 31, 2026 as compared to the three months ended March 31, 2025. There was no performance based incentive fee expense for three months ended March 31, 2025. This increase was due to an Incentive Fee Cap calculated based on the Incentive Fee Cap and Deferral Mechanism in our Investment Management Agreement of $0.4 million for the three months ended March 31, 2026 compared to an Incentive Fee Cap of $2.1 million for the three months ended March 31, 2025. The Incentive Fee Cap and Deferral Mechanism resulted in $0.4 million and $2.1 million of reduced incentive fee expense and increased net investment income for the three months ended March 31, 2026 and 2025, respectively. The incentive fee on pre-incentive fee net investment income was subject to the Incentive Fee Cap for the three months ended March 31, 2026 due to the cumulative incentive fees paid exceeding 20% of cumulative pre-incentive fee net return during the applicable quarter and the 11 preceding full calendar quarters.</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Administrative fee expense, professional fees and general and administrative expenses were $1.8 million and $1.6 million for the three months ended March 31, 2026 and 2025, respectively.</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 and losses and net unrealized appreciation and depreciation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March 31, 2025, we realized net losses on investments totaling $0.2 million and $0.001 million, respectively. During the three months ended March 31, 2026, we converted $15.1 million in outstanding principal of the 2030 Convertible Notes (as defined below) which resulted in a realized loss on extinguishment of debt of $1.3 million. During the same period, we redeemed all of the outstanding principal balance of the 2026 Notes (as defined below) which resulted in a realized loss on extinguishment of debt of $0.1 million.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net unrealized depreciation on investments totaled $4.6 million which was primarily due to the unrealized depreciation on two of our debt investments and one of our equity investments and the unrealized depreciation on our warrant investments. During the three months ended March 31, 2025, net unrealized depreciation on investments totaled $32.2 million which was primarily due to the unrealized depreciation on three of our debt investments and two of our equity investments. The difficult equity fundraising market and under performance of certain portfolio companies, among other factors, resulted in our reduction of the fair market value of the debt investments in such portfolio companies, thus increasing the unrealized depreciation on such debt investments.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March 31, 2026 and December 31, 2025, we had cash and investments in money market funds of $70.6 million and $140.2 million, respectively. Cash and investments in money market funds are available to fund new investments, reduce borrowings, pay expenses, repurchase common stock and pay distributions. In addition, as of March 31, 2026 and December 31, 2025, we had $2.6 million and $2.5 million, respectively, of restricted investments in money market funds. Restricted investments in money market funds may be used to make monthly interest and principal payments on our NYL Facility or our Nuveen Facility. Our primary sources of capital have been from our public equity offerings, use of our revolving credit facility (the “Key Facility”) with KeyBank National Association (“Key”), the Note Funding Agreement (the “NYL Facility”), with several entities owned or affiliated with New York Life Insurance Company and the Nuveen Note Funding Agreement (the “Nuveen Facility”, together with the Key Facility and the NYL Facility, the “Credit Facilities”) with several entities owned or affiliated with Nuveen Alternative Advisors LLC, and issuance of our public and private debt securities.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22, 2023, we entered into an At-The-Market (or “ATM”) sales agreement (or the “2023 Equity Distribution Agreement”) with Goldman Sachs &amp; Co. LLC and B. Riley FBR, Inc., (each a “Sales Agent” and, collectively, the “Sales Agents”). The 2023 Equity Distribution Agreement provides that we may offer and sell shares of our common stock from time to time through the Sales Agents up to $150.0 million worth of our common stock, in amounts and at times to be determined by us. Sales of our common stock, if any, may be made in negotiated transactions or transactions that are deemed to be “at-the-market,” as defined in Rule 415 under the Securities Act, including sales made directly on the NASDAQ or similar securities exchange or sales made to or through a market maker other than on an exchange, at prices related to the prevailing market prices or at negotiated prices.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2026, we did not sell any shares of common stock under the 2023 Equity Distribution Agreement.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sold 404,305 shares of common stock under the 2023 Equity Distribution Agreement. For the same period, we received total accumulated net proceeds of approximately $3.6 million, including $0.1 million of offering expenses, from these sales.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7"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On May 1, 2026, our Board extended a previously authorized stock repurchase program which allows us to repurchase up to $10.0 million of our common stock at prices below our net asset value (“NAV”) per share as reported in our most recent consolidated financial statements, provided such purchases, in the aggregate, do not exceed two percent (2%) of the shares outstanding at the time of purchase and such shares are purchased only when the such shares are trading below 90% of our most recently disclosed NAV per share. Under the repurchase program, we may, but are not obligated to, repurchase shares of our outstanding common stock in the open market or in privately negotiated transactions from time to time. Any repurchases by us will comply with the requirements of Rule 10b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18 under the Exchange Act and any applicable requirements of the 1940 Act. Unless extended by our Board, the repurchase program will terminate on the earlier of June 30, 2027 or the repurchase of $10.0 million of our common stock. During the three months ended March 31, 2026 and 2025, we did not make any repurchases of our common stock under our stock repurchase program. From the date of the inception of our stock repurchase program through March 31, 2026, we repurchased 167,465 shares of our common stock at an average price of $11.22 on the open market at a total cost of $1.9 million. From time to time, our Board assesses the size and effectiveness of the stock repurchase program and could elect to increase or decrease the size of the program in the future.</w:t>
      </w: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March 31, 2026, the outstanding principal balance under the Key Facility was $45.0 million. At December 31, 2025, there was no outstanding principal balance under the Key Facility. As of March 31, 2026 and December 31, 2025, we had borrowing capacity under the Key Facility of $105.0 million and $150.0, respectively. At March 31, 2026 and December 31, 2025, $23.3 million and $49.6 million, respectively, was available for borrowing under the Key Facility, subject to existing terms and advance rates.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the outstanding principal balance under the NYL Facility was $181.0 million. As of March 31, 2026 and December 31, 2025, we had borrowing capacity under the NYL Facility of $69.0 million. At March 31, 2026 and December 31, 2025, $2.6 million and $1.9 million, respectively, was available for borrowing under the NYL Facility, subject to existing terms and advance rates.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the outstanding principal balance under the Nuveen Facility was $90.0 million. As of March 31, 2026 and December 31, 2025, we had borrowing capacity under the Nuveen Facility of $110.0 million. At March 31, 2026 and December 31, 2025, $22.3 million and $12.1 million, respectively, was available for borrowing under the Nuveen Facility, subject to existing terms and advance rates.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17, 2024, the Company entered into a note purchase agreement (the “2031 Note Purchase Agreement”), by and among the Company, and each purchaser named therein, in connection with the issuance and sale of $20.0 million aggregate principal of the Company’s 7.125% convertible notes due 2031 (the “2031 Convertible Notes”). At March 31, 2026 and December 31, 2025, the aggregate outstanding principal balance of the 2031 Convertible Notes was $2.8 million.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4, 2025, the Company entered into a note purchase agreement (the “2030 Note Purchase Agreement”), by and among the Company, and each purchaser named therein, in connection with the issuance and sale of $40.0 million aggregate principal of the Company’s 5.50% convertible notes due 2030 (the “2030 Convertible Notes”). At March 31, 2026 and December 31, 2025, the aggregate outstanding principal balance of the 2030 Convertible Notes was $16.5 million and $31.5 million, respectively.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activities used cash of $42.1 million for the three months ended March 31, 2026, and our financing activities used cash of $27.3 million for the same period. Our operating activities used cash primarily to purchase investments in portfolio companies offset by cash provided by principal payments received on our debt investments. Our financing activities used cash primarily to repay our 2026 Notes and to pay distributions to our stockholders partially offset by advances on our Key Facility.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operating activities used cash of $13.2 million for the three months ended March 31, 2025, and our financing activities used cash of $10.2 million for the same period. Our operating activities used cash primarily to purchase investments in portfolio companies partially offset by cash provided by principal payments received on our debt investments. Our financing activities used cash primarily to repay our 2022 Asset-Backed Notes and to pay distributions to our stockholders partially offset by an advance on our Nuveen Facility and the sale of shares through our ATM for net proceeds of $3.6 million.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primary use of available funds is to make debt investments in portfolio companies and for general corporate purposes. We expect to raise additional equity and debt capital opportunistically as needed and, subject to market conditions, to support our future growth to the extent permitted by the 1940 Act.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remain subject to taxation as a RIC, we intend to distribute to our stockholders all or substantially all of our investment company taxable income. In addition, as a BDC, we are required to maintain asset coverage of at least 150%. This requirement limits the amount that we may borrow.</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current cash, cash generated from operations, and funds available from our Credit Facilities will be sufficient to meet our working capital and capital expenditure commitments for at least the next 12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Current borrowings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borrowings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Unused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Unused</w:t>
            </w: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Key Facility</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45,000</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105,000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NYL Facility</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Nuveen Facility</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 Notes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debt issuance costs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734,200</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450,200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284,000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806,750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477,750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329,000</w:t>
            </w:r>
          </w:p>
        </w:tc>
        <w:tc>
          <w:tcPr>
            <w:tcW w:w="0" w:type="dxa"/>
            <w:vAlign w:val="bottom"/>
          </w:tcPr>
          <w:p>
            <w:pPr>
              <w:spacing w:after="0"/>
              <w:rPr>
                <w:sz w:val="1"/>
                <w:szCs w:val="1"/>
                <w:color w:val="auto"/>
              </w:rPr>
            </w:pPr>
          </w:p>
        </w:tc>
      </w:tr>
      <w:tr>
        <w:trPr>
          <w:trHeight w:val="191"/>
        </w:trPr>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Unamortized debt issuance costs attributable to term</w:t>
            </w:r>
          </w:p>
        </w:tc>
        <w:tc>
          <w:tcPr>
            <w:tcW w:w="22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borrowings outstanding, net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734,200</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447,166</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284,000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806,750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473,027</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329,000</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Key Facility</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entered into the Key Facility effective November 4, 2013. On February 26, 2026, we amended the Key Facility, among other things, (i) to make Michael P. Balkin and Paul G. Seitz each an “Authorized Person”, (ii) to amend certain requirements to make a debt investment eligible for the borrowing base and (ii) to amend certain concentration limits. On June 20, 2024, we amended the Key Facility, among other things, (i) to extend the date on which we may request advances under the Key Facility to June 20, 2027 and to extend the maturity date to June 20, 2029 and (ii) to amend the interest rate to be based on the rate of interest published in The Wall Street Journal as the prime rate in the United States plus 0.10%, with an interest rate floor of 4.10%. Prior to June 20, 2024, the interest rate on the Key Facility was based on Prime plus 0.25%, with a prime rate floor of 4.25%. The prime rate was 6.75% as of March 31, 2026 and December 31, 2025. The interest rate in effect was 6.85% as of March 31, 2026 and December 31, 2025. The Key Facility requires the payment of an unused line fee in an amount up to 0.75% of any unborrowed amount available under the facility annually.</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29, 2023, we amended the Key Facility to, among other things, increase the commitment amount to $150 million and to increase the amount of the accordion feature which now allows the potential increase in the total commitment amount to $300 million. The Key Facility is collateralized by debt investments held by Credit II and permits an advance rate of up to sixty percent (60%) of eligible debt investments held by Credit II. The Key Facility contains covenants that, among other things, require us to maintain a minimum net worth, to restrict the debt investments securing the Key Facility to certain criteria for qualified debt investments and to comply with portfolio company concentration limits as defined in the related loan agreement. After the period during which we may request advances under the Key Facility (or the “Revolving Period”), we may not request new advances, and we must repay the outstanding advances under the Key Facility as of such date, at such times and in such amounts as are necessary to maintain compliance with the terms and conditions of the Key Facility, particularly the condition that the principal balance of the Key Facility not exceed sixty percent (60%) of the aggregate principal balance of our eligible debt investments to our portfolio companies.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NYL Facility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HFI is a wholly-owned subsidiary of HSLFI. HFI entered into the NYL Facility with the NYL Noteholders for an aggregate purchase price of up to $100.0 million, with an accordion feature of up to $200.0 million at the mutual discretion and agreement of HSLFI and the NYL Noteholders. On June 1, 2018, HSLFI sold or contributed to HFI certain secured loans made to certain portfolio companies pursuant to the Sale and Servicing Agreement. Any notes issued by HFI are collateralized by all investments held by HFI and permit an advance rate of up to 67% of the aggregate principal amount of eligible debt investments. All advances under the NYL Facility are scheduled to mature in June 2030.</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24, 2023, we amended the NYL Facility to, among other things, increase the commitment by $50.0 million to enable our wholly-owned subsidiary to issue up to $250.0 million of secured notes. On April 25, 2025, we amended the NYL Facility to, among other things, extend the investment period to June 5, 2027. In addition, the amendment amended the interest rate for advances made after April 25, 2025, fixing the interest rate at the greater of (i) 4.60% and (ii) the Three Year I Curve plus 2.95% with the interest rate to be reset on any advance date.</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NYL Facility, we are required to maintain a reserve cash balance, which may be used to pay monthly interest and principal payments on the NYL Facility. We have segregated these funds and classified them as restricted investments in money market funds. At March 31, 2026 and December 31, 2025, there were approximately $1.4 million of such restricted investments.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$181.0 million in notes issued to the NYL Noteholders as of March 31, 2026 and December 31, 2025 at an interest rate of 6.57%. As of March 31, 2026 and December 31, 2025, we had borrowing capacity under the NYL Facility of $69.0 million. At March 31, 2026 and December 31, 2025, $2.6 million and $1.9 million, respectively, was available for borrowing, subject to existing terms and advance rates.</w:t>
      </w:r>
    </w:p>
    <w:p>
      <w:pPr>
        <w:sectPr>
          <w:pgSz w:w="11900" w:h="16838" w:orient="portrait"/>
          <w:cols w:equalWidth="0" w:num="1">
            <w:col w:w="11240"/>
          </w:cols>
          <w:pgMar w:left="320" w:top="121" w:right="339" w:bottom="1149"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49"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Nuveen Facility</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HFII entered into the Nuveen Facility with the Nuveen Noteholders for an aggregate purchase price of up to $100.0 million, with an accordion feature of up to $200.0 million at the mutual discretion and agreement us and the Nuveen Noteholders. On June 21, 2024, we sold or contributed to HFII certain secured loans made to certain portfolio companies pursuant to the Sale and Servicing Agreement. Any notes issued by HFII are collateralized by all investments held by HFII and permit an advance rate of up to 67.5% of the aggregate principal amount of eligible debt investments. The Nuveen Facility bore interest, payable monthly, determined at a rate per annum equal to the greater of (i) the yield for the United States Treasury constant maturity 3-year and 5-year in the most recent statistical release published by the Board of Governors of the Federal Reserve System designated as “Selected Interest Rates (Daily) – H.15” interpolated to a 4.88-year weighted average life (the “Pricing Benchmark”) plus 3.15% and (ii) 5.00%.</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23, 2025, we amended the Nuveen Facility to, among other things, extend the investment period to June 21, 2028 and the maturity date to June 10, 2034, and increase the commitment by $100.0 million which enables our wholly-owned subsidiary to issue up to $200.0 million of secured notes. In addition, the amendment amended the interest rate for advances made after May 23, 2025, fixing the interest rate at the greater of (i) 5.00% and (ii) the Pricing Benchmark plus 2.95%.</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Nuveen Facility, we are required to maintain a reserve cash balance, which may be used to pay monthly interest and principal payments on the Nuveen Facility. We have segregated these funds and classified them as restricted investments in money market funds. At March 31, 2026 and December 31, 2025, there were approximately $1.3 million and $1.1 million, respectively, of such restricted investments.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$90.0 million in notes issued to the Nuveen Noteholders as of March 31, 2026 and December 31, 2025 at an interest rate of 7.21%. As of March 31, 2026 and December 31, 2025, we had borrowing capacity under the Nuveen Facility of $110.0 million. At March 31, 2026 and December 31, 2025, $22.3 million and $12.1 million, respectively, was available for borrowing, subject to existing terms and advance rates.</w:t>
      </w:r>
    </w:p>
    <w:p>
      <w:pPr>
        <w:spacing w:after="0" w:line="3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Unsecured Notes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30, 2021, we issued and sold an aggregate principal amount of $57.5 million of 4.875% notes due in 2026. The amount of 2026 Notes issued and sold included the full exercise by the underwriters of their option to purchase $7.5 million in aggregate principal of additional notes. The 2026 Notes had a stated maturity of March 30, 2026 and could have been redeemed in whole or in part at our option at any time or from time to time on or after March 30, 2023 at a redemption price of $25 per security plus accrued and unpaid interest. The 2026 Notes bore interest at a rate of 4.875% per year, payable quarterly on March 30, June 30, September 30 and December 30 of each year. The 2026 Notes were our direct unsecured obligations and (i) ranked equally in right of payment with our current and future unsecured indebtedness; (ii) were senior in right of payment to any of our future indebtedness that expressly provides it is subordinated to the 2026 Notes; (iii) were effectively subordinated to all of our existing and future secured indebtedness (including indebtedness that is initially unsecured to which we subsequently grant security), to the extent of the value of the assets securing such indebtedness, and</w:t>
      </w:r>
    </w:p>
    <w:p>
      <w:pPr>
        <w:spacing w:after="0" w:line="1" w:lineRule="exact"/>
        <w:rPr>
          <w:sz w:val="20"/>
          <w:szCs w:val="20"/>
          <w:color w:val="auto"/>
        </w:rPr>
      </w:pPr>
    </w:p>
    <w:p>
      <w:pPr>
        <w:jc w:val="both"/>
        <w:ind w:firstLine="8"/>
        <w:spacing w:after="0" w:line="255" w:lineRule="auto"/>
        <w:tabs>
          <w:tab w:leader="none" w:pos="3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structurally subordinated to all existing and future indebtedness and other obligations of any of our subsidiaries. The 2026 Notes were listed on the New York Stock Exchange under the symbol “HTFB”. On January 28, 2026, we redeemed all of the outstanding principal balance of the 2026 Notes plus accrued interest. We accelerated $0.1 million of unamortized debt issuance costs related to the 2026 Notes.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2027 Notes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15, 2022, we issued and sold an aggregate principal amount of $50.0 million of 6.25% notes due in 2027 and on July 11, 2022, pursuant to the underwriters’ 30 day option to purchase additional notes, we sold an additional $7.5 million of such notes (collectively, the “2027 Notes”). The 2027 Notes have a stated maturity of June 15, 2027 and may be redeemed in whole or in part at our option at any time or from time to time on or after June 15, 2024 at a redemption price of $25 per security plus accrued and unpaid interest. The 2027 Notes bear interest at a rate of 6.25% per year, payable quarterly on March 30, June 30, September 30 and December 30 of each year, commencing on September 30, 2022. The 2027 Notes are our direct unsecured obligations and (i) rank equally in right of payment with our current and future unsecured indebtedness; (ii) are senior in right of payment to any of our future indebtedness that expressly provides it is subordinated to the 2027 Notes; (iii) are effectively subordinated to all of our existing and future secured indebtedness (including indebtedness that is initially unsecured to which we subsequently grant security), to the extent of the value of the assets securing such indebtedness, and (iv) are structurally subordinated to all existing and future indebtedness and other obligations of any of our subsidiaries. As of March 31, 2026, we were in material compliance with the terms of the 2027 Notes. The 2027 Notes are listed on the New York Stock Exchange under the symbol “HTFC”.</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2028 Notes</w:t>
      </w:r>
    </w:p>
    <w:p>
      <w:pPr>
        <w:spacing w:after="0" w:line="227" w:lineRule="exact"/>
        <w:rPr>
          <w:sz w:val="20"/>
          <w:szCs w:val="20"/>
          <w:color w:val="auto"/>
        </w:rPr>
      </w:pPr>
    </w:p>
    <w:p>
      <w:pPr>
        <w:jc w:val="both"/>
        <w:ind w:left="160" w:firstLine="324"/>
        <w:spacing w:after="0" w:line="255" w:lineRule="auto"/>
        <w:rPr>
          <w:sz w:val="20"/>
          <w:szCs w:val="20"/>
          <w:color w:val="auto"/>
        </w:rPr>
      </w:pPr>
      <w:r>
        <w:rPr>
          <w:rFonts w:ascii="Times New Roman" w:cs="Times New Roman" w:eastAsia="Times New Roman" w:hAnsi="Times New Roman"/>
          <w:sz w:val="18"/>
          <w:szCs w:val="18"/>
          <w:color w:val="auto"/>
        </w:rPr>
        <w:t>On December 15, 2025, we issued and sold an aggregate principal amount of $57.5 million of 7.00% notes due in 2028 in a private transaction. The 2028 Notes have a stated maturity of December 15, 2028 and may be redeemed in whole or in part at any time at our option through June 15, 2028, at a redemption price equal to the greater of: (1)(a) the sum of the present values of the remaining scheduled payments of principal and interest thereon discounted to the redemption date on a semi-annual basis at the Treasury Rate plus 50 basis points less (b) interest accrued to the date of redemption, and</w:t>
      </w:r>
    </w:p>
    <w:p>
      <w:pPr>
        <w:spacing w:after="0" w:line="3" w:lineRule="exact"/>
        <w:rPr>
          <w:sz w:val="20"/>
          <w:szCs w:val="20"/>
          <w:color w:val="auto"/>
        </w:rPr>
      </w:pPr>
    </w:p>
    <w:p>
      <w:pPr>
        <w:jc w:val="both"/>
        <w:ind w:left="160" w:hanging="8"/>
        <w:spacing w:after="0" w:line="251" w:lineRule="auto"/>
        <w:tabs>
          <w:tab w:leader="none" w:pos="4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2028 Notes to be redeemed, plus, in either case, accrued and unpaid interest thereon to, but not including, the redemption date. On or after June 15, 2028, we may redeem the 2028 Notes, in whole or in part, at any time and from time to time, at a redemption price equal to 100% of the principal amount of the 2028 Notes being redeemed plus accrued and unpaid interest there onto the date of redemption. The 2028 Notes bear interest at a rate of 7.00% per year, payable semi-annually on June 15 and December 15 of each year, commencing on June 15, 2026. The 2028 Notes are our direct unsecured obligations and (i) rank equally in right of payment with our current and future unsecured indebtedness; (ii) are senior in right of payment to any of our future indebtedness that expressly provides it is subordinated to the 2028 Notes; (iii) are effectively subordinated to all of our existing and future secured indebtedness (including indebtedness that is initially unsecured to which we subsequently grant security), to the extent of the value of the assets securing such indebtedness, and (iv) are structurally subordinated to all existing and future indebtedness and other obligations of any of our subsidiaries. As of March 31, 2026, we were in material compliance with the terms of the 2028 Notes.</w:t>
      </w:r>
    </w:p>
    <w:p>
      <w:pPr>
        <w:sectPr>
          <w:pgSz w:w="11900" w:h="16838" w:orient="portrait"/>
          <w:cols w:equalWidth="0" w:num="1">
            <w:col w:w="11240"/>
          </w:cols>
          <w:pgMar w:left="320" w:top="121" w:right="339" w:bottom="177"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77" w:gutter="0" w:footer="0" w:header="0"/>
          <w:type w:val="continuous"/>
        </w:sectPr>
      </w:pPr>
    </w:p>
    <w:bookmarkStart w:id="64" w:name="page65"/>
    <w:bookmarkEnd w:id="6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2030 Convertible Notes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4, 2025, we entered into the 2030 Note Purchase Agreement, by and among us and each purchaser named therein, in connection with the issuance and sale of $40.0 million aggregate principal of our 5.50% 2030 Convertible Notes in a transaction exempt from registration pursuant to Section 4(a)(2) of the Securities Act of 1933, as amended. We received net proceeds (before expenses) from the sale of the 2030 Convertible Notes of approximately $36.6 million.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2030 Convertible Notes have a stated maturity of September 4, 2030, unless earlier converted or repurchased in accordance with their terms. The 2030 Convertible Notes bear interest at a rate of 5.50% per year, payable monthly in arrears on the last day of each calendar month, beginning on September 30, 2025.</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At any time on or after October 4, 2025, at our sole option, we may redeem, from time to time, the 2030 Convertible Notes in whole or in part, out of funds legally available for such redemption, at 100% of the principal amount prepaid plus accrued but unpaid interest to but excluding the date of prepayment.</w:t>
      </w:r>
    </w:p>
    <w:p>
      <w:pPr>
        <w:spacing w:after="0" w:line="176" w:lineRule="exact"/>
        <w:rPr>
          <w:sz w:val="20"/>
          <w:szCs w:val="20"/>
          <w:color w:val="auto"/>
        </w:rPr>
      </w:pPr>
    </w:p>
    <w:p>
      <w:pPr>
        <w:jc w:val="both"/>
        <w:ind w:left="20" w:firstLine="324"/>
        <w:spacing w:after="0" w:line="258" w:lineRule="auto"/>
        <w:rPr>
          <w:sz w:val="20"/>
          <w:szCs w:val="20"/>
          <w:color w:val="auto"/>
        </w:rPr>
      </w:pPr>
      <w:r>
        <w:rPr>
          <w:rFonts w:ascii="Times New Roman" w:cs="Times New Roman" w:eastAsia="Times New Roman" w:hAnsi="Times New Roman"/>
          <w:sz w:val="18"/>
          <w:szCs w:val="18"/>
          <w:color w:val="auto"/>
        </w:rPr>
        <w:t>Each holder of a 2030 Convertible Note has the right, at such holder’s option, to convert any such 2030 Convertible Note, at any time on or after October 4, 2025 and prior to the close of business on the business day immediately preceding the maturity date, into such number of shares of our common stock equal to the principal balance of the 2030 Convertible Note being converted on the conversion date plus the accrued but unpaid interest on the 2030 Convertible Note as of the conversion date, divided by the greater of (i) volume-weighted average closing sale price for the five trading days immediately prior to the relevant conversion date, or (ii) our most recently reported NAV per share immediately prior to the date of exercise.</w:t>
      </w:r>
    </w:p>
    <w:p>
      <w:pPr>
        <w:spacing w:after="0" w:line="183"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No holder of 2030 Convertible Notes may exercise its conversion right if upon conversion the holder would receive shares that would cause funds and accounts managed by the investment adviser to such funds and accounts and any person controlled by the parent company of such investment adviser to beneficially own in the aggregate more than 4.99% of the shares outstanding at such time.</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2030 Convertible Notes are not listed on any exchange and may not be transferred without our consent.</w:t>
      </w:r>
    </w:p>
    <w:p>
      <w:pPr>
        <w:spacing w:after="0" w:line="225" w:lineRule="exact"/>
        <w:rPr>
          <w:sz w:val="20"/>
          <w:szCs w:val="20"/>
          <w:color w:val="auto"/>
        </w:rPr>
      </w:pPr>
    </w:p>
    <w:p>
      <w:pPr>
        <w:jc w:val="both"/>
        <w:ind w:left="16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holders of a portion of the 2030 Convertible Notes converted $15.1 million in outstanding principal of the 2030 Convertible Notes plus accrued but unpaid interest on such outstanding principal as of the conversion date into 2,118,250 shares of common stock at a weighted average conversion price of $7.12 together with cash in lieu of fractional shares, in accordance with noteholder conversion notice.</w:t>
      </w:r>
    </w:p>
    <w:p>
      <w:pPr>
        <w:spacing w:after="0" w:line="180" w:lineRule="exact"/>
        <w:rPr>
          <w:sz w:val="20"/>
          <w:szCs w:val="20"/>
          <w:color w:val="auto"/>
        </w:rPr>
      </w:pPr>
    </w:p>
    <w:p>
      <w:pPr>
        <w:jc w:val="both"/>
        <w:ind w:left="160"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aggregate outstanding principal balance of the 2030 Convertible Notes was $16.5 million and $31.5 million, respectively.</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2031 Convertible Notes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17, 2024, we entered into the 2031 Note Purchase Agreement, by and among us and each purchaser named therein, in connection with the issuance and sale of $20.0 million aggregate principal of our 7.125% 2031 Convertible Notes in a transaction exempt from registration pursuant to Section 4(a)(2) of the Securities Act of 1933, as amended. We received net proceeds (before expenses) from the sale of the 2031 Convertible Notes of approximately $18.6 million.</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2031 Convertible Notes have a stated maturity of October 17, 2031, unless earlier converted or repurchased in accordance with their terms. The 2031 Convertible Notes bear interest at a rate of 7.125% per year, subject to additional interest or repurchase obligation upon certain events, payable quarterly in arrears on March 31, June 30, September 30 and December 31 of each year, beginning on December 31, 2024. If an investment grade rating is not maintained with respect to the 2031 Convertible Notes, additional interest of 1.00% per annum will accrue on the 2031 Convertible Notes until such time as the 2031 Convertible Notes have received an investment grade rating of “BBB-” (or its equivalent) or better. We will also be required to pay additional interest of 2.00% per annum (x) on any overdue payment of interest and (y) during the continuance of an Event of Default (as defined in the 2031 Note Purchase Agreement). In addition, on the occurrence of a Change in Control Repurchase Event (as defined in the 2031 Note Purchase Agreement) or Delisting Event (as defined in the 2031 Note Purchase Agreement), we will generally be required to make an offer to purchase the outstanding 2031 Convertible Notes at a price equal to 100% of the principal amount of such 2031 Convertible Notes plus accrued and unpaid interest to the repurchase date.</w:t>
      </w: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any time on or after April 17, 2025, at our sole option, we may redeem, from time to time, the 2031 Convertible Notes in whole or in part, out of funds legally available for such redemption, at 100% of the principal amount prepaid plus accrued but unpaid interest to but excluding the date of prepayment.</w:t>
      </w:r>
    </w:p>
    <w:p>
      <w:pPr>
        <w:spacing w:after="0" w:line="176" w:lineRule="exact"/>
        <w:rPr>
          <w:sz w:val="20"/>
          <w:szCs w:val="20"/>
          <w:color w:val="auto"/>
        </w:rPr>
      </w:pPr>
    </w:p>
    <w:p>
      <w:pPr>
        <w:jc w:val="both"/>
        <w:ind w:left="20" w:firstLine="324"/>
        <w:spacing w:after="0" w:line="258" w:lineRule="auto"/>
        <w:rPr>
          <w:sz w:val="20"/>
          <w:szCs w:val="20"/>
          <w:color w:val="auto"/>
        </w:rPr>
      </w:pPr>
      <w:r>
        <w:rPr>
          <w:rFonts w:ascii="Times New Roman" w:cs="Times New Roman" w:eastAsia="Times New Roman" w:hAnsi="Times New Roman"/>
          <w:sz w:val="18"/>
          <w:szCs w:val="18"/>
          <w:color w:val="auto"/>
        </w:rPr>
        <w:t>Each holder of a 2031 Convertible Note has the right, at such holder’s option, to convert any such 2031 Convertible Note, at any time on or after April 17, 2025 and prior to the close of business on the business day immediately preceding the maturity date, into such number of shares of our common stock equal to the principal balance of the 2031 Convertible Note being converted on the conversion date plus the accrued but unpaid interest on the 2031 Convertible Note as of the conversion date, divided by the greater of (i) volume-weighted average closing sale price for the five trading days immediately prior to the relevant conversion date, or (ii) our most recently reported NAV per share immediately prior to the date of exercise.</w:t>
      </w:r>
    </w:p>
    <w:p>
      <w:pPr>
        <w:spacing w:after="0" w:line="183" w:lineRule="exact"/>
        <w:rPr>
          <w:sz w:val="20"/>
          <w:szCs w:val="20"/>
          <w:color w:val="auto"/>
        </w:rPr>
      </w:pPr>
    </w:p>
    <w:p>
      <w:pPr>
        <w:jc w:val="both"/>
        <w:ind w:left="20" w:firstLine="324"/>
        <w:spacing w:after="0" w:line="266" w:lineRule="auto"/>
        <w:rPr>
          <w:sz w:val="20"/>
          <w:szCs w:val="20"/>
          <w:color w:val="auto"/>
        </w:rPr>
      </w:pPr>
      <w:r>
        <w:rPr>
          <w:rFonts w:ascii="Times New Roman" w:cs="Times New Roman" w:eastAsia="Times New Roman" w:hAnsi="Times New Roman"/>
          <w:sz w:val="18"/>
          <w:szCs w:val="18"/>
          <w:color w:val="auto"/>
        </w:rPr>
        <w:t>No holder of 2031 Convertible Notes may exercise its conversion right if upon conversion the holder would receive shares that would cause funds and accounts managed by the investment adviser to such funds and accounts and any person controlled by the parent company of such investment adviser to beneficially own in the aggregate more than 4.99% of the shares outstanding at such time.</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2031 Convertible Notes are not listed on any exchange and may not be transferred without our consent.</w:t>
      </w:r>
    </w:p>
    <w:p>
      <w:pPr>
        <w:spacing w:after="0" w:line="225" w:lineRule="exact"/>
        <w:rPr>
          <w:sz w:val="20"/>
          <w:szCs w:val="20"/>
          <w:color w:val="auto"/>
        </w:rPr>
      </w:pPr>
    </w:p>
    <w:p>
      <w:pPr>
        <w:jc w:val="both"/>
        <w:ind w:lef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holders of the 2031 Convertible Notes did not convert any of the 2031 Convertible Notes.</w:t>
      </w:r>
    </w:p>
    <w:p>
      <w:pPr>
        <w:sectPr>
          <w:pgSz w:w="11900" w:h="16838" w:orient="portrait"/>
          <w:cols w:equalWidth="0" w:num="1">
            <w:col w:w="11260"/>
          </w:cols>
          <w:pgMar w:left="300" w:top="121" w:right="339" w:bottom="0" w:gutter="0" w:footer="0" w:header="0"/>
        </w:sectPr>
      </w:pPr>
    </w:p>
    <w:bookmarkStart w:id="65" w:name="page66"/>
    <w:bookmarkEnd w:id="65"/>
    <w:p>
      <w:pPr>
        <w:ind w:left="340"/>
        <w:spacing w:after="0"/>
        <w:rPr>
          <w:sz w:val="20"/>
          <w:szCs w:val="20"/>
          <w:color w:val="auto"/>
        </w:rPr>
      </w:pPr>
      <w:r>
        <w:rPr>
          <w:rFonts w:ascii="Times New Roman" w:cs="Times New Roman" w:eastAsia="Times New Roman" w:hAnsi="Times New Roman"/>
          <w:sz w:val="18"/>
          <w:szCs w:val="18"/>
          <w:color w:val="auto"/>
        </w:rPr>
        <w:t>As of March 31, 2026 and December 31, 2025, the aggregate outstanding principal balance of the 2031 Convertible Notes was $2.8 million.</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other assets were $9.9 million and $9.1 million, respectively, which were primarily comprised of debt issuance costs and prepaid expenses.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significant contractual payment obligations and off-balance sheet arrangements as of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1 – 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3 – 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After 5</w:t>
            </w:r>
          </w:p>
        </w:tc>
      </w:tr>
      <w:tr>
        <w:trPr>
          <w:trHeight w:val="238"/>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09"/>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450,200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25,783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235,460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186,207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Unfunded commitments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91,667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63,333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 deferral</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28,178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11,878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633,378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129,328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315,093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186,207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2,750</w:t>
            </w: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normal course of business, we are party to financial instruments with off-balance sheet risk. These consist primarily of unfunded commitments to extend credit, in the form of loans, to our portfolio companies. Unfunded commitments to provide funds to portfolio companies are not reflected on our balance sheet. Our unfunded commitments may be significant from time to time. As of March 31, 2026, we had unfunded commitments of $155.0 million. This includes $15.0 million of undrawn revolver commitments. These commitments are subject to the same underwriting and ongoing portfolio maintenance requirements as are the financial instruments that we hold on our balance sheet. In addition, these commitments are often subject to financial or non-financial milestones and other conditions to borrowing that must be achieved before the commitment can be drawn. Since these commitments may expire without being drawn upon, the total commitment amount does not necessarily represent future cash requirements. We regularly monitor our unfunded commitments and anticipated refinancings, maturities and capital raising, to ensure that we have sufficient liquidity to fund unfunded commitments. As of March 31, 2026, we reasonably believed that our assets would provide adequate financial resources to satisfy all of our unfunded commitments.</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Credit Facilities, we have certain commitments pursuant to our Investment Management Agreement entered into with our Advisor. We have agreed to pay a fee for investment advisory and management services consisting of two components (1) a base management fee equal to a percentage of the value of our gross assets less cash or cash equivalents, and (2) a two-part incentive fee. We have also entered into a contract with our Advisor to serve as our administrator. Payments under the Administration Agreement are equal to an amount based upon our allocable portion of our Advisor’s overhead in performing its obligations under the agreement, including rent, fees and other expenses inclusive of our allocable portion of the compensation of our Chief Financial Officer and Chief Compliance Officer and their respective staffs. See Note 3 to our consolidated financial statements for additional information regarding our Investment Management Agreement and our Administration Agreement.</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incentive fee on Pre-Incentive Fee Net Investment Income is subject to a fee cap and deferral mechanism which is determined based upon a look-back period of up to three years and is expensed when incurred. For this purpose, the Incentive Fee Look-back Period includes the relevant calendar quarter and the 11 preceding full calendar quarters. Each quarterly incentive fee payable on Pre-Incentive Fee Net Investment Income is subject to the Incentive Fee Cap and Deferral Mechanism. The Incentive Fee Cap is equal to (a) 20.00% of Cumulative Pre-Incentive Fee Net Return during the Incentive Fee Look-back Period less (b) cumulative incentive fees of any kind paid to our Advisor during the Incentive Fee Look-back Period. To the extent the Incentive Fee Cap is zero or a negative value in any calendar quarter, we will not pay an incentive fee on Pre-Incentive Fee Net Investment Income to our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During the three months ended March 31, 2026 and 2025, the Incentive Fee Cap and Deferral Mechanism resulted in deferral of $0.4 million and $2.1 million, respectively, of incentive fee which may become subject to payment up to three years after the date of deferment. As of March 31, 2026 and December 31, 2025, the total amount subject to recoupment was $28.2 million and $28.0 million, respectively. Commencing with the quarter ending March 31, 2025 and terminated with the quarter ending December 31, 2025, our Advisor agreed to waive the portion of its quarterly income incentive fee, if any, if and to the extent that, after payment of such portion, our net investment income per share for such quarter would be less than the quarterly distribution per share declared in such quarter. During the three months ended March 31, 2025, our Advisor did not earn an income incentive fee.</w:t>
      </w:r>
    </w:p>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qualify and be subject to tax as a RIC, we must meet certain source-of-income, asset diversification and annual distribution requirements. Generally, in order to qualify as a RIC, we must derive at least 90% of our gross income for each tax year from dividends, interest, payments with respect to certain securities, loans, gains from the sale or other disposition of stock, securities or foreign currencies, income derived from certain publicly traded partnerships, or other income (including but not limited to gains from options, futures or forward contracts) derived with respect to our business of investing in stock, securities or other currencies.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in order to be subject to tax as a RIC and to avoid the imposition of corporate-level tax on the income and gains we distribute to our stockholders in respect of any tax year, we are required under the Code to distribute as dividends to our stockholders out of assets legally available for distribution each tax year an amount generally at least equal to 90% of the sum of our net ordinary income and net short-term capital gains in excess of net long-term capital losses, if any. Additionally, in order to avoid the imposition of a U.S. federal excise tax, we are required to distribute, in respect of each calendar year, dividends to our stockholders of an amount at least equal to the sum of 98% of our calendar year net ordinary income (taking into account certain deferrals and elections); 98.2% of our capital gain net income (adjusted for certain ordinary losses) for the one year period ending on October 31 of such calendar year; and any net ordinary income and capital gain net income for preceding calendar years that were not distributed during such calendar years and on which we previously did not incur any U.S. federal corporate-level income tax. If we fail to qualify as a RIC for any reason and become subject to corporate-level income tax, the resulting corporate-level income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sectPr>
          <w:pgSz w:w="11900" w:h="16838" w:orient="portrait"/>
          <w:cols w:equalWidth="0" w:num="1">
            <w:col w:w="11240"/>
          </w:cols>
          <w:pgMar w:left="320" w:top="121" w:right="339" w:bottom="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our taxable earnings in a tax year fall below the total amount of our distributions made to stockholders in respect of such tax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review any written disclosure accompanying a distribution payment carefully and should not assume that the source of any distribution is our ordinary income or gains.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adopted an “opt out” dividend reinvestment plan, or DRIP, for our common stockholders. As a result, if we declare a distribution, then stockholders’ cash distributions will be automatically reinvested in additional shares of our common stock, net of applicable withholding taxes, unless a stockholder specifically “opts out” of our DRIP. If a stockholder opts out, that stockholder will receive cash distributions. Although distributions paid in the form of additional shares of our common stock will generally be subject to U.S. federal, state and local taxes, stockholders participating in our DRIP will not receive any corresponding cash distributions with which to pay any such applicable taxes. If our common stock is trading above NAV, a stockholder receiving distributions in the form of additional shares of our common stock will be treated as receiving a distribution of an amount equal to the fair market value of such shares of our common stock. We may use newly issued shares to implement the DRIP, or we may purchase shares in the open market in connection with our obligations under the DRIP.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the Investment Management Agreement with our Advisor. Our Advisor is registered as an investment adviser under the Investment Advisers Act of 1940, as amended. Our investment activities are managed by our Advisor and supervised by our Board, the majority of whom are independent directors. Under the Investment Management Agreement, we have agreed to pay our Advisor a base management fee as well as an incentive fee. During the three months ended March 31, 2026 and 2025, our Advisor earned $4.9 million and $3.2 million pursuant to the Investment Management Agreement.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31, 2025, Monroe closed a transaction pursuant to which Momentum US Bidco LLC, an affiliate of Wendel SE, acquired 75% of the outstanding equity interests of Monroe Capital Intermediate Holdings, LLC, the indirect parent company of our Advisor, and certain other affiliates of Monroe (or the “Transaction”). The closing of the Transaction resulted in a change in control of our Advisor (the “Advisor Change in Control”). The Advisor Change in Control did not substantially or adversely affect us.</w:t>
      </w:r>
    </w:p>
    <w:p>
      <w:pPr>
        <w:spacing w:after="0" w:line="180" w:lineRule="exact"/>
        <w:rPr>
          <w:sz w:val="20"/>
          <w:szCs w:val="20"/>
          <w:color w:val="auto"/>
        </w:rPr>
      </w:pPr>
    </w:p>
    <w:p>
      <w:pPr>
        <w:jc w:val="both"/>
        <w:ind w:left="160" w:firstLine="162"/>
        <w:spacing w:after="0" w:line="266" w:lineRule="auto"/>
        <w:rPr>
          <w:sz w:val="20"/>
          <w:szCs w:val="20"/>
          <w:color w:val="auto"/>
        </w:rPr>
      </w:pPr>
      <w:r>
        <w:rPr>
          <w:rFonts w:ascii="Times New Roman" w:cs="Times New Roman" w:eastAsia="Times New Roman" w:hAnsi="Times New Roman"/>
          <w:sz w:val="18"/>
          <w:szCs w:val="18"/>
          <w:color w:val="auto"/>
        </w:rPr>
        <w:t>On April 14, 2026, we completed our previously announced merger with MRCC, the Merger Sub, Monroe Capital BDC Advisors, LLC, and the Advisor, pursuant to the Agreement and Plan of Merger, dated as of August 7, 2025 (the “Merger Agreement”). See “Item 2 — Management’s Discussion and Analysis of Financial Condition and Results of Operations — Overview” for additional information about the Mergers.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also entered into the Administration Agreement with our Advisor. Under the Administration Agreement, we have agreed to reimburse our Advisor for our allocable portion of overhead and other expenses incurred by our Advisor in performing its obligations under the Administration Agreement, including rent and our allocable portion of the costs of compensation and related expenses of our Chief Financial Officer and Chief Compliance Officer and their respective staffs. In addition, pursuant to the terms of the Administration Agreement our Advisor provides us with the office facilities and administrative services necessary to conduct our day-to-day operations. During the three months ended March 31, 2026 and 2025, our Advisor earned $0.6 million and $0.4 million, respectively, pursuant to the Administration Agreement.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Advisor has granted us a non-exclusive, royalty-free license to use the service mark “Horizon Technology Finance.”</w:t>
      </w:r>
    </w:p>
    <w:p>
      <w:pPr>
        <w:spacing w:after="0" w:line="225"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We believe that we derive substantial benefits from our relationship with our Advisor. Our Advisor and its affiliates may manage other investment vehicles with similar or overlapping investment strategies as us. Our Advisor may provide us with an opportunity to co-invest with other investment vehicles managed by our Advisor, Monroe and/or their affiliates. Under the 1940 Act, absent receipt of exemptive relief from the SEC, we and our affiliates are precluded from co-investing in negotiated investments with other funds and accounts sponsored or managed by our Advisor, Monroe and their affiliates. Since June 30, 2023, we and our Advisor have relied on exemptive relief from the SEC granted to certain affiliates of Monroe on October 15, 2014, as amended on January 10, 2023. Monroe, et al. filed an application on May 14, 2025, and amendments to the application on August 6, 2025 and October 3, 2025, for a new exemptive relief order for co-investments for the Company, the Advisor, Monroe and its affiliates. On November 21, 2025, a notice of the filing of the application was issued (Investment Company Act Release No. 35799). On December 17, 2025, the SEC granted an order for such exemptive relief (File No. 812-15798). The exemptive relief affords our Advisor greater flexibility to negotiate the terms of co-investments if our Board determines that it would be advantageous for us to co-invest with other accounts sponsored or managed by our Advisor, Monroe or their affiliates in a manner consistent with our investment objectives, positions, policies, strategies and restrictions as well as regulatory requirements and other pertinent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discussion of our financial condition and results of operation is based upon our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significant accounting policies in the notes to our consolidated financial statements.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identified the following items as critical accounting policies.</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Investments are recorded at fair value. Pursuant to the amended SEC Rule 2a-5 of the 1940 Act, on July 29, 2022, our Board designated our Advisor as the “valuation designee.” Our Board is responsible for oversight of the valuation designee. The valuation designee has established a Valuation Committee to determine in good faith the fair value of our investments, based on input of our Advisor’s management and personnel and independent valuation firms which are engaged at the direction of the Valuation Committee to assist in the valuation of certain portfolio investments lacking a readily available market quotation at least once during a trailing twelve-month period. The Valuation Committee determines fair values pursuant to a valuation policy approved by our Board and pursuant to a consistently applied valuation process. This valuation process is conducted at the end of each fiscal quarter, with at least 25% (based on fair value) of our valuation of portfolio companies lacking readily available market quotations subject to review by an independent valuation firm. We apply fair value to substantially all of our investments in accordance with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of the Financial Accounting Standards Board’s, or FASB’s, Accounting Standards Codification as amended, or ASC, which establishes a framework used to measure fair value and</w:t>
      </w:r>
    </w:p>
    <w:p>
      <w:pPr>
        <w:sectPr>
          <w:pgSz w:w="11900" w:h="16838" w:orient="portrait"/>
          <w:cols w:equalWidth="0" w:num="1">
            <w:col w:w="11240"/>
          </w:cols>
          <w:pgMar w:left="320" w:top="121" w:right="339" w:bottom="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8"/>
          <w:szCs w:val="18"/>
          <w:color w:val="auto"/>
        </w:rPr>
        <w:t>requires disclosures for fair value measurements. We have categorized our investments carried at fair value, based on the priority of the valuation technique, into a three-level fair value hierarchy. Fair value is a market-based measure considered from the perspective of the market participant who holds the financial instrument rather than an entity specific measure. Therefore, when market assumptions are not readily available, our own assumptions are set to reflect those that we believe market participants would use in pricing the financial instrument at the measurement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The three categories within the hierarchy are as follows:</w:t>
      </w:r>
    </w:p>
    <w:p>
      <w:pPr>
        <w:spacing w:after="0" w:line="176"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and liabilities.</w:t>
      </w:r>
    </w:p>
    <w:p>
      <w:pPr>
        <w:spacing w:after="0" w:line="77" w:lineRule="exact"/>
        <w:rPr>
          <w:sz w:val="20"/>
          <w:szCs w:val="20"/>
          <w:color w:val="auto"/>
        </w:rPr>
      </w:pPr>
    </w:p>
    <w:p>
      <w:pPr>
        <w:jc w:val="both"/>
        <w:ind w:left="1300" w:hanging="971"/>
        <w:spacing w:after="0" w:line="26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27" w:lineRule="exact"/>
        <w:rPr>
          <w:sz w:val="20"/>
          <w:szCs w:val="20"/>
          <w:color w:val="auto"/>
        </w:rPr>
      </w:pPr>
    </w:p>
    <w:p>
      <w:pPr>
        <w:jc w:val="both"/>
        <w:ind w:left="1300" w:hanging="971"/>
        <w:spacing w:after="0" w:line="261"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recognition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we otherwise do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For the three months ended March 31, 2026, we recognized in interest income $0.1 million from debt investments while on non-accrual status. For the three months ended March 31, 2025, we did not recognize any interest income from debt investments on non-accrual status.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receive a variety of fees from borrowers in the ordinary course of conducting our business, including advisory fees, commitment fees, amendment fees, non-utilization fees, success fees and prepayment fees. In a limited number of cases, we may also receive a non-refundable deposit earned upon the termination of a transaction. Debt investment origination fees, net of certain direct origination costs, are deferred, and along with unearned income, are amortized as a level yield adjustment over the respective term of the debt investment. All other income is recorded into income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debt investment agreements also require the borrower to make an ETP that is accrued into income over the life of the debt investment to the extent such amounts are expected to be collected. We will generally cease accruing the income if there is insufficient value to support the accrual or if we do not expect the borrower to be able to pay the ETP due.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substantially all lending arrangements, we receive warrants to purchase shares of stock from the borrower. We record the warrants as assets at estimated fair value on the grant date using the Black-Scholes valuation model. We consider the warrants as loan fees and record them as unearned income on the grant date. The unearned income is recognized as interest income over the contractual life of the related debt investment in accordance with our income recognition policy. Subsequent to origination, the warrants are also measured at fair value using the Black-Scholes valuation model. Any adjustment to fair value is recorded through earnings as net unrealized gain or loss on investments. Gains and losses from the disposition of the warrants or stock acquired from the exercise of warrants are recognized as realized gains and losses on investments.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Realized gains or losses on the sale of investments, or upon the determination that an investment balance, or portion thereof, is not recoverable, are calculated using the specific identification method. We measure realized gains or losses by calculating the difference between the net proceeds from the repayment or sale and the amortized cost basis of the investment. Net unrealized appreciation or depreciation reflects the change in the fair values of our portfolio investments during the reporting period, including any reversal of previously recorded unrealized appreciation or depreciation, when gains or losses are realized.</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operate in a manner so as to qualify for the tax treatment applicable to RICs. In order to qualify as a RIC and to avoid the imposition of corporate-level U.S. federal income tax on the amounts we distribute to our stockholders, among other things, we are required to meet certain source of income and asset diversification requirements, and we must timely distribute dividends to our stockholders out of assets legally available for distribution each tax year of an amount generally equal to at least 90% of our investment company taxable income, as defined by the Code and determined without regard to any deduction for dividends paid. We, among other things, have made and intend to continue to make the requisite distributions to our stockholders, which will generally relieve us from incurring any material liability for U.S. federal income taxes.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may choose to carry forward taxable income in excess of current year distributions into the next tax year and incur a 4% excise tax on such income, as required. To the extent that we determine that our estimated current year annual taxable income will be in excess of estimated current year distributions, we will accrue excise tax, if any, on estimated excess taxable income as taxable income is earned.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evaluate tax positions taken in the course of preparing our tax returns to determine whether the tax positions are “more-likely-than-not” to be sustained by the applicable tax authority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 modified by ASC Topic 946, </w:t>
      </w:r>
      <w:r>
        <w:rPr>
          <w:rFonts w:ascii="Times New Roman" w:cs="Times New Roman" w:eastAsia="Times New Roman" w:hAnsi="Times New Roman"/>
          <w:sz w:val="18"/>
          <w:szCs w:val="18"/>
          <w:i w:val="1"/>
          <w:iCs w:val="1"/>
          <w:color w:val="auto"/>
        </w:rPr>
        <w:t>Financial Services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Investment Companies</w:t>
      </w:r>
      <w:r>
        <w:rPr>
          <w:rFonts w:ascii="Times New Roman" w:cs="Times New Roman" w:eastAsia="Times New Roman" w:hAnsi="Times New Roman"/>
          <w:sz w:val="18"/>
          <w:szCs w:val="18"/>
          <w:color w:val="auto"/>
        </w:rPr>
        <w:t>. Tax benefits of positions not deemed to meet the more-likely-than-not threshold, or uncertain tax positions, are recorded as a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in the current year. It is our policy to recognize accrued interest and penalties related to uncertain tax benefits in income tax expense. We had no material uncertain tax positions at March 31, 2026 and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Financial Accounting Standards Board issued Accounting Standards Update, or ASU, No. 2024-03, Income Statement - Reporting Comprehensive Income - Expense Disaggregation Disclosures (Subtopic 220-40). ASU No. 2024-03 requires disaggregated disclosure of certain costs and expenses, including purchase of inventory, employee compensation, depreciation, amortization and depletion, within relevant income statement captions. ASU 2024-03 is effective for years beginning after December 15, 2026, and interim periods beginning after December 15, 2027. Early adoption and retrospective application are permitted. We are currently evaluating the impact ASU No. 2024-03.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April 1, 2026, we funded a $15.0 million debt investment to a new portfolio company, Stellar Cyber, Inc.</w:t>
      </w:r>
    </w:p>
    <w:p>
      <w:pPr>
        <w:spacing w:after="0" w:line="22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On April 14, 2026, we closed the Merger with MRCC. In connection with the closing of the Merger, we received approximately $141.1 million in cash and issued 20,370,645 shares of our common stock in the aggregate, or 0.9402 shares of our common stock for each share of MRCC common stock, to MRCC stockholders (and payment of cash in lieu of fractional shares). Former MRCC stockholders and our legacy stockholders own 29.86% and 70.14% of the combined company, respectively, immediately following the closing of the Merger.</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April 14, 2026, we repaid the outstanding balance of $45.0 million on our Key Facility from the proceeds of our merger with MRCC.</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April 30, 2026, we funded a $3.0 million debt investment to a new portfolio company, Bastille Buyer, Inc.</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April 30, 2026, we funded a $4.0 million debt investment to a new portfolio company, Volt Bidco,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left="20" w:firstLine="324"/>
        <w:spacing w:after="0" w:line="258" w:lineRule="auto"/>
        <w:rPr>
          <w:sz w:val="20"/>
          <w:szCs w:val="20"/>
          <w:color w:val="auto"/>
        </w:rPr>
      </w:pPr>
      <w:r>
        <w:rPr>
          <w:rFonts w:ascii="Times New Roman" w:cs="Times New Roman" w:eastAsia="Times New Roman" w:hAnsi="Times New Roman"/>
          <w:sz w:val="18"/>
          <w:szCs w:val="18"/>
          <w:color w:val="auto"/>
        </w:rPr>
        <w:t>We are subject to financial market risks, including changes in interest rates. During the periods covered by our financial statements, the interest rates on the debt investments within our portfolio were primarily at floating rates. We expect that our debt investments in the future will primarily have floating interest rates. As of March 31, 2026 and December 31, 2025, 100% of the outstanding principal amount of our debt investments bore interest at floating rates. Contractual interest rates on our commitments to lend to our portfolio companies are typically based on the Prime Rate as published in the Wall Street Journal.</w:t>
      </w:r>
    </w:p>
    <w:p>
      <w:pPr>
        <w:spacing w:after="0" w:line="183" w:lineRule="exact"/>
        <w:rPr>
          <w:sz w:val="20"/>
          <w:szCs w:val="20"/>
          <w:color w:val="auto"/>
        </w:rPr>
      </w:pP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Based on our March 31, 2026 consolidated statement of assets and liabilities (without adjustment for potential changes in the credit market, credit quality, size and composition of assets on the consolidated statement of assets and liabilities or other business developments that could affect net income) and the base index rates at March 31, 2026, the following table shows the annual impact on the change in net assets resulting from operations of changes in interest rates, which assumes no changes in our investments and borrowings: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 in Net</w:t>
            </w:r>
          </w:p>
        </w:tc>
      </w:tr>
      <w:tr>
        <w:trPr>
          <w:trHeight w:val="238"/>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Change in basis points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Assets(1)</w:t>
            </w:r>
          </w:p>
        </w:tc>
      </w:tr>
      <w:tr>
        <w:trPr>
          <w:trHeight w:val="210"/>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17,028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15,659</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10,463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9,550</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3,799</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Down 300 basis points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 200 basis points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Down 100 basis points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57150</wp:posOffset>
            </wp:positionV>
            <wp:extent cx="7112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Excludes the impact of incentive fees based on Pre-Incentive Fee Net Investment Income.</w:t>
      </w:r>
    </w:p>
    <w:p>
      <w:pPr>
        <w:spacing w:after="0" w:line="225" w:lineRule="exact"/>
        <w:rPr>
          <w:sz w:val="20"/>
          <w:szCs w:val="20"/>
          <w:color w:val="auto"/>
        </w:rPr>
      </w:pPr>
    </w:p>
    <w:p>
      <w:pPr>
        <w:jc w:val="both"/>
        <w:ind w:left="20" w:firstLine="324"/>
        <w:spacing w:after="0" w:line="253" w:lineRule="auto"/>
        <w:rPr>
          <w:sz w:val="20"/>
          <w:szCs w:val="20"/>
          <w:color w:val="auto"/>
        </w:rPr>
      </w:pPr>
      <w:r>
        <w:rPr>
          <w:rFonts w:ascii="Times New Roman" w:cs="Times New Roman" w:eastAsia="Times New Roman" w:hAnsi="Times New Roman"/>
          <w:sz w:val="18"/>
          <w:szCs w:val="18"/>
          <w:color w:val="auto"/>
        </w:rPr>
        <w:t>While our 2027 Notes, our 2028 Notes, our 2030 Convertible Notes and our 2031 Convertible Notes bear interest at a fixed rate, our Credit Facilities have floating interest rate provisions. The Key Facility is subject to an interest rate floor of 4.10% per annum, based on a prime rate index which resets monthly. The interest payable on the NYL Facility is based on the Three Year I Curve rate plus a margin of 2.95% with an interest rate floor and resets on any advance date. The interest payable on the Nuveen Facility is based on the United States Treasury constant maturity 3-year and 5-year rates plus a margin of 2.95% with an interest rate floor and resets on any advance date. Any other credit facilities into which we enter in the future may have floating interest rate provisions. We have used hedging instruments in the past to protect us against interest rate fluctuations, and we may use them in the future. Such instruments may include caps, swaps,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 Engaging in commodity interest transactions such as swap transactions or futures contracts on our behalf may cause our Advisor to fall within the definition of “commodity pool operator” under the Commodity Exchange Act (the “CEA”), and related Commodity Futures Trading Commission (the “CFTC”), regulations. On January 31, 2020, our Advisor claimed an exclusion from the definition of the term “commodity pool operator” under the CEA and the CFTC regulations in connection with its management of us and, therefore, is not subject to CFTC registration or regulation under the CEA as a commodity pool operator with respect to its management of us.</w:t>
      </w:r>
    </w:p>
    <w:p>
      <w:pPr>
        <w:spacing w:after="0" w:line="187" w:lineRule="exact"/>
        <w:rPr>
          <w:sz w:val="20"/>
          <w:szCs w:val="20"/>
          <w:color w:val="auto"/>
        </w:rPr>
      </w:pPr>
    </w:p>
    <w:p>
      <w:pPr>
        <w:jc w:val="both"/>
        <w:ind w:left="20" w:firstLine="324"/>
        <w:spacing w:after="0" w:line="261" w:lineRule="auto"/>
        <w:rPr>
          <w:sz w:val="20"/>
          <w:szCs w:val="20"/>
          <w:color w:val="auto"/>
        </w:rPr>
      </w:pPr>
      <w:r>
        <w:rPr>
          <w:rFonts w:ascii="Times New Roman" w:cs="Times New Roman" w:eastAsia="Times New Roman" w:hAnsi="Times New Roman"/>
          <w:sz w:val="18"/>
          <w:szCs w:val="18"/>
          <w:color w:val="auto"/>
        </w:rPr>
        <w:t>Because we currently fund, and expect to continue to fund, our investments with borrowings, our net income is dependent upon the difference between the rate at which we borrow funds and the rate at which we invest the funds borrowed. Accordingly, there can be no assurance that a significant change in market interest rates will not have a material adverse effect on our net income. In periods of elevated interest rates, our cost of funds could increase, which would reduce our net investment income.</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Inflation, Market Volatility and Supply Chain Risk</w:t>
      </w:r>
    </w:p>
    <w:p>
      <w:pPr>
        <w:spacing w:after="0" w:line="229" w:lineRule="exact"/>
        <w:rPr>
          <w:sz w:val="20"/>
          <w:szCs w:val="20"/>
          <w:color w:val="auto"/>
        </w:rPr>
      </w:pPr>
    </w:p>
    <w:p>
      <w:pPr>
        <w:jc w:val="both"/>
        <w:ind w:left="20" w:firstLine="324"/>
        <w:spacing w:after="0" w:line="254" w:lineRule="auto"/>
        <w:rPr>
          <w:sz w:val="20"/>
          <w:szCs w:val="20"/>
          <w:color w:val="auto"/>
        </w:rPr>
      </w:pPr>
      <w:r>
        <w:rPr>
          <w:rFonts w:ascii="Times New Roman" w:cs="Times New Roman" w:eastAsia="Times New Roman" w:hAnsi="Times New Roman"/>
          <w:sz w:val="18"/>
          <w:szCs w:val="18"/>
          <w:color w:val="auto"/>
        </w:rPr>
        <w:t>Economic activity has continued to accelerate across sectors and regions. Nevertheless, due to global supply chain issues, geopolitical events, a rise in energy prices and strong consumer demand as economies continue to reopen, inflation accelerated in the United States and globally before falling to lower levels at the end of 2023. Inflation may revive in the near to medium-term, particularly in the United States, with the advent of significant trade tariffs at the federal level, and monetary policy may tighten in response. Concerns over future increases in inflation, economic recession, as well as interest rate volatility and fluctuations in oil and gas prices resulting from global production and demand levels, as well as geopolitical tension, have exacerbated market volatility. Market uncertainty and volatility have also been magnified by actual and potential shifts in U.S. and foreign, trade, economic and other policies, including with respect to treaties and tariffs and uncertainty related to the upcoming 2026 U.S. midterm elections. Persistent inflationary pressures, foreign currency exchange volatility, volatility in global capital markets and concerns over actual and potential tariffs and sanctions could affect our portfolio companies’ profit margins.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229" w:lineRule="exact"/>
        <w:rPr>
          <w:sz w:val="20"/>
          <w:szCs w:val="20"/>
          <w:color w:val="auto"/>
        </w:rPr>
      </w:pPr>
    </w:p>
    <w:p>
      <w:pPr>
        <w:jc w:val="both"/>
        <w:ind w:left="20" w:firstLine="324"/>
        <w:spacing w:after="0" w:line="218" w:lineRule="exact"/>
        <w:rPr>
          <w:sz w:val="20"/>
          <w:szCs w:val="20"/>
          <w:color w:val="auto"/>
        </w:rPr>
      </w:pPr>
      <w:r>
        <w:rPr>
          <w:rFonts w:ascii="Times New Roman" w:cs="Times New Roman" w:eastAsia="Times New Roman" w:hAnsi="Times New Roman"/>
          <w:sz w:val="18"/>
          <w:szCs w:val="18"/>
          <w:color w:val="auto"/>
        </w:rPr>
        <w:t>As of March 31, 2026, we, including our Chief Executive Officer and Chief Financial Officer, evaluated the effectiveness of the design and operation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Based on that evaluation, our management, including our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ectPr>
          <w:pgSz w:w="11900" w:h="16838" w:orient="portrait"/>
          <w:cols w:equalWidth="0" w:num="1">
            <w:col w:w="11260"/>
          </w:cols>
          <w:pgMar w:left="300" w:top="121" w:right="339" w:bottom="204" w:gutter="0" w:footer="0" w:header="0"/>
        </w:sect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204"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controls over financial reporting.</w:t>
      </w:r>
    </w:p>
    <w:p>
      <w:pPr>
        <w:spacing w:after="0" w:line="188"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There have been no material changes in our internal control over financial reporting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during our most recently completed fiscal quarter,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are any material legal proceeding threatened against us. From time to time, we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future legal or regulatory proceedings cannot be predicted with certainty, we do not expect that any such future proceedings will have a material effect upon our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In addition to other information set forth in this quarterly report on Form 10-Q, you should carefully consider the factors set forth in “Item 1A Risk Factors”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which could materially affect our business, financial condition and/or operating results. Additional risks and uncertainties not currently known to us or that we currently deem to be immaterial also may materially affect our business, financial condition and/or operating results. Except as set forth below, there have been no material changes during the three months ended March 31, 2026 to the risk factors set forth in “Item 1A. Risk Factors” of our annual report on Form 10-K for the year ended December 31,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conflicts in the Middle East may impact regional and global economic markets.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ongoing conflicts in the Middle East, including the involvement of the United States and other countries, including Israel and Iran, as well as political and civil unrest related to the foregoing, could have severe adverse effects on regional and global economic markets. It is difficult to predict the conflicts’ impact on global and market conditions and, as a result, there is material uncertainty and risk with respect to us and our portfolio companies, and our ability and the ability of the portfolio companies to achieve their investment objectives.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jc w:val="both"/>
        <w:ind w:left="20" w:firstLine="324"/>
        <w:spacing w:after="0" w:line="312" w:lineRule="auto"/>
        <w:rPr>
          <w:sz w:val="20"/>
          <w:szCs w:val="20"/>
          <w:color w:val="auto"/>
        </w:rPr>
      </w:pPr>
      <w:r>
        <w:rPr>
          <w:rFonts w:ascii="Times New Roman" w:cs="Times New Roman" w:eastAsia="Times New Roman" w:hAnsi="Times New Roman"/>
          <w:sz w:val="17"/>
          <w:szCs w:val="17"/>
          <w:color w:val="auto"/>
        </w:rPr>
        <w:t>During the fiscal quarter ended March 31, 2026,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Item 6: Exhibits</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720" w:type="dxa"/>
            <w:vAlign w:val="bottom"/>
            <w:gridSpan w:val="9"/>
          </w:tcPr>
          <w:p>
            <w:pPr>
              <w:ind w:left="14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720" w:type="dxa"/>
            <w:vAlign w:val="bottom"/>
            <w:tcBorders>
              <w:bottom w:val="single" w:sz="8" w:color="auto"/>
            </w:tcBorders>
            <w:gridSpan w:val="9"/>
          </w:tcPr>
          <w:p>
            <w:pPr>
              <w:ind w:left="2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00" w:type="dxa"/>
            <w:vAlign w:val="bottom"/>
            <w:gridSpan w:val="12"/>
          </w:tcPr>
          <w:p>
            <w:pPr>
              <w:ind w:left="20"/>
              <w:spacing w:after="0" w:line="169"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Limited Liability Company Agreement of HRZN CRFH LLC, dated as of March 18, 2026, by and between Horizon Technology Finance</w:t>
              </w:r>
            </w:hyperlink>
          </w:p>
        </w:tc>
      </w:tr>
      <w:tr>
        <w:trPr>
          <w:trHeight w:val="196"/>
        </w:trPr>
        <w:tc>
          <w:tcPr>
            <w:tcW w:w="1240" w:type="dxa"/>
            <w:vAlign w:val="bottom"/>
          </w:tcPr>
          <w:p>
            <w:pPr>
              <w:spacing w:after="0"/>
              <w:rPr>
                <w:sz w:val="17"/>
                <w:szCs w:val="17"/>
                <w:color w:val="auto"/>
              </w:rPr>
            </w:pPr>
          </w:p>
        </w:tc>
        <w:tc>
          <w:tcPr>
            <w:tcW w:w="9780" w:type="dxa"/>
            <w:vAlign w:val="bottom"/>
            <w:tcBorders>
              <w:top w:val="single" w:sz="8" w:color="0000EE"/>
              <w:bottom w:val="single" w:sz="8" w:color="0000EE"/>
            </w:tcBorders>
            <w:gridSpan w:val="6"/>
          </w:tcPr>
          <w:p>
            <w:pPr>
              <w:ind w:left="20"/>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Corporation and CR Financial Holdings, Inc. (Incorporated by reference to Exhibit 10.1 of the Company’s Current Report on Form 8-K</w:t>
              </w:r>
            </w:hyperlink>
          </w:p>
        </w:tc>
        <w:tc>
          <w:tcPr>
            <w:tcW w:w="100" w:type="dxa"/>
            <w:vAlign w:val="bottom"/>
            <w:tcBorders>
              <w:top w:val="single" w:sz="8" w:color="0000EE"/>
            </w:tcBorders>
            <w:gridSpan w:val="3"/>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820" w:type="dxa"/>
            <w:vAlign w:val="bottom"/>
            <w:tcBorders>
              <w:bottom w:val="single" w:sz="8" w:color="0000EE"/>
            </w:tcBorders>
            <w:gridSpan w:val="2"/>
          </w:tcPr>
          <w:p>
            <w:pPr>
              <w:ind w:left="20"/>
              <w:spacing w:after="0" w:line="196" w:lineRule="exact"/>
              <w:rPr>
                <w:rFonts w:ascii="Times New Roman" w:cs="Times New Roman" w:eastAsia="Times New Roman" w:hAnsi="Times New Roman"/>
                <w:sz w:val="18"/>
                <w:szCs w:val="18"/>
                <w:color w:val="0000EE"/>
                <w:w w:val="98"/>
              </w:rPr>
            </w:pPr>
            <w:hyperlink r:id="rId92">
              <w:r>
                <w:rPr>
                  <w:rFonts w:ascii="Times New Roman" w:cs="Times New Roman" w:eastAsia="Times New Roman" w:hAnsi="Times New Roman"/>
                  <w:sz w:val="18"/>
                  <w:szCs w:val="18"/>
                  <w:color w:val="0000EE"/>
                  <w:w w:val="98"/>
                </w:rPr>
                <w:t>filed on March 19, 2026)</w:t>
              </w:r>
            </w:hyperlink>
          </w:p>
        </w:tc>
        <w:tc>
          <w:tcPr>
            <w:tcW w:w="8180" w:type="dxa"/>
            <w:vAlign w:val="bottom"/>
            <w:gridSpan w:val="10"/>
          </w:tcPr>
          <w:p>
            <w:pPr>
              <w:spacing w:after="0"/>
              <w:rPr>
                <w:sz w:val="17"/>
                <w:szCs w:val="17"/>
                <w:color w:val="auto"/>
              </w:rPr>
            </w:pPr>
          </w:p>
        </w:tc>
      </w:tr>
      <w:tr>
        <w:trPr>
          <w:trHeight w:val="196"/>
        </w:trPr>
        <w:tc>
          <w:tcPr>
            <w:tcW w:w="12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9980" w:type="dxa"/>
            <w:vAlign w:val="bottom"/>
            <w:tcBorders>
              <w:bottom w:val="single" w:sz="8" w:color="0000EE"/>
            </w:tcBorders>
            <w:gridSpan w:val="11"/>
          </w:tcPr>
          <w:p>
            <w:pPr>
              <w:ind w:left="20"/>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Letter Agreement, dated as of April 14, 2026, by and between Horizon Technology Finance Corporation and Horizon Technology Finance</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62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Management LLC (Incorporated by reference to Exhibit 10.1 of the Company’s Current Report on Form 8-K filed on April 14, 2026)</w:t>
              </w:r>
            </w:hyperlink>
          </w:p>
        </w:tc>
        <w:tc>
          <w:tcPr>
            <w:tcW w:w="380" w:type="dxa"/>
            <w:vAlign w:val="bottom"/>
            <w:gridSpan w:val="7"/>
          </w:tcPr>
          <w:p>
            <w:pPr>
              <w:spacing w:after="0"/>
              <w:rPr>
                <w:sz w:val="17"/>
                <w:szCs w:val="17"/>
                <w:color w:val="auto"/>
              </w:rPr>
            </w:pPr>
          </w:p>
        </w:tc>
      </w:tr>
      <w:tr>
        <w:trPr>
          <w:trHeight w:val="196"/>
        </w:trPr>
        <w:tc>
          <w:tcPr>
            <w:tcW w:w="12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1000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Certifications by Chief Executive Officer pursuant to Exchange Act Rule 13a</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as adopted pursuant to Section 302 of the Sarbanes-</w:t>
            </w:r>
          </w:p>
        </w:tc>
      </w:tr>
      <w:tr>
        <w:trPr>
          <w:trHeight w:val="196"/>
        </w:trPr>
        <w:tc>
          <w:tcPr>
            <w:tcW w:w="1240" w:type="dxa"/>
            <w:vAlign w:val="bottom"/>
          </w:tcPr>
          <w:p>
            <w:pPr>
              <w:spacing w:after="0"/>
              <w:rPr>
                <w:sz w:val="17"/>
                <w:szCs w:val="17"/>
                <w:color w:val="auto"/>
              </w:rPr>
            </w:pPr>
          </w:p>
        </w:tc>
        <w:tc>
          <w:tcPr>
            <w:tcW w:w="9840" w:type="dxa"/>
            <w:vAlign w:val="bottom"/>
            <w:tcBorders>
              <w:top w:val="single" w:sz="8" w:color="0000EE"/>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rPr>
              <w:t>Oxley Act of 2002, as amended</w:t>
            </w:r>
          </w:p>
        </w:tc>
        <w:tc>
          <w:tcPr>
            <w:tcW w:w="160" w:type="dxa"/>
            <w:vAlign w:val="bottom"/>
            <w:gridSpan w:val="4"/>
          </w:tcPr>
          <w:p>
            <w:pPr>
              <w:spacing w:after="0"/>
              <w:rPr>
                <w:sz w:val="17"/>
                <w:szCs w:val="17"/>
                <w:color w:val="auto"/>
              </w:rPr>
            </w:pPr>
          </w:p>
        </w:tc>
      </w:tr>
      <w:tr>
        <w:trPr>
          <w:trHeight w:val="196"/>
        </w:trPr>
        <w:tc>
          <w:tcPr>
            <w:tcW w:w="12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2280" w:type="dxa"/>
            <w:vAlign w:val="bottom"/>
            <w:tcBorders>
              <w:top w:val="single" w:sz="8" w:color="0000EE"/>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4"/>
              </w:rPr>
              <w:t>Certifications by Chief Financial</w:t>
            </w:r>
          </w:p>
        </w:tc>
        <w:tc>
          <w:tcPr>
            <w:tcW w:w="7520" w:type="dxa"/>
            <w:vAlign w:val="bottom"/>
            <w:tcBorders>
              <w:bottom w:val="single" w:sz="8" w:color="0000EE"/>
            </w:tcBorders>
            <w:gridSpan w:val="4"/>
          </w:tcPr>
          <w:p>
            <w:pPr>
              <w:ind w:left="140"/>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Exchange Act Rule 13a</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14(a), as adopted pursuant to Section 302 of the Sarbanes-</w:t>
            </w:r>
          </w:p>
        </w:tc>
        <w:tc>
          <w:tcPr>
            <w:tcW w:w="200" w:type="dxa"/>
            <w:vAlign w:val="bottom"/>
            <w:gridSpan w:val="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rPr>
              <w:t>Oxley Act of 2002, as amended</w:t>
            </w:r>
          </w:p>
        </w:tc>
      </w:tr>
      <w:tr>
        <w:trPr>
          <w:trHeight w:val="20"/>
        </w:trPr>
        <w:tc>
          <w:tcPr>
            <w:tcW w:w="12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1000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18 U.S.C. Section 1350, as adopted pursuant to Section 906 of the Sarbanes-</w:t>
            </w:r>
          </w:p>
        </w:tc>
      </w:tr>
      <w:tr>
        <w:trPr>
          <w:trHeight w:val="196"/>
        </w:trPr>
        <w:tc>
          <w:tcPr>
            <w:tcW w:w="1240" w:type="dxa"/>
            <w:vAlign w:val="bottom"/>
          </w:tcPr>
          <w:p>
            <w:pPr>
              <w:spacing w:after="0"/>
              <w:rPr>
                <w:sz w:val="17"/>
                <w:szCs w:val="17"/>
                <w:color w:val="auto"/>
              </w:rPr>
            </w:pPr>
          </w:p>
        </w:tc>
        <w:tc>
          <w:tcPr>
            <w:tcW w:w="9560" w:type="dxa"/>
            <w:vAlign w:val="bottom"/>
            <w:tcBorders>
              <w:top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rPr>
              <w:t>Oxley Act of 2002, as amended</w:t>
            </w:r>
          </w:p>
        </w:tc>
        <w:tc>
          <w:tcPr>
            <w:tcW w:w="440" w:type="dxa"/>
            <w:vAlign w:val="bottom"/>
            <w:gridSpan w:val="8"/>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6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9960" w:type="dxa"/>
            <w:vAlign w:val="bottom"/>
            <w:tcBorders>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Financial Officer pursuant to 18 U.S.C. Section 1350, as adopted pursuant to Section 906 of the Sarbanes-Oxley</w:t>
            </w:r>
          </w:p>
        </w:tc>
        <w:tc>
          <w:tcPr>
            <w:tcW w:w="4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rPr>
              <w:t>Act of 2002, as amended</w:t>
            </w:r>
          </w:p>
        </w:tc>
      </w:tr>
      <w:tr>
        <w:trPr>
          <w:trHeight w:val="20"/>
        </w:trPr>
        <w:tc>
          <w:tcPr>
            <w:tcW w:w="124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200" w:type="dxa"/>
            <w:vAlign w:val="bottom"/>
            <w:gridSpan w:val="11"/>
          </w:tcPr>
          <w:p>
            <w:pPr>
              <w:spacing w:after="0" w:line="20" w:lineRule="exact"/>
              <w:rPr>
                <w:sz w:val="1"/>
                <w:szCs w:val="1"/>
                <w:color w:val="auto"/>
              </w:rPr>
            </w:pPr>
          </w:p>
        </w:tc>
      </w:tr>
      <w:tr>
        <w:trPr>
          <w:trHeight w:val="218"/>
        </w:trPr>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101.INS</w:t>
            </w: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16"/>
        </w:trPr>
        <w:tc>
          <w:tcPr>
            <w:tcW w:w="1240" w:type="dxa"/>
            <w:vAlign w:val="bottom"/>
          </w:tcPr>
          <w:p>
            <w:pPr>
              <w:spacing w:after="0"/>
              <w:rPr>
                <w:sz w:val="18"/>
                <w:szCs w:val="18"/>
                <w:color w:val="auto"/>
              </w:rPr>
            </w:pP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101.SCH</w:t>
            </w: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101.PRE</w:t>
            </w: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280" w:hanging="881"/>
        <w:spacing w:after="0"/>
        <w:tabs>
          <w:tab w:leader="none" w:pos="12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66"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-161925</wp:posOffset>
            </wp:positionV>
            <wp:extent cx="7112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8" w:lineRule="exact"/>
        <w:rPr>
          <w:sz w:val="20"/>
          <w:szCs w:val="20"/>
          <w:color w:val="auto"/>
        </w:rPr>
      </w:pPr>
    </w:p>
    <w:p>
      <w:pPr>
        <w:ind w:firstLine="324"/>
        <w:spacing w:after="0" w:line="245" w:lineRule="exact"/>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to be signed on its behalf by the undersigned, thereunto duly authorized.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HORIZON TECHNOLOGY FINANCE CORPORATION</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P. Balkin</w:t>
            </w:r>
          </w:p>
        </w:tc>
      </w:tr>
      <w:tr>
        <w:trPr>
          <w:trHeight w:val="191"/>
        </w:trPr>
        <w:tc>
          <w:tcPr>
            <w:tcW w:w="3440" w:type="dxa"/>
            <w:vAlign w:val="bottom"/>
          </w:tcPr>
          <w:p>
            <w:pPr>
              <w:spacing w:after="0"/>
              <w:rPr>
                <w:sz w:val="16"/>
                <w:szCs w:val="16"/>
                <w:color w:val="auto"/>
              </w:rPr>
            </w:pPr>
          </w:p>
        </w:tc>
        <w:tc>
          <w:tcPr>
            <w:tcW w:w="2760" w:type="dxa"/>
            <w:vAlign w:val="bottom"/>
          </w:tcPr>
          <w:p>
            <w:pPr>
              <w:ind w:left="2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P. Balkin</w:t>
            </w:r>
          </w:p>
        </w:tc>
      </w:tr>
      <w:tr>
        <w:trPr>
          <w:trHeight w:val="234"/>
        </w:trPr>
        <w:tc>
          <w:tcPr>
            <w:tcW w:w="3440" w:type="dxa"/>
            <w:vAlign w:val="bottom"/>
          </w:tcPr>
          <w:p>
            <w:pPr>
              <w:spacing w:after="0"/>
              <w:rPr>
                <w:sz w:val="20"/>
                <w:szCs w:val="20"/>
                <w:color w:val="auto"/>
              </w:rPr>
            </w:pPr>
          </w:p>
        </w:tc>
        <w:tc>
          <w:tcPr>
            <w:tcW w:w="2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R. Trolio</w:t>
            </w:r>
          </w:p>
        </w:tc>
      </w:tr>
      <w:tr>
        <w:trPr>
          <w:trHeight w:val="191"/>
        </w:trPr>
        <w:tc>
          <w:tcPr>
            <w:tcW w:w="3440" w:type="dxa"/>
            <w:vAlign w:val="bottom"/>
          </w:tcPr>
          <w:p>
            <w:pPr>
              <w:spacing w:after="0"/>
              <w:rPr>
                <w:sz w:val="16"/>
                <w:szCs w:val="16"/>
                <w:color w:val="auto"/>
              </w:rPr>
            </w:pPr>
          </w:p>
        </w:tc>
        <w:tc>
          <w:tcPr>
            <w:tcW w:w="2760" w:type="dxa"/>
            <w:vAlign w:val="bottom"/>
          </w:tcPr>
          <w:p>
            <w:pPr>
              <w:ind w:left="2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R. Trolio</w:t>
            </w:r>
          </w:p>
        </w:tc>
      </w:tr>
      <w:tr>
        <w:trPr>
          <w:trHeight w:val="234"/>
        </w:trPr>
        <w:tc>
          <w:tcPr>
            <w:tcW w:w="3440" w:type="dxa"/>
            <w:vAlign w:val="bottom"/>
          </w:tcPr>
          <w:p>
            <w:pPr>
              <w:spacing w:after="0"/>
              <w:rPr>
                <w:sz w:val="20"/>
                <w:szCs w:val="20"/>
                <w:color w:val="auto"/>
              </w:rPr>
            </w:pPr>
          </w:p>
        </w:tc>
        <w:tc>
          <w:tcPr>
            <w:tcW w:w="2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440" w:type="dxa"/>
            <w:vAlign w:val="bottom"/>
          </w:tcPr>
          <w:p>
            <w:pPr>
              <w:spacing w:after="0"/>
              <w:rPr>
                <w:sz w:val="24"/>
                <w:szCs w:val="24"/>
                <w:color w:val="auto"/>
              </w:rPr>
            </w:pPr>
          </w:p>
        </w:tc>
        <w:tc>
          <w:tcPr>
            <w:tcW w:w="2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73</w:t>
            </w:r>
          </w:p>
        </w:tc>
        <w:tc>
          <w:tcPr>
            <w:tcW w:w="50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EXCHANGE ACT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20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 Balkin, as Chief Executive Officer of Horizon Technology Finance Corporation, certify that:</w:t>
      </w:r>
    </w:p>
    <w:p>
      <w:pPr>
        <w:spacing w:after="0" w:line="225" w:lineRule="exact"/>
        <w:rPr>
          <w:sz w:val="20"/>
          <w:szCs w:val="20"/>
          <w:color w:val="auto"/>
        </w:rPr>
      </w:pPr>
    </w:p>
    <w:p>
      <w:pPr>
        <w:ind w:left="520" w:hanging="188"/>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Horizon Technology Finance Corporation;</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1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332"/>
        <w:spacing w:after="0" w:line="266" w:lineRule="auto"/>
        <w:tabs>
          <w:tab w:leader="none" w:pos="5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51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332"/>
        <w:spacing w:after="0" w:line="282" w:lineRule="auto"/>
        <w:tabs>
          <w:tab w:leader="none" w:pos="5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332"/>
        <w:spacing w:after="0" w:line="282" w:lineRule="auto"/>
        <w:tabs>
          <w:tab w:leader="none" w:pos="5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P. Balkin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497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EXCHANGE ACT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20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R. Trolio, as Chief Financial Officer of Horizon Technology Finance Corporation, certify that:</w:t>
      </w:r>
    </w:p>
    <w:p>
      <w:pPr>
        <w:spacing w:after="0" w:line="225" w:lineRule="exact"/>
        <w:rPr>
          <w:sz w:val="20"/>
          <w:szCs w:val="20"/>
          <w:color w:val="auto"/>
        </w:rPr>
      </w:pPr>
    </w:p>
    <w:p>
      <w:pPr>
        <w:ind w:left="520" w:hanging="188"/>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Horizon Technology Finance Corporation;</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332"/>
        <w:spacing w:after="0" w:line="266" w:lineRule="auto"/>
        <w:tabs>
          <w:tab w:leader="none" w:pos="5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5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2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332"/>
        <w:spacing w:after="0" w:line="282" w:lineRule="auto"/>
        <w:tabs>
          <w:tab w:leader="none" w:pos="5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332"/>
        <w:spacing w:after="0" w:line="282" w:lineRule="auto"/>
        <w:tabs>
          <w:tab w:leader="none" w:pos="52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497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Daniel R. Trolio</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Section 1350)</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Horizon Technology Finance Corporation (the “Company”) for the quarterly period ended March 31, 2026 as filed with the Securities and Exchange Commission on the date hereof (the “Report”), I, Michael P. Balkin, as Chief Executive Officer, certify, pursuant to 18 U.S.C. Section 1350, as adopted pursuant to Section 906 of Sarbanes-Oxley Act of 2002, as amended, that to my knowledge:</w:t>
      </w:r>
    </w:p>
    <w:p>
      <w:pPr>
        <w:spacing w:after="0" w:line="176" w:lineRule="exact"/>
        <w:rPr>
          <w:sz w:val="20"/>
          <w:szCs w:val="20"/>
          <w:color w:val="auto"/>
        </w:rPr>
      </w:pPr>
    </w:p>
    <w:p>
      <w:pPr>
        <w:ind w:left="620" w:hanging="288"/>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P. Balkin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Michael P. Balkin</w:t>
      </w:r>
    </w:p>
    <w:p>
      <w:pPr>
        <w:spacing w:after="0" w:line="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1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May 5, 2026</w:t>
            </w:r>
          </w:p>
        </w:tc>
      </w:tr>
    </w:tbl>
    <w:p>
      <w:pPr>
        <w:sectPr>
          <w:pgSz w:w="11900" w:h="16838" w:orient="portrait"/>
          <w:cols w:equalWidth="0" w:num="1">
            <w:col w:w="11240"/>
          </w:cols>
          <w:pgMar w:left="320" w:top="11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Section 1350)</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Horizon Technology Finance Corporation (the “Company”) for the quarterly period ended March 31, 2026 as filed with the Securities and Exchange Commission on the date hereof (the “Report”), I, Daniel R. Trolio, as Chief Financial Officer of the Company, certify, pursuant to 18 U.S.C. Section 1350, as adopted pursuant to Section 906 of Sarbanes-Oxley Act of 2002, as amended, that to my knowledge:</w:t>
      </w:r>
    </w:p>
    <w:p>
      <w:pPr>
        <w:spacing w:after="0" w:line="180" w:lineRule="exact"/>
        <w:rPr>
          <w:sz w:val="20"/>
          <w:szCs w:val="20"/>
          <w:color w:val="auto"/>
        </w:rPr>
      </w:pPr>
    </w:p>
    <w:p>
      <w:pPr>
        <w:ind w:left="620" w:hanging="288"/>
        <w:spacing w:after="0"/>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429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Daniel R. Trolio</w:t>
      </w:r>
    </w:p>
    <w:p>
      <w:pPr>
        <w:spacing w:after="0" w:line="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1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May 5, 2026</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5"/>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lowerRoman"/>
      <w:start w:val="2"/>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lowerRoman"/>
      <w:start w:val="4"/>
    </w:lvl>
  </w:abstractNum>
  <w:abstractNum w:abstractNumId="18">
    <w:nsid w:val="8EDBDAB"/>
    <w:multiLevelType w:val="hybridMultilevel"/>
    <w:lvl w:ilvl="0">
      <w:lvlJc w:val="left"/>
      <w:lvlText w:val="(%1)"/>
      <w:numFmt w:val="decimal"/>
      <w:start w:val="2"/>
    </w:lvl>
  </w:abstractNum>
  <w:abstractNum w:abstractNumId="19">
    <w:nsid w:val="79838CB2"/>
    <w:multiLevelType w:val="hybridMultilevel"/>
    <w:lvl w:ilvl="0">
      <w:lvlJc w:val="left"/>
      <w:lvlText w:val="*"/>
      <w:numFmt w:val="bullet"/>
      <w:start w:val="1"/>
    </w:lvl>
    <w:lvl w:ilvl="1">
      <w:lvlJc w:val="left"/>
      <w:lvlText w:val="%2"/>
      <w:numFmt w:val="decimal"/>
      <w:start w:val="104"/>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92" Type="http://schemas.openxmlformats.org/officeDocument/2006/relationships/hyperlink" Target="http://www.sec.gov/Archives/edgar/data/1487428/000143774926008936/ex_934853.htm" TargetMode="External"/><Relationship Id="rId93" Type="http://schemas.openxmlformats.org/officeDocument/2006/relationships/hyperlink" Target="http://www.sec.gov/Archives/edgar/data/1487428/000114036126014610/ef20070439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2026-05-05T15:52:40Z</dcterms:created>
  <dcterms:modified xsi:type="dcterms:W3CDTF">2026-05-05T15:52:40Z</dcterms:modified>
</cp:coreProperties>
</file>